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October 28, 2026</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Federal National Mortgage Association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26"/>
          <w:szCs w:val="26"/>
          <w:b w:val="1"/>
          <w:bCs w:val="1"/>
          <w:color w:val="auto"/>
        </w:rPr>
        <w:t>Fannie Mae</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360" w:type="dxa"/>
            <w:vAlign w:val="bottom"/>
            <w:tcBorders>
              <w:top w:val="single" w:sz="8" w:color="auto"/>
            </w:tcBorders>
          </w:tcPr>
          <w:p>
            <w:pPr>
              <w:jc w:val="center"/>
              <w:ind w:left="270"/>
              <w:spacing w:after="0"/>
              <w:rPr>
                <w:sz w:val="20"/>
                <w:szCs w:val="20"/>
                <w:color w:val="auto"/>
              </w:rPr>
            </w:pPr>
            <w:r>
              <w:rPr>
                <w:rFonts w:ascii="Arial" w:cs="Arial" w:eastAsia="Arial" w:hAnsi="Arial"/>
                <w:sz w:val="11"/>
                <w:szCs w:val="11"/>
                <w:b w:val="1"/>
                <w:bCs w:val="1"/>
                <w:color w:val="auto"/>
                <w:w w:val="98"/>
              </w:rPr>
              <w:t>Federally chartered corporation</w:t>
            </w:r>
          </w:p>
        </w:tc>
        <w:tc>
          <w:tcPr>
            <w:tcW w:w="1600" w:type="dxa"/>
            <w:vAlign w:val="bottom"/>
            <w:tcBorders>
              <w:top w:val="single" w:sz="8" w:color="auto"/>
            </w:tcBorders>
          </w:tcPr>
          <w:p>
            <w:pPr>
              <w:jc w:val="center"/>
              <w:ind w:left="310"/>
              <w:spacing w:after="0"/>
              <w:rPr>
                <w:sz w:val="20"/>
                <w:szCs w:val="20"/>
                <w:color w:val="auto"/>
              </w:rPr>
            </w:pPr>
            <w:r>
              <w:rPr>
                <w:rFonts w:ascii="Arial" w:cs="Arial" w:eastAsia="Arial" w:hAnsi="Arial"/>
                <w:sz w:val="11"/>
                <w:szCs w:val="11"/>
                <w:b w:val="1"/>
                <w:bCs w:val="1"/>
                <w:color w:val="auto"/>
                <w:w w:val="98"/>
              </w:rPr>
              <w:t>0-50231</w:t>
            </w:r>
          </w:p>
        </w:tc>
        <w:tc>
          <w:tcPr>
            <w:tcW w:w="1340" w:type="dxa"/>
            <w:vAlign w:val="bottom"/>
            <w:tcBorders>
              <w:top w:val="single" w:sz="8" w:color="auto"/>
            </w:tcBorders>
          </w:tcPr>
          <w:p>
            <w:pPr>
              <w:jc w:val="center"/>
              <w:ind w:left="30"/>
              <w:spacing w:after="0"/>
              <w:rPr>
                <w:sz w:val="20"/>
                <w:szCs w:val="20"/>
                <w:color w:val="auto"/>
              </w:rPr>
            </w:pPr>
            <w:r>
              <w:rPr>
                <w:rFonts w:ascii="Arial" w:cs="Arial" w:eastAsia="Arial" w:hAnsi="Arial"/>
                <w:sz w:val="11"/>
                <w:szCs w:val="11"/>
                <w:b w:val="1"/>
                <w:bCs w:val="1"/>
                <w:color w:val="auto"/>
                <w:w w:val="98"/>
              </w:rPr>
              <w:t>52-0883107</w:t>
            </w:r>
          </w:p>
        </w:tc>
        <w:tc>
          <w:tcPr>
            <w:tcW w:w="1980" w:type="dxa"/>
            <w:vAlign w:val="bottom"/>
            <w:tcBorders>
              <w:top w:val="single" w:sz="8" w:color="auto"/>
            </w:tcBorders>
            <w:gridSpan w:val="2"/>
          </w:tcPr>
          <w:p>
            <w:pPr>
              <w:jc w:val="center"/>
              <w:ind w:left="668"/>
              <w:spacing w:after="0"/>
              <w:rPr>
                <w:sz w:val="20"/>
                <w:szCs w:val="20"/>
                <w:color w:val="auto"/>
              </w:rPr>
            </w:pPr>
            <w:r>
              <w:rPr>
                <w:rFonts w:ascii="Arial" w:cs="Arial" w:eastAsia="Arial" w:hAnsi="Arial"/>
                <w:sz w:val="11"/>
                <w:szCs w:val="11"/>
                <w:b w:val="1"/>
                <w:bCs w:val="1"/>
                <w:color w:val="auto"/>
                <w:w w:val="97"/>
              </w:rPr>
              <w:t>1100 15th Street, NW</w:t>
            </w:r>
          </w:p>
        </w:tc>
        <w:tc>
          <w:tcPr>
            <w:tcW w:w="6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800</w:t>
            </w:r>
          </w:p>
        </w:tc>
        <w:tc>
          <w:tcPr>
            <w:tcW w:w="1760" w:type="dxa"/>
            <w:vAlign w:val="bottom"/>
            <w:tcBorders>
              <w:top w:val="single" w:sz="8" w:color="auto"/>
            </w:tcBorders>
          </w:tcPr>
          <w:p>
            <w:pPr>
              <w:jc w:val="right"/>
              <w:ind w:right="1086"/>
              <w:spacing w:after="0"/>
              <w:rPr>
                <w:sz w:val="20"/>
                <w:szCs w:val="20"/>
                <w:color w:val="auto"/>
              </w:rPr>
            </w:pPr>
            <w:r>
              <w:rPr>
                <w:rFonts w:ascii="Arial" w:cs="Arial" w:eastAsia="Arial" w:hAnsi="Arial"/>
                <w:sz w:val="11"/>
                <w:szCs w:val="11"/>
                <w:b w:val="1"/>
                <w:bCs w:val="1"/>
                <w:color w:val="auto"/>
              </w:rPr>
              <w:t>232-6643</w:t>
            </w:r>
          </w:p>
        </w:tc>
      </w:tr>
      <w:tr>
        <w:trPr>
          <w:trHeight w:val="151"/>
        </w:trPr>
        <w:tc>
          <w:tcPr>
            <w:tcW w:w="3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ind w:left="480"/>
              <w:spacing w:after="0"/>
              <w:rPr>
                <w:sz w:val="20"/>
                <w:szCs w:val="20"/>
                <w:color w:val="auto"/>
              </w:rPr>
            </w:pPr>
            <w:r>
              <w:rPr>
                <w:rFonts w:ascii="Arial" w:cs="Arial" w:eastAsia="Arial" w:hAnsi="Arial"/>
                <w:sz w:val="11"/>
                <w:szCs w:val="11"/>
                <w:b w:val="1"/>
                <w:bCs w:val="1"/>
                <w:color w:val="auto"/>
              </w:rPr>
              <w:t>Washington,</w:t>
            </w:r>
          </w:p>
        </w:tc>
        <w:tc>
          <w:tcPr>
            <w:tcW w:w="800" w:type="dxa"/>
            <w:vAlign w:val="bottom"/>
          </w:tcPr>
          <w:p>
            <w:pPr>
              <w:ind w:left="400"/>
              <w:spacing w:after="0"/>
              <w:rPr>
                <w:sz w:val="20"/>
                <w:szCs w:val="20"/>
                <w:color w:val="auto"/>
              </w:rPr>
            </w:pPr>
            <w:r>
              <w:rPr>
                <w:rFonts w:ascii="Arial" w:cs="Arial" w:eastAsia="Arial" w:hAnsi="Arial"/>
                <w:sz w:val="11"/>
                <w:szCs w:val="11"/>
                <w:b w:val="1"/>
                <w:bCs w:val="1"/>
                <w:color w:val="auto"/>
              </w:rPr>
              <w:t>DC</w:t>
            </w: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20005</w:t>
            </w:r>
          </w:p>
        </w:tc>
        <w:tc>
          <w:tcPr>
            <w:tcW w:w="64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08"/>
        </w:trPr>
        <w:tc>
          <w:tcPr>
            <w:tcW w:w="3360" w:type="dxa"/>
            <w:vAlign w:val="bottom"/>
          </w:tcPr>
          <w:p>
            <w:pPr>
              <w:jc w:val="center"/>
              <w:ind w:left="270"/>
              <w:spacing w:after="0" w:line="108" w:lineRule="exact"/>
              <w:rPr>
                <w:sz w:val="20"/>
                <w:szCs w:val="20"/>
                <w:color w:val="auto"/>
              </w:rPr>
            </w:pPr>
            <w:r>
              <w:rPr>
                <w:rFonts w:ascii="Arial" w:cs="Arial" w:eastAsia="Arial" w:hAnsi="Arial"/>
                <w:sz w:val="10"/>
                <w:szCs w:val="10"/>
                <w:i w:val="1"/>
                <w:iCs w:val="1"/>
                <w:color w:val="auto"/>
                <w:w w:val="94"/>
              </w:rPr>
              <w:t>(State or other jurisdiction</w:t>
            </w:r>
          </w:p>
        </w:tc>
        <w:tc>
          <w:tcPr>
            <w:tcW w:w="1600" w:type="dxa"/>
            <w:vAlign w:val="bottom"/>
          </w:tcPr>
          <w:p>
            <w:pPr>
              <w:jc w:val="center"/>
              <w:ind w:left="310"/>
              <w:spacing w:after="0" w:line="108" w:lineRule="exact"/>
              <w:rPr>
                <w:sz w:val="20"/>
                <w:szCs w:val="20"/>
                <w:color w:val="auto"/>
              </w:rPr>
            </w:pPr>
            <w:r>
              <w:rPr>
                <w:rFonts w:ascii="Arial" w:cs="Arial" w:eastAsia="Arial" w:hAnsi="Arial"/>
                <w:sz w:val="10"/>
                <w:szCs w:val="10"/>
                <w:i w:val="1"/>
                <w:iCs w:val="1"/>
                <w:color w:val="auto"/>
                <w:w w:val="95"/>
              </w:rPr>
              <w:t>(Commission</w:t>
            </w:r>
          </w:p>
        </w:tc>
        <w:tc>
          <w:tcPr>
            <w:tcW w:w="1340" w:type="dxa"/>
            <w:vAlign w:val="bottom"/>
          </w:tcPr>
          <w:p>
            <w:pPr>
              <w:jc w:val="center"/>
              <w:ind w:left="30"/>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2580" w:type="dxa"/>
            <w:vAlign w:val="bottom"/>
            <w:gridSpan w:val="3"/>
          </w:tcPr>
          <w:p>
            <w:pPr>
              <w:jc w:val="center"/>
              <w:ind w:left="88"/>
              <w:spacing w:after="0" w:line="108" w:lineRule="exact"/>
              <w:rPr>
                <w:sz w:val="20"/>
                <w:szCs w:val="20"/>
                <w:color w:val="auto"/>
              </w:rPr>
            </w:pPr>
            <w:r>
              <w:rPr>
                <w:rFonts w:ascii="Arial" w:cs="Arial" w:eastAsia="Arial" w:hAnsi="Arial"/>
                <w:sz w:val="10"/>
                <w:szCs w:val="10"/>
                <w:i w:val="1"/>
                <w:iCs w:val="1"/>
                <w:color w:val="auto"/>
                <w:w w:val="96"/>
              </w:rPr>
              <w:t>(Address of principal executive offices, including zip</w:t>
            </w:r>
          </w:p>
        </w:tc>
        <w:tc>
          <w:tcPr>
            <w:tcW w:w="2400" w:type="dxa"/>
            <w:vAlign w:val="bottom"/>
            <w:gridSpan w:val="2"/>
          </w:tcPr>
          <w:p>
            <w:pPr>
              <w:jc w:val="right"/>
              <w:spacing w:after="0" w:line="108" w:lineRule="exact"/>
              <w:rPr>
                <w:sz w:val="20"/>
                <w:szCs w:val="20"/>
                <w:color w:val="auto"/>
              </w:rPr>
            </w:pPr>
            <w:r>
              <w:rPr>
                <w:rFonts w:ascii="Arial" w:cs="Arial" w:eastAsia="Arial" w:hAnsi="Arial"/>
                <w:sz w:val="10"/>
                <w:szCs w:val="10"/>
                <w:i w:val="1"/>
                <w:iCs w:val="1"/>
                <w:color w:val="auto"/>
              </w:rPr>
              <w:t>(Registrant’s telephone number, including area code)</w:t>
            </w:r>
          </w:p>
        </w:tc>
      </w:tr>
      <w:tr>
        <w:trPr>
          <w:trHeight w:val="122"/>
        </w:trPr>
        <w:tc>
          <w:tcPr>
            <w:tcW w:w="3360" w:type="dxa"/>
            <w:vAlign w:val="bottom"/>
            <w:tcBorders>
              <w:bottom w:val="single" w:sz="8" w:color="auto"/>
            </w:tcBorders>
          </w:tcPr>
          <w:p>
            <w:pPr>
              <w:jc w:val="center"/>
              <w:ind w:left="270"/>
              <w:spacing w:after="0"/>
              <w:rPr>
                <w:sz w:val="20"/>
                <w:szCs w:val="20"/>
                <w:color w:val="auto"/>
              </w:rPr>
            </w:pPr>
            <w:r>
              <w:rPr>
                <w:rFonts w:ascii="Arial" w:cs="Arial" w:eastAsia="Arial" w:hAnsi="Arial"/>
                <w:sz w:val="10"/>
                <w:szCs w:val="10"/>
                <w:i w:val="1"/>
                <w:iCs w:val="1"/>
                <w:color w:val="auto"/>
                <w:w w:val="94"/>
              </w:rPr>
              <w:t>of incorporation)</w:t>
            </w:r>
          </w:p>
        </w:tc>
        <w:tc>
          <w:tcPr>
            <w:tcW w:w="1600" w:type="dxa"/>
            <w:vAlign w:val="bottom"/>
            <w:tcBorders>
              <w:bottom w:val="single" w:sz="8" w:color="auto"/>
            </w:tcBorders>
          </w:tcPr>
          <w:p>
            <w:pPr>
              <w:jc w:val="center"/>
              <w:ind w:left="330"/>
              <w:spacing w:after="0"/>
              <w:rPr>
                <w:sz w:val="20"/>
                <w:szCs w:val="20"/>
                <w:color w:val="auto"/>
              </w:rPr>
            </w:pPr>
            <w:r>
              <w:rPr>
                <w:rFonts w:ascii="Arial" w:cs="Arial" w:eastAsia="Arial" w:hAnsi="Arial"/>
                <w:sz w:val="10"/>
                <w:szCs w:val="10"/>
                <w:i w:val="1"/>
                <w:iCs w:val="1"/>
                <w:color w:val="auto"/>
                <w:w w:val="93"/>
              </w:rPr>
              <w:t>File Number)</w:t>
            </w: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0"/>
                <w:szCs w:val="10"/>
                <w:i w:val="1"/>
                <w:iCs w:val="1"/>
                <w:color w:val="auto"/>
                <w:w w:val="95"/>
              </w:rPr>
              <w:t>Identification No.)</w:t>
            </w:r>
          </w:p>
        </w:tc>
        <w:tc>
          <w:tcPr>
            <w:tcW w:w="1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9"/>
              <w:spacing w:after="0"/>
              <w:rPr>
                <w:sz w:val="20"/>
                <w:szCs w:val="20"/>
                <w:color w:val="auto"/>
              </w:rPr>
            </w:pPr>
            <w:r>
              <w:rPr>
                <w:rFonts w:ascii="Arial" w:cs="Arial" w:eastAsia="Arial" w:hAnsi="Arial"/>
                <w:sz w:val="10"/>
                <w:szCs w:val="10"/>
                <w:i w:val="1"/>
                <w:iCs w:val="1"/>
                <w:color w:val="auto"/>
                <w:w w:val="95"/>
              </w:rPr>
              <w:t>code)</w:t>
            </w: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324"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u w:val="single" w:color="auto"/>
          <w:color w:val="auto"/>
        </w:rPr>
        <w:t>see</w:t>
      </w:r>
      <w:r>
        <w:rPr>
          <w:rFonts w:ascii="Arial" w:cs="Arial" w:eastAsia="Arial" w:hAnsi="Arial"/>
          <w:sz w:val="11"/>
          <w:szCs w:val="11"/>
          <w:color w:val="auto"/>
        </w:rPr>
        <w:t xml:space="preserve"> General Instruction A.2. below):</w:t>
      </w:r>
    </w:p>
    <w:p>
      <w:pPr>
        <w:spacing w:after="0" w:line="45" w:lineRule="exact"/>
        <w:rPr>
          <w:sz w:val="24"/>
          <w:szCs w:val="24"/>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98"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07"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07"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5"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24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2"/>
                <w:szCs w:val="12"/>
                <w:b w:val="1"/>
                <w:bCs w:val="1"/>
                <w:color w:val="auto"/>
              </w:rPr>
              <w:t>Title of each class</w:t>
            </w:r>
          </w:p>
        </w:tc>
        <w:tc>
          <w:tcPr>
            <w:tcW w:w="21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2"/>
                <w:szCs w:val="12"/>
                <w:b w:val="1"/>
                <w:bCs w:val="1"/>
                <w:color w:val="auto"/>
              </w:rPr>
              <w:t>Trading Symbol(s)</w:t>
            </w:r>
          </w:p>
        </w:tc>
        <w:tc>
          <w:tcPr>
            <w:tcW w:w="562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51"/>
        </w:trPr>
        <w:tc>
          <w:tcPr>
            <w:tcW w:w="3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None</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r>
    </w:tbl>
    <w:p>
      <w:pPr>
        <w:spacing w:after="0" w:line="261"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w:t>
      </w:r>
    </w:p>
    <w:p>
      <w:pPr>
        <w:spacing w:after="0" w:line="8" w:lineRule="exact"/>
        <w:rPr>
          <w:sz w:val="24"/>
          <w:szCs w:val="24"/>
          <w:color w:val="auto"/>
        </w:rPr>
      </w:pPr>
    </w:p>
    <w:p>
      <w:pPr>
        <w:spacing w:after="0" w:line="242" w:lineRule="exact"/>
        <w:tabs>
          <w:tab w:leader="none" w:pos="9640" w:val="left"/>
        </w:tabs>
        <w:rPr>
          <w:sz w:val="20"/>
          <w:szCs w:val="20"/>
          <w:color w:val="auto"/>
        </w:rPr>
      </w:pPr>
      <w:r>
        <w:rPr>
          <w:rFonts w:ascii="Arial" w:cs="Arial" w:eastAsia="Arial" w:hAnsi="Arial"/>
          <w:sz w:val="21"/>
          <w:szCs w:val="21"/>
          <w:color w:val="auto"/>
          <w:vertAlign w:val="subscript"/>
        </w:rPr>
        <w:t>chapter).</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47" w:lineRule="exact"/>
        <w:rPr>
          <w:sz w:val="24"/>
          <w:szCs w:val="24"/>
          <w:color w:val="auto"/>
        </w:rPr>
      </w:pPr>
    </w:p>
    <w:p>
      <w:pPr>
        <w:ind w:right="40"/>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 w:name="page2"/>
    <w:bookmarkEnd w:id="1"/>
    <w:p>
      <w:pPr>
        <w:ind w:right="120"/>
        <w:spacing w:after="0" w:line="268" w:lineRule="auto"/>
        <w:rPr>
          <w:sz w:val="20"/>
          <w:szCs w:val="20"/>
          <w:color w:val="auto"/>
        </w:rPr>
      </w:pPr>
      <w:r>
        <w:rPr>
          <w:rFonts w:ascii="Arial" w:cs="Arial" w:eastAsia="Arial" w:hAnsi="Arial"/>
          <w:sz w:val="12"/>
          <w:szCs w:val="12"/>
          <w:color w:val="auto"/>
        </w:rPr>
        <w:t>The information in this report, including information contained in the exhibits submitted with this report, shall not be deemed “filed” for purposes of Section 18 of the Securities Exchange Act of 1934, or otherwise subject to the liabilities of Section 18, nor shall it be deemed incorporated by reference into any disclosure document relating to Fannie Mae (formally known as the Federal National Mortgage Association), except to the extent, if any, expressly incorporated by specific reference in that document.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On October 28, 2026, Fannie Mae filed its quarterly report on Form 10-Q for the quarter ended September 30, 2026, and is issuing a press release reporting its financial results for the periods covered by the</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Form 10-Q, as well as an earnings presentation and a financial supplement. Copies of the press release, earnings presentation, and financial supplement are furnished as Exhibits 99.1, 99.2, and 99.3, respectively, to this report and are incorporated herein by reference. Copies may also be found on Fannie Mae’s website, www.fanniemae.com, in the “About Us” section under “Investor Relations/Quarterly and Annual Results.” Information appearing on the company’s website is not incorporated into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u w:val="single" w:color="auto"/>
          <w:color w:val="auto"/>
        </w:rPr>
        <w:t>Exhibits</w:t>
      </w:r>
      <w:r>
        <w:rPr>
          <w:rFonts w:ascii="Arial" w:cs="Arial" w:eastAsia="Arial" w:hAnsi="Arial"/>
          <w:sz w:val="12"/>
          <w:szCs w:val="12"/>
          <w:color w:val="auto"/>
        </w:rPr>
        <w:t>. The following exhibits are being submitted with this report: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700" w:type="dxa"/>
            <w:vAlign w:val="bottom"/>
          </w:tcPr>
          <w:p>
            <w:pPr>
              <w:ind w:left="40"/>
              <w:spacing w:after="0"/>
              <w:rPr>
                <w:sz w:val="20"/>
                <w:szCs w:val="20"/>
                <w:color w:val="auto"/>
              </w:rPr>
            </w:pPr>
            <w:r>
              <w:rPr>
                <w:rFonts w:ascii="Arial" w:cs="Arial" w:eastAsia="Arial" w:hAnsi="Arial"/>
                <w:sz w:val="10"/>
                <w:szCs w:val="10"/>
                <w:b w:val="1"/>
                <w:bCs w:val="1"/>
                <w:color w:val="auto"/>
              </w:rPr>
              <w:t>Exhibit Number</w:t>
            </w:r>
          </w:p>
        </w:tc>
        <w:tc>
          <w:tcPr>
            <w:tcW w:w="9600" w:type="dxa"/>
            <w:vAlign w:val="bottom"/>
            <w:gridSpan w:val="5"/>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137"/>
        </w:trPr>
        <w:tc>
          <w:tcPr>
            <w:tcW w:w="1700" w:type="dxa"/>
            <w:vAlign w:val="bottom"/>
          </w:tcPr>
          <w:p>
            <w:pPr>
              <w:ind w:left="40"/>
              <w:spacing w:after="0"/>
              <w:rPr>
                <w:sz w:val="20"/>
                <w:szCs w:val="20"/>
                <w:color w:val="auto"/>
              </w:rPr>
            </w:pPr>
            <w:r>
              <w:rPr>
                <w:rFonts w:ascii="Arial" w:cs="Arial" w:eastAsia="Arial" w:hAnsi="Arial"/>
                <w:sz w:val="12"/>
                <w:szCs w:val="12"/>
                <w:color w:val="auto"/>
              </w:rPr>
              <w:t>99.1</w:t>
            </w:r>
          </w:p>
        </w:tc>
        <w:tc>
          <w:tcPr>
            <w:tcW w:w="9600" w:type="dxa"/>
            <w:vAlign w:val="bottom"/>
            <w:gridSpan w:val="5"/>
          </w:tcPr>
          <w:p>
            <w:pPr>
              <w:spacing w:after="0"/>
              <w:rPr>
                <w:sz w:val="20"/>
                <w:szCs w:val="20"/>
                <w:color w:val="auto"/>
              </w:rPr>
            </w:pPr>
            <w:r>
              <w:rPr>
                <w:rFonts w:ascii="Arial" w:cs="Arial" w:eastAsia="Arial" w:hAnsi="Arial"/>
                <w:sz w:val="12"/>
                <w:szCs w:val="12"/>
                <w:color w:val="0000FF"/>
              </w:rPr>
              <w:t>Press release, dated October 28, 2026</w:t>
            </w:r>
          </w:p>
        </w:tc>
      </w:tr>
      <w:tr>
        <w:trPr>
          <w:trHeight w:val="20"/>
        </w:trPr>
        <w:tc>
          <w:tcPr>
            <w:tcW w:w="1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42"/>
        </w:trPr>
        <w:tc>
          <w:tcPr>
            <w:tcW w:w="1700" w:type="dxa"/>
            <w:vAlign w:val="bottom"/>
          </w:tcPr>
          <w:p>
            <w:pPr>
              <w:ind w:left="40"/>
              <w:spacing w:after="0"/>
              <w:rPr>
                <w:sz w:val="20"/>
                <w:szCs w:val="20"/>
                <w:color w:val="auto"/>
              </w:rPr>
            </w:pPr>
            <w:r>
              <w:rPr>
                <w:rFonts w:ascii="Arial" w:cs="Arial" w:eastAsia="Arial" w:hAnsi="Arial"/>
                <w:sz w:val="12"/>
                <w:szCs w:val="12"/>
                <w:color w:val="auto"/>
              </w:rPr>
              <w:t>99.2</w:t>
            </w:r>
          </w:p>
        </w:tc>
        <w:tc>
          <w:tcPr>
            <w:tcW w:w="480" w:type="dxa"/>
            <w:vAlign w:val="bottom"/>
          </w:tcPr>
          <w:p>
            <w:pPr>
              <w:spacing w:after="0"/>
              <w:rPr>
                <w:sz w:val="20"/>
                <w:szCs w:val="20"/>
                <w:color w:val="auto"/>
              </w:rPr>
            </w:pPr>
            <w:r>
              <w:rPr>
                <w:rFonts w:ascii="Arial" w:cs="Arial" w:eastAsia="Arial" w:hAnsi="Arial"/>
                <w:sz w:val="12"/>
                <w:szCs w:val="12"/>
                <w:color w:val="0000FF"/>
                <w:w w:val="99"/>
              </w:rPr>
              <w:t>3Q 2026</w:t>
            </w:r>
          </w:p>
        </w:tc>
        <w:tc>
          <w:tcPr>
            <w:tcW w:w="9120" w:type="dxa"/>
            <w:vAlign w:val="bottom"/>
            <w:gridSpan w:val="4"/>
          </w:tcPr>
          <w:p>
            <w:pPr>
              <w:ind w:left="20"/>
              <w:spacing w:after="0"/>
              <w:rPr>
                <w:sz w:val="20"/>
                <w:szCs w:val="20"/>
                <w:color w:val="auto"/>
              </w:rPr>
            </w:pPr>
            <w:r>
              <w:rPr>
                <w:rFonts w:ascii="Arial" w:cs="Arial" w:eastAsia="Arial" w:hAnsi="Arial"/>
                <w:sz w:val="12"/>
                <w:szCs w:val="12"/>
                <w:color w:val="0000FF"/>
              </w:rPr>
              <w:t>Earnings Presentation, dated October 28, 2026</w:t>
            </w:r>
          </w:p>
        </w:tc>
      </w:tr>
      <w:tr>
        <w:trPr>
          <w:trHeight w:val="142"/>
        </w:trPr>
        <w:tc>
          <w:tcPr>
            <w:tcW w:w="1700" w:type="dxa"/>
            <w:vAlign w:val="bottom"/>
          </w:tcPr>
          <w:p>
            <w:pPr>
              <w:ind w:left="40"/>
              <w:spacing w:after="0"/>
              <w:rPr>
                <w:sz w:val="20"/>
                <w:szCs w:val="20"/>
                <w:color w:val="auto"/>
              </w:rPr>
            </w:pPr>
            <w:r>
              <w:rPr>
                <w:rFonts w:ascii="Arial" w:cs="Arial" w:eastAsia="Arial" w:hAnsi="Arial"/>
                <w:sz w:val="12"/>
                <w:szCs w:val="12"/>
                <w:color w:val="auto"/>
              </w:rPr>
              <w:t>99.3</w:t>
            </w:r>
          </w:p>
        </w:tc>
        <w:tc>
          <w:tcPr>
            <w:tcW w:w="480" w:type="dxa"/>
            <w:vAlign w:val="bottom"/>
            <w:tcBorders>
              <w:top w:val="single" w:sz="8" w:color="0000FF"/>
            </w:tcBorders>
          </w:tcPr>
          <w:p>
            <w:pPr>
              <w:spacing w:after="0"/>
              <w:rPr>
                <w:sz w:val="20"/>
                <w:szCs w:val="20"/>
                <w:color w:val="auto"/>
              </w:rPr>
            </w:pPr>
            <w:r>
              <w:rPr>
                <w:rFonts w:ascii="Arial" w:cs="Arial" w:eastAsia="Arial" w:hAnsi="Arial"/>
                <w:sz w:val="12"/>
                <w:szCs w:val="12"/>
                <w:color w:val="0000FF"/>
                <w:w w:val="99"/>
              </w:rPr>
              <w:t>3Q 2026</w:t>
            </w:r>
          </w:p>
        </w:tc>
        <w:tc>
          <w:tcPr>
            <w:tcW w:w="2520" w:type="dxa"/>
            <w:vAlign w:val="bottom"/>
            <w:tcBorders>
              <w:top w:val="single" w:sz="8" w:color="0000FF"/>
            </w:tcBorders>
            <w:gridSpan w:val="3"/>
          </w:tcPr>
          <w:p>
            <w:pPr>
              <w:ind w:left="20"/>
              <w:spacing w:after="0"/>
              <w:rPr>
                <w:sz w:val="20"/>
                <w:szCs w:val="20"/>
                <w:color w:val="auto"/>
              </w:rPr>
            </w:pPr>
            <w:r>
              <w:rPr>
                <w:rFonts w:ascii="Arial" w:cs="Arial" w:eastAsia="Arial" w:hAnsi="Arial"/>
                <w:sz w:val="12"/>
                <w:szCs w:val="12"/>
                <w:color w:val="0000FF"/>
                <w:w w:val="99"/>
              </w:rPr>
              <w:t>Financial Supplement, dated October 28, 2026</w:t>
            </w:r>
          </w:p>
        </w:tc>
        <w:tc>
          <w:tcPr>
            <w:tcW w:w="6600" w:type="dxa"/>
            <w:vAlign w:val="bottom"/>
          </w:tcPr>
          <w:p>
            <w:pPr>
              <w:spacing w:after="0"/>
              <w:rPr>
                <w:sz w:val="12"/>
                <w:szCs w:val="12"/>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r>
      <w:tr>
        <w:trPr>
          <w:trHeight w:val="171"/>
        </w:trPr>
        <w:tc>
          <w:tcPr>
            <w:tcW w:w="1700" w:type="dxa"/>
            <w:vAlign w:val="bottom"/>
          </w:tcPr>
          <w:p>
            <w:pPr>
              <w:ind w:left="40"/>
              <w:spacing w:after="0"/>
              <w:rPr>
                <w:sz w:val="20"/>
                <w:szCs w:val="20"/>
                <w:color w:val="auto"/>
              </w:rPr>
            </w:pPr>
            <w:r>
              <w:rPr>
                <w:rFonts w:ascii="Arial" w:cs="Arial" w:eastAsia="Arial" w:hAnsi="Arial"/>
                <w:sz w:val="12"/>
                <w:szCs w:val="12"/>
                <w:color w:val="auto"/>
              </w:rPr>
              <w:t>104</w:t>
            </w:r>
          </w:p>
        </w:tc>
        <w:tc>
          <w:tcPr>
            <w:tcW w:w="9600" w:type="dxa"/>
            <w:vAlign w:val="bottom"/>
            <w:gridSpan w:val="5"/>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71"/>
        </w:trPr>
        <w:tc>
          <w:tcPr>
            <w:tcW w:w="1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FEDERAL NATIONAL MORTGAGE ASSOCIATION</w:t>
      </w:r>
    </w:p>
    <w:p>
      <w:pPr>
        <w:spacing w:after="0" w:line="339" w:lineRule="exact"/>
        <w:rPr>
          <w:sz w:val="20"/>
          <w:szCs w:val="20"/>
          <w:color w:val="auto"/>
        </w:rPr>
      </w:pPr>
    </w:p>
    <w:p>
      <w:pPr>
        <w:ind w:left="5760"/>
        <w:spacing w:after="0"/>
        <w:tabs>
          <w:tab w:leader="none" w:pos="6040" w:val="left"/>
        </w:tabs>
        <w:rPr>
          <w:sz w:val="20"/>
          <w:szCs w:val="20"/>
          <w:color w:val="auto"/>
        </w:rPr>
      </w:pPr>
      <w:r>
        <w:rPr>
          <w:rFonts w:ascii="Arial" w:cs="Arial" w:eastAsia="Arial" w:hAnsi="Arial"/>
          <w:sz w:val="12"/>
          <w:szCs w:val="12"/>
          <w:color w:val="auto"/>
        </w:rPr>
        <w:t>By:</w:t>
        <w:tab/>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12065</wp:posOffset>
            </wp:positionV>
            <wp:extent cx="33204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13"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Chryssa C. Halley</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Executive Vice President and 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October 28, 2026</w:t>
      </w:r>
    </w:p>
    <w:p>
      <w:pPr>
        <w:sectPr>
          <w:pgSz w:w="11900" w:h="16838" w:orient="portrait"/>
          <w:cols w:equalWidth="0" w:num="1">
            <w:col w:w="10159"/>
          </w:cols>
          <w:pgMar w:left="300" w:top="64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Exhibit 99.1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5314D"/>
        </w:rPr>
        <w:t>Fannie Mae Earns $4.2 Billion in Net Income in Third Quarter 2026</w:t>
      </w:r>
    </w:p>
    <w:p>
      <w:pPr>
        <w:spacing w:after="0" w:line="81" w:lineRule="exact"/>
        <w:rPr>
          <w:sz w:val="20"/>
          <w:szCs w:val="20"/>
          <w:color w:val="auto"/>
        </w:rPr>
      </w:pPr>
    </w:p>
    <w:p>
      <w:pPr>
        <w:ind w:left="220" w:hanging="120"/>
        <w:spacing w:after="0"/>
        <w:tabs>
          <w:tab w:leader="none" w:pos="22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Provided $103 billion in liquidity, including financing for nearly 103,000 first-time homebuyers</w:t>
      </w:r>
    </w:p>
    <w:p>
      <w:pPr>
        <w:spacing w:after="0" w:line="42" w:lineRule="exact"/>
        <w:rPr>
          <w:rFonts w:ascii="Arial" w:cs="Arial" w:eastAsia="Arial" w:hAnsi="Arial"/>
          <w:sz w:val="12"/>
          <w:szCs w:val="12"/>
          <w:i w:val="1"/>
          <w:iCs w:val="1"/>
          <w:color w:val="auto"/>
        </w:rPr>
      </w:pPr>
    </w:p>
    <w:p>
      <w:pPr>
        <w:ind w:left="220" w:hanging="120"/>
        <w:spacing w:after="0"/>
        <w:tabs>
          <w:tab w:leader="none" w:pos="22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Net worth reached $119.6 billion, up 3% quarter over quarter and 13% year over year</w:t>
      </w:r>
    </w:p>
    <w:p>
      <w:pPr>
        <w:spacing w:after="0" w:line="42" w:lineRule="exact"/>
        <w:rPr>
          <w:rFonts w:ascii="Arial" w:cs="Arial" w:eastAsia="Arial" w:hAnsi="Arial"/>
          <w:sz w:val="12"/>
          <w:szCs w:val="12"/>
          <w:i w:val="1"/>
          <w:iCs w:val="1"/>
          <w:color w:val="auto"/>
        </w:rPr>
      </w:pPr>
    </w:p>
    <w:p>
      <w:pPr>
        <w:ind w:left="220" w:hanging="120"/>
        <w:spacing w:after="0"/>
        <w:tabs>
          <w:tab w:leader="none" w:pos="22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Illustrative return on average required CET1</w:t>
      </w:r>
      <w:r>
        <w:rPr>
          <w:rFonts w:ascii="Arial" w:cs="Arial" w:eastAsia="Arial" w:hAnsi="Arial"/>
          <w:sz w:val="15"/>
          <w:szCs w:val="15"/>
          <w:i w:val="1"/>
          <w:iCs w:val="1"/>
          <w:color w:val="auto"/>
          <w:vertAlign w:val="superscript"/>
        </w:rPr>
        <w:t>(1)</w:t>
      </w:r>
      <w:r>
        <w:rPr>
          <w:rFonts w:ascii="Arial" w:cs="Arial" w:eastAsia="Arial" w:hAnsi="Arial"/>
          <w:sz w:val="12"/>
          <w:szCs w:val="12"/>
          <w:i w:val="1"/>
          <w:iCs w:val="1"/>
          <w:color w:val="auto"/>
        </w:rPr>
        <w:t xml:space="preserve"> capital increased to 11.1%, up from 10.8% in the second quarter of 2026</w:t>
      </w:r>
    </w:p>
    <w:p>
      <w:pPr>
        <w:spacing w:after="0" w:line="26" w:lineRule="exact"/>
        <w:rPr>
          <w:rFonts w:ascii="Arial" w:cs="Arial" w:eastAsia="Arial" w:hAnsi="Arial"/>
          <w:sz w:val="12"/>
          <w:szCs w:val="12"/>
          <w:i w:val="1"/>
          <w:iCs w:val="1"/>
          <w:color w:val="auto"/>
        </w:rPr>
      </w:pPr>
    </w:p>
    <w:p>
      <w:pPr>
        <w:ind w:left="220" w:hanging="120"/>
        <w:spacing w:after="0"/>
        <w:tabs>
          <w:tab w:leader="none" w:pos="22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47% of single-family loans acquired went to low- and middle-income borrowers earning no more than 100% of area median income</w:t>
      </w:r>
    </w:p>
    <w:p>
      <w:pPr>
        <w:spacing w:after="0" w:line="84"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b w:val="1"/>
          <w:bCs w:val="1"/>
          <w:color w:val="auto"/>
        </w:rPr>
        <w:t xml:space="preserve">WASHINGTON, DC – October 28, 2026 – </w:t>
      </w:r>
      <w:r>
        <w:rPr>
          <w:rFonts w:ascii="Arial" w:cs="Arial" w:eastAsia="Arial" w:hAnsi="Arial"/>
          <w:sz w:val="12"/>
          <w:szCs w:val="12"/>
          <w:color w:val="auto"/>
        </w:rPr>
        <w:t>Fannie Mae (FNMA/OTCQB) earned $4.2 billion in net income in the third quarter of 2026, compared with $4.0 billion in the second quarter of 2026, and increased its net</w:t>
      </w:r>
      <w:r>
        <w:rPr>
          <w:rFonts w:ascii="Arial" w:cs="Arial" w:eastAsia="Arial" w:hAnsi="Arial"/>
          <w:sz w:val="12"/>
          <w:szCs w:val="12"/>
          <w:b w:val="1"/>
          <w:bCs w:val="1"/>
          <w:color w:val="auto"/>
        </w:rPr>
        <w:t xml:space="preserve"> </w:t>
      </w:r>
      <w:r>
        <w:rPr>
          <w:rFonts w:ascii="Arial" w:cs="Arial" w:eastAsia="Arial" w:hAnsi="Arial"/>
          <w:sz w:val="12"/>
          <w:szCs w:val="12"/>
          <w:color w:val="auto"/>
        </w:rPr>
        <w:t>worth to $119.6 billion as of September 30, 2026. Net revenues increased to $7.7 billion in the third quarter, compared with $7.6 billion in the second quarter of 2026. In addition to the increase in net revenues, the increase in net income reflects a shift from fair value losses to gains, partially offset by increased credit loss provision. Unrealized losses on available-for-sale securities drove an increase in other comprehensive losses.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William J. Pulte, Director, U.S. Federal Housing, and Chairman, Fannie Mae Board of Directors:</w:t>
      </w:r>
    </w:p>
    <w:p>
      <w:pPr>
        <w:spacing w:after="0" w:line="9" w:lineRule="exact"/>
        <w:rPr>
          <w:sz w:val="20"/>
          <w:szCs w:val="20"/>
          <w:color w:val="auto"/>
        </w:rPr>
      </w:pPr>
    </w:p>
    <w:p>
      <w:pPr>
        <w:ind w:right="480"/>
        <w:spacing w:after="0" w:line="249" w:lineRule="auto"/>
        <w:rPr>
          <w:sz w:val="20"/>
          <w:szCs w:val="20"/>
          <w:color w:val="auto"/>
        </w:rPr>
      </w:pPr>
      <w:r>
        <w:rPr>
          <w:rFonts w:ascii="Arial" w:cs="Arial" w:eastAsia="Arial" w:hAnsi="Arial"/>
          <w:sz w:val="12"/>
          <w:szCs w:val="12"/>
          <w:color w:val="auto"/>
        </w:rPr>
        <w:t>“Fannie Mae landed another strong performance this quarter, growing our net worth 13% year over year to $120 billion. Our continued focus on running an efficient business and reducing mortgage costs is delivering for American homeowners and renters—half the single-family loans we acquired went to low-and middle-income borrowers.</w:t>
      </w:r>
      <w:r>
        <w:rPr>
          <w:rFonts w:ascii="Arial" w:cs="Arial" w:eastAsia="Arial" w:hAnsi="Arial"/>
          <w:sz w:val="12"/>
          <w:szCs w:val="12"/>
          <w:color w:val="191F26"/>
        </w:rPr>
        <w:t>”</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Peter Akwaboah, Acting Chief Executive Officer and Chief Operating Officer, Fannie Mae:</w:t>
      </w:r>
    </w:p>
    <w:p>
      <w:pPr>
        <w:spacing w:after="0" w:line="9" w:lineRule="exact"/>
        <w:rPr>
          <w:sz w:val="20"/>
          <w:szCs w:val="20"/>
          <w:color w:val="auto"/>
        </w:rPr>
      </w:pPr>
    </w:p>
    <w:p>
      <w:pPr>
        <w:ind w:right="160"/>
        <w:spacing w:after="0" w:line="249" w:lineRule="auto"/>
        <w:rPr>
          <w:sz w:val="20"/>
          <w:szCs w:val="20"/>
          <w:color w:val="auto"/>
        </w:rPr>
      </w:pPr>
      <w:r>
        <w:rPr>
          <w:rFonts w:ascii="Arial" w:cs="Arial" w:eastAsia="Arial" w:hAnsi="Arial"/>
          <w:sz w:val="12"/>
          <w:szCs w:val="12"/>
          <w:color w:val="auto"/>
        </w:rPr>
        <w:t>“So far in 2026, we’ve provided $344 billion of liquidity, helping more than 295,000 first-time homeowners achieve the American Dream. Our talented team, strong business model, and solid balance sheet enable us to deliver on our mission while generating solid earnings, including $4.2 billion in net income in the third quarter.”</w:t>
      </w:r>
    </w:p>
    <w:p>
      <w:pPr>
        <w:spacing w:after="0" w:line="53"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More information, including access to the webcast featuring our earnings presentation, our Third Quarter 2026 Form 10-Q, and other disclosures, can be found on our Quarterly and Annual Results webpage at fanniemae.com/financialresults.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Third Quarter 2026 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66610" cy="148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148590"/>
                    </a:xfrm>
                    <a:prstGeom prst="rect">
                      <a:avLst/>
                    </a:prstGeom>
                    <a:noFill/>
                  </pic:spPr>
                </pic:pic>
              </a:graphicData>
            </a:graphic>
          </wp:anchor>
        </w:drawing>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65"/>
        </w:trPr>
        <w:tc>
          <w:tcPr>
            <w:tcW w:w="314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$4.2 billion</w:t>
            </w:r>
          </w:p>
        </w:tc>
        <w:tc>
          <w:tcPr>
            <w:tcW w:w="340" w:type="dxa"/>
            <w:vAlign w:val="bottom"/>
          </w:tcPr>
          <w:p>
            <w:pPr>
              <w:spacing w:after="0"/>
              <w:rPr>
                <w:sz w:val="23"/>
                <w:szCs w:val="23"/>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$119.6 billion</w:t>
            </w:r>
          </w:p>
        </w:tc>
        <w:tc>
          <w:tcPr>
            <w:tcW w:w="340" w:type="dxa"/>
            <w:vAlign w:val="bottom"/>
          </w:tcPr>
          <w:p>
            <w:pPr>
              <w:spacing w:after="0"/>
              <w:rPr>
                <w:sz w:val="23"/>
                <w:szCs w:val="23"/>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$7.7 billion</w:t>
            </w:r>
          </w:p>
        </w:tc>
        <w:tc>
          <w:tcPr>
            <w:tcW w:w="0" w:type="dxa"/>
            <w:vAlign w:val="bottom"/>
          </w:tcPr>
          <w:p>
            <w:pPr>
              <w:spacing w:after="0"/>
              <w:rPr>
                <w:sz w:val="1"/>
                <w:szCs w:val="1"/>
                <w:color w:val="auto"/>
              </w:rPr>
            </w:pPr>
          </w:p>
        </w:tc>
      </w:tr>
      <w:tr>
        <w:trPr>
          <w:trHeight w:val="186"/>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Income</w:t>
            </w:r>
          </w:p>
        </w:tc>
        <w:tc>
          <w:tcPr>
            <w:tcW w:w="340" w:type="dxa"/>
            <w:vAlign w:val="bottom"/>
          </w:tcPr>
          <w:p>
            <w:pPr>
              <w:spacing w:after="0"/>
              <w:rPr>
                <w:sz w:val="16"/>
                <w:szCs w:val="16"/>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Worth</w:t>
            </w:r>
          </w:p>
        </w:tc>
        <w:tc>
          <w:tcPr>
            <w:tcW w:w="340" w:type="dxa"/>
            <w:vAlign w:val="bottom"/>
          </w:tcPr>
          <w:p>
            <w:pPr>
              <w:spacing w:after="0"/>
              <w:rPr>
                <w:sz w:val="16"/>
                <w:szCs w:val="16"/>
                <w:color w:val="auto"/>
              </w:rPr>
            </w:pPr>
          </w:p>
        </w:tc>
        <w:tc>
          <w:tcPr>
            <w:tcW w:w="3400" w:type="dxa"/>
            <w:vAlign w:val="bottom"/>
            <w:shd w:val="clear" w:color="auto" w:fill="F8F8F7"/>
          </w:tcPr>
          <w:p>
            <w:pPr>
              <w:jc w:val="center"/>
              <w:spacing w:after="0" w:line="185" w:lineRule="exact"/>
              <w:rPr>
                <w:sz w:val="20"/>
                <w:szCs w:val="20"/>
                <w:color w:val="auto"/>
              </w:rPr>
            </w:pPr>
            <w:r>
              <w:rPr>
                <w:rFonts w:ascii="Arial" w:cs="Arial" w:eastAsia="Arial" w:hAnsi="Arial"/>
                <w:sz w:val="13"/>
                <w:szCs w:val="13"/>
                <w:b w:val="1"/>
                <w:bCs w:val="1"/>
                <w:color w:val="auto"/>
                <w:w w:val="98"/>
              </w:rPr>
              <w:t>Net Revenues</w:t>
            </w:r>
            <w:r>
              <w:rPr>
                <w:rFonts w:ascii="Arial" w:cs="Arial" w:eastAsia="Arial" w:hAnsi="Arial"/>
                <w:sz w:val="17"/>
                <w:szCs w:val="17"/>
                <w:b w:val="1"/>
                <w:bCs w:val="1"/>
                <w:color w:val="auto"/>
                <w:w w:val="98"/>
                <w:vertAlign w:val="superscript"/>
              </w:rPr>
              <w:t>(2)</w:t>
            </w:r>
          </w:p>
        </w:tc>
        <w:tc>
          <w:tcPr>
            <w:tcW w:w="0" w:type="dxa"/>
            <w:vAlign w:val="bottom"/>
          </w:tcPr>
          <w:p>
            <w:pPr>
              <w:spacing w:after="0"/>
              <w:rPr>
                <w:sz w:val="1"/>
                <w:szCs w:val="1"/>
                <w:color w:val="auto"/>
              </w:rPr>
            </w:pPr>
          </w:p>
        </w:tc>
      </w:tr>
      <w:tr>
        <w:trPr>
          <w:trHeight w:val="144"/>
        </w:trPr>
        <w:tc>
          <w:tcPr>
            <w:tcW w:w="314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($4.0 billion in 2Q 2026)</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6"/>
              </w:rPr>
              <w:t>($116.5 billion in 2Q 2026)</w:t>
            </w:r>
          </w:p>
        </w:tc>
        <w:tc>
          <w:tcPr>
            <w:tcW w:w="340" w:type="dxa"/>
            <w:vAlign w:val="bottom"/>
          </w:tcPr>
          <w:p>
            <w:pPr>
              <w:spacing w:after="0"/>
              <w:rPr>
                <w:sz w:val="12"/>
                <w:szCs w:val="12"/>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($7.6 billion in 2Q 2026)</w:t>
            </w:r>
          </w:p>
        </w:tc>
        <w:tc>
          <w:tcPr>
            <w:tcW w:w="0" w:type="dxa"/>
            <w:vAlign w:val="bottom"/>
          </w:tcPr>
          <w:p>
            <w:pPr>
              <w:spacing w:after="0"/>
              <w:rPr>
                <w:sz w:val="1"/>
                <w:szCs w:val="1"/>
                <w:color w:val="auto"/>
              </w:rPr>
            </w:pPr>
          </w:p>
        </w:tc>
      </w:tr>
      <w:tr>
        <w:trPr>
          <w:trHeight w:val="99"/>
        </w:trPr>
        <w:tc>
          <w:tcPr>
            <w:tcW w:w="31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14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$4.1 trillion</w:t>
            </w:r>
          </w:p>
        </w:tc>
        <w:tc>
          <w:tcPr>
            <w:tcW w:w="340" w:type="dxa"/>
            <w:vAlign w:val="bottom"/>
            <w:vMerge w:val="continue"/>
          </w:tcPr>
          <w:p>
            <w:pPr>
              <w:spacing w:after="0"/>
              <w:rPr>
                <w:sz w:val="23"/>
                <w:szCs w:val="23"/>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6"/>
              </w:rPr>
              <w:t>10.25%</w:t>
            </w:r>
          </w:p>
        </w:tc>
        <w:tc>
          <w:tcPr>
            <w:tcW w:w="340" w:type="dxa"/>
            <w:vAlign w:val="bottom"/>
            <w:vMerge w:val="continue"/>
          </w:tcPr>
          <w:p>
            <w:pPr>
              <w:spacing w:after="0"/>
              <w:rPr>
                <w:sz w:val="23"/>
                <w:szCs w:val="23"/>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6"/>
              </w:rPr>
              <w:t>11.1%</w:t>
            </w:r>
          </w:p>
        </w:tc>
        <w:tc>
          <w:tcPr>
            <w:tcW w:w="0" w:type="dxa"/>
            <w:vAlign w:val="bottom"/>
          </w:tcPr>
          <w:p>
            <w:pPr>
              <w:spacing w:after="0"/>
              <w:rPr>
                <w:sz w:val="1"/>
                <w:szCs w:val="1"/>
                <w:color w:val="auto"/>
              </w:rPr>
            </w:pPr>
          </w:p>
        </w:tc>
      </w:tr>
      <w:tr>
        <w:trPr>
          <w:trHeight w:val="186"/>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Guaranty Book of Business</w:t>
            </w:r>
          </w:p>
        </w:tc>
        <w:tc>
          <w:tcPr>
            <w:tcW w:w="340" w:type="dxa"/>
            <w:vAlign w:val="bottom"/>
          </w:tcPr>
          <w:p>
            <w:pPr>
              <w:spacing w:after="0"/>
              <w:rPr>
                <w:sz w:val="16"/>
                <w:szCs w:val="16"/>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2"/>
                <w:szCs w:val="12"/>
                <w:b w:val="1"/>
                <w:bCs w:val="1"/>
                <w:color w:val="auto"/>
                <w:w w:val="99"/>
              </w:rPr>
              <w:t>Administrative Expense Ratio</w:t>
            </w:r>
            <w:r>
              <w:rPr>
                <w:rFonts w:ascii="Arial" w:cs="Arial" w:eastAsia="Arial" w:hAnsi="Arial"/>
                <w:sz w:val="15"/>
                <w:szCs w:val="15"/>
                <w:b w:val="1"/>
                <w:bCs w:val="1"/>
                <w:color w:val="auto"/>
                <w:w w:val="99"/>
                <w:vertAlign w:val="superscript"/>
              </w:rPr>
              <w:t>(3)</w:t>
            </w:r>
          </w:p>
        </w:tc>
        <w:tc>
          <w:tcPr>
            <w:tcW w:w="340" w:type="dxa"/>
            <w:vAlign w:val="bottom"/>
          </w:tcPr>
          <w:p>
            <w:pPr>
              <w:spacing w:after="0"/>
              <w:rPr>
                <w:sz w:val="16"/>
                <w:szCs w:val="16"/>
                <w:color w:val="auto"/>
              </w:rPr>
            </w:pPr>
          </w:p>
        </w:tc>
        <w:tc>
          <w:tcPr>
            <w:tcW w:w="3400" w:type="dxa"/>
            <w:vAlign w:val="bottom"/>
            <w:shd w:val="clear" w:color="auto" w:fill="F8F8F7"/>
          </w:tcPr>
          <w:p>
            <w:pPr>
              <w:jc w:val="center"/>
              <w:spacing w:after="0" w:line="185" w:lineRule="exact"/>
              <w:rPr>
                <w:sz w:val="20"/>
                <w:szCs w:val="20"/>
                <w:color w:val="auto"/>
              </w:rPr>
            </w:pPr>
            <w:r>
              <w:rPr>
                <w:rFonts w:ascii="Arial" w:cs="Arial" w:eastAsia="Arial" w:hAnsi="Arial"/>
                <w:sz w:val="13"/>
                <w:szCs w:val="13"/>
                <w:b w:val="1"/>
                <w:bCs w:val="1"/>
                <w:color w:val="auto"/>
                <w:w w:val="99"/>
              </w:rPr>
              <w:t>Illust. Return on Avg. Req. CET1</w:t>
            </w:r>
            <w:r>
              <w:rPr>
                <w:rFonts w:ascii="Arial" w:cs="Arial" w:eastAsia="Arial" w:hAnsi="Arial"/>
                <w:sz w:val="17"/>
                <w:szCs w:val="17"/>
                <w:b w:val="1"/>
                <w:bCs w:val="1"/>
                <w:color w:val="auto"/>
                <w:w w:val="99"/>
                <w:vertAlign w:val="superscript"/>
              </w:rPr>
              <w:t>(1)</w:t>
            </w:r>
          </w:p>
        </w:tc>
        <w:tc>
          <w:tcPr>
            <w:tcW w:w="0" w:type="dxa"/>
            <w:vAlign w:val="bottom"/>
          </w:tcPr>
          <w:p>
            <w:pPr>
              <w:spacing w:after="0"/>
              <w:rPr>
                <w:sz w:val="1"/>
                <w:szCs w:val="1"/>
                <w:color w:val="auto"/>
              </w:rPr>
            </w:pPr>
          </w:p>
        </w:tc>
      </w:tr>
      <w:tr>
        <w:trPr>
          <w:trHeight w:val="142"/>
        </w:trPr>
        <w:tc>
          <w:tcPr>
            <w:tcW w:w="314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($4.1 trillion in 2Q 2026)</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(10.72% in 2Q 2026)</w:t>
            </w:r>
          </w:p>
        </w:tc>
        <w:tc>
          <w:tcPr>
            <w:tcW w:w="340" w:type="dxa"/>
            <w:vAlign w:val="bottom"/>
          </w:tcPr>
          <w:p>
            <w:pPr>
              <w:spacing w:after="0"/>
              <w:rPr>
                <w:sz w:val="12"/>
                <w:szCs w:val="12"/>
                <w:color w:val="auto"/>
              </w:rPr>
            </w:pPr>
          </w:p>
        </w:tc>
        <w:tc>
          <w:tcPr>
            <w:tcW w:w="340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(10.8% in 2Q 2026)</w:t>
            </w:r>
          </w:p>
        </w:tc>
        <w:tc>
          <w:tcPr>
            <w:tcW w:w="0" w:type="dxa"/>
            <w:vAlign w:val="bottom"/>
          </w:tcPr>
          <w:p>
            <w:pPr>
              <w:spacing w:after="0"/>
              <w:rPr>
                <w:sz w:val="1"/>
                <w:szCs w:val="1"/>
                <w:color w:val="auto"/>
              </w:rPr>
            </w:pPr>
          </w:p>
        </w:tc>
      </w:tr>
      <w:tr>
        <w:trPr>
          <w:trHeight w:val="72"/>
        </w:trPr>
        <w:tc>
          <w:tcPr>
            <w:tcW w:w="3140" w:type="dxa"/>
            <w:vAlign w:val="bottom"/>
            <w:vMerge w:val="continue"/>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vMerge w:val="continue"/>
            <w:shd w:val="clear" w:color="auto" w:fill="F8F8F7"/>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14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shd w:val="clear" w:color="auto" w:fill="F8F8F7"/>
          </w:tcPr>
          <w:p>
            <w:pPr>
              <w:spacing w:after="0"/>
              <w:rPr>
                <w:sz w:val="6"/>
                <w:szCs w:val="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Business Impact and Quarterly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66610" cy="148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148590"/>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p>
      <w:pPr>
        <w:spacing w:after="0" w:line="211" w:lineRule="exact"/>
        <w:rPr>
          <w:sz w:val="20"/>
          <w:szCs w:val="20"/>
          <w:color w:val="auto"/>
        </w:rPr>
      </w:pPr>
    </w:p>
    <w:p>
      <w:pPr>
        <w:jc w:val="center"/>
        <w:ind w:left="120"/>
        <w:spacing w:after="0"/>
        <w:rPr>
          <w:sz w:val="20"/>
          <w:szCs w:val="20"/>
          <w:color w:val="auto"/>
        </w:rPr>
      </w:pPr>
      <w:r>
        <w:rPr>
          <w:rFonts w:ascii="Arial" w:cs="Arial" w:eastAsia="Arial" w:hAnsi="Arial"/>
          <w:sz w:val="13"/>
          <w:szCs w:val="13"/>
          <w:b w:val="1"/>
          <w:bCs w:val="1"/>
          <w:u w:val="single" w:color="auto"/>
          <w:color w:val="00497F"/>
        </w:rPr>
        <w:t>Mortgage Acquisitions</w:t>
      </w:r>
    </w:p>
    <w:p>
      <w:pPr>
        <w:spacing w:after="0" w:line="30" w:lineRule="exact"/>
        <w:rPr>
          <w:sz w:val="20"/>
          <w:szCs w:val="20"/>
          <w:color w:val="auto"/>
        </w:rPr>
      </w:pPr>
    </w:p>
    <w:p>
      <w:pPr>
        <w:jc w:val="center"/>
        <w:ind w:left="120"/>
        <w:spacing w:after="0"/>
        <w:rPr>
          <w:sz w:val="20"/>
          <w:szCs w:val="20"/>
          <w:color w:val="auto"/>
        </w:rPr>
      </w:pPr>
      <w:r>
        <w:rPr>
          <w:rFonts w:ascii="Arial" w:cs="Arial" w:eastAsia="Arial" w:hAnsi="Arial"/>
          <w:sz w:val="12"/>
          <w:szCs w:val="12"/>
          <w:b w:val="1"/>
          <w:bCs w:val="1"/>
          <w:i w:val="1"/>
          <w:iCs w:val="1"/>
          <w:color w:val="00497F"/>
        </w:rPr>
        <w:t>Enabled the financing of ~356,000 home purchases,</w:t>
      </w:r>
    </w:p>
    <w:p>
      <w:pPr>
        <w:spacing w:after="0" w:line="2" w:lineRule="exact"/>
        <w:rPr>
          <w:sz w:val="20"/>
          <w:szCs w:val="20"/>
          <w:color w:val="auto"/>
        </w:rPr>
      </w:pPr>
    </w:p>
    <w:p>
      <w:pPr>
        <w:jc w:val="center"/>
        <w:ind w:left="120"/>
        <w:spacing w:after="0"/>
        <w:rPr>
          <w:sz w:val="20"/>
          <w:szCs w:val="20"/>
          <w:color w:val="auto"/>
        </w:rPr>
      </w:pPr>
      <w:r>
        <w:rPr>
          <w:rFonts w:ascii="Arial" w:cs="Arial" w:eastAsia="Arial" w:hAnsi="Arial"/>
          <w:sz w:val="11"/>
          <w:szCs w:val="11"/>
          <w:b w:val="1"/>
          <w:bCs w:val="1"/>
          <w:i w:val="1"/>
          <w:iCs w:val="1"/>
          <w:color w:val="00497F"/>
        </w:rPr>
        <w:t>refinancings, and rental units in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114300</wp:posOffset>
            </wp:positionV>
            <wp:extent cx="2303145" cy="142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314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340"/>
        <w:spacing w:after="0" w:line="239" w:lineRule="auto"/>
        <w:rPr>
          <w:sz w:val="20"/>
          <w:szCs w:val="20"/>
          <w:color w:val="auto"/>
        </w:rPr>
      </w:pPr>
      <w:r>
        <w:rPr>
          <w:rFonts w:ascii="Arial" w:cs="Arial" w:eastAsia="Arial" w:hAnsi="Arial"/>
          <w:sz w:val="12"/>
          <w:szCs w:val="12"/>
          <w:b w:val="1"/>
          <w:bCs w:val="1"/>
          <w:color w:val="auto"/>
        </w:rPr>
        <w:t xml:space="preserve">$103 billion in liquidity </w:t>
      </w:r>
      <w:r>
        <w:rPr>
          <w:rFonts w:ascii="Arial" w:cs="Arial" w:eastAsia="Arial" w:hAnsi="Arial"/>
          <w:sz w:val="12"/>
          <w:szCs w:val="12"/>
          <w:color w:val="auto"/>
        </w:rPr>
        <w:t>provided to mortgage market, supporting approximately 194,000 home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purchases, 66,000 refinancings, and 96,000 rental units.</w:t>
      </w:r>
    </w:p>
    <w:p>
      <w:pPr>
        <w:spacing w:after="0" w:line="49" w:lineRule="exact"/>
        <w:rPr>
          <w:sz w:val="20"/>
          <w:szCs w:val="20"/>
          <w:color w:val="auto"/>
        </w:rPr>
      </w:pPr>
    </w:p>
    <w:p>
      <w:pPr>
        <w:ind w:right="360"/>
        <w:spacing w:after="0" w:line="239" w:lineRule="auto"/>
        <w:rPr>
          <w:sz w:val="20"/>
          <w:szCs w:val="20"/>
          <w:color w:val="auto"/>
        </w:rPr>
      </w:pPr>
      <w:r>
        <w:rPr>
          <w:rFonts w:ascii="Arial" w:cs="Arial" w:eastAsia="Arial" w:hAnsi="Arial"/>
          <w:sz w:val="12"/>
          <w:szCs w:val="12"/>
          <w:b w:val="1"/>
          <w:bCs w:val="1"/>
          <w:color w:val="auto"/>
        </w:rPr>
        <w:t xml:space="preserve">Helped nearly 103,000 first-time homebuyers </w:t>
      </w:r>
      <w:r>
        <w:rPr>
          <w:rFonts w:ascii="Arial" w:cs="Arial" w:eastAsia="Arial" w:hAnsi="Arial"/>
          <w:sz w:val="12"/>
          <w:szCs w:val="12"/>
          <w:color w:val="auto"/>
        </w:rPr>
        <w:t>purchase a home, representing 53% of single-family purchase acquisitions.</w:t>
      </w:r>
    </w:p>
    <w:p>
      <w:pPr>
        <w:spacing w:after="0" w:line="49" w:lineRule="exact"/>
        <w:rPr>
          <w:sz w:val="20"/>
          <w:szCs w:val="20"/>
          <w:color w:val="auto"/>
        </w:rPr>
      </w:pPr>
    </w:p>
    <w:p>
      <w:pPr>
        <w:ind w:right="280"/>
        <w:spacing w:after="0" w:line="239" w:lineRule="auto"/>
        <w:rPr>
          <w:sz w:val="20"/>
          <w:szCs w:val="20"/>
          <w:color w:val="auto"/>
        </w:rPr>
      </w:pPr>
      <w:r>
        <w:rPr>
          <w:rFonts w:ascii="Arial" w:cs="Arial" w:eastAsia="Arial" w:hAnsi="Arial"/>
          <w:sz w:val="12"/>
          <w:szCs w:val="12"/>
          <w:b w:val="1"/>
          <w:bCs w:val="1"/>
          <w:color w:val="auto"/>
        </w:rPr>
        <w:t xml:space="preserve">47% of single-family acquisitions </w:t>
      </w:r>
      <w:r>
        <w:rPr>
          <w:rFonts w:ascii="Arial" w:cs="Arial" w:eastAsia="Arial" w:hAnsi="Arial"/>
          <w:sz w:val="12"/>
          <w:szCs w:val="12"/>
          <w:color w:val="auto"/>
        </w:rPr>
        <w:t>w</w:t>
      </w:r>
      <w:r>
        <w:rPr>
          <w:rFonts w:ascii="Arial" w:cs="Arial" w:eastAsia="Arial" w:hAnsi="Arial"/>
          <w:sz w:val="12"/>
          <w:szCs w:val="12"/>
          <w:i w:val="1"/>
          <w:iCs w:val="1"/>
          <w:color w:val="auto"/>
        </w:rPr>
        <w:t>e</w:t>
      </w:r>
      <w:r>
        <w:rPr>
          <w:rFonts w:ascii="Arial" w:cs="Arial" w:eastAsia="Arial" w:hAnsi="Arial"/>
          <w:sz w:val="12"/>
          <w:szCs w:val="12"/>
          <w:color w:val="auto"/>
        </w:rPr>
        <w:t>nt to low- and middle- income borrowers earning no more</w:t>
      </w:r>
      <w:r>
        <w:rPr>
          <w:rFonts w:ascii="Arial" w:cs="Arial" w:eastAsia="Arial" w:hAnsi="Arial"/>
          <w:sz w:val="12"/>
          <w:szCs w:val="12"/>
          <w:b w:val="1"/>
          <w:bCs w:val="1"/>
          <w:color w:val="auto"/>
        </w:rPr>
        <w:t xml:space="preserve"> </w:t>
      </w:r>
      <w:r>
        <w:rPr>
          <w:rFonts w:ascii="Arial" w:cs="Arial" w:eastAsia="Arial" w:hAnsi="Arial"/>
          <w:sz w:val="12"/>
          <w:szCs w:val="12"/>
          <w:color w:val="auto"/>
        </w:rPr>
        <w:t>than 100% of area median income.</w:t>
      </w:r>
    </w:p>
    <w:p>
      <w:pPr>
        <w:spacing w:after="0" w:line="49" w:lineRule="exact"/>
        <w:rPr>
          <w:sz w:val="20"/>
          <w:szCs w:val="20"/>
          <w:color w:val="auto"/>
        </w:rPr>
      </w:pPr>
    </w:p>
    <w:p>
      <w:pPr>
        <w:ind w:right="180"/>
        <w:spacing w:after="0" w:line="239" w:lineRule="auto"/>
        <w:rPr>
          <w:sz w:val="20"/>
          <w:szCs w:val="20"/>
          <w:color w:val="auto"/>
        </w:rPr>
      </w:pPr>
      <w:r>
        <w:rPr>
          <w:rFonts w:ascii="Arial" w:cs="Arial" w:eastAsia="Arial" w:hAnsi="Arial"/>
          <w:sz w:val="12"/>
          <w:szCs w:val="12"/>
          <w:b w:val="1"/>
          <w:bCs w:val="1"/>
          <w:color w:val="auto"/>
        </w:rPr>
        <w:t xml:space="preserve">77% of multifamily units financed </w:t>
      </w:r>
      <w:r>
        <w:rPr>
          <w:rFonts w:ascii="Arial" w:cs="Arial" w:eastAsia="Arial" w:hAnsi="Arial"/>
          <w:sz w:val="12"/>
          <w:szCs w:val="12"/>
          <w:color w:val="auto"/>
        </w:rPr>
        <w:t>were affordable to renters earning no more than 100% of area</w:t>
      </w:r>
      <w:r>
        <w:rPr>
          <w:rFonts w:ascii="Arial" w:cs="Arial" w:eastAsia="Arial" w:hAnsi="Arial"/>
          <w:sz w:val="12"/>
          <w:szCs w:val="12"/>
          <w:b w:val="1"/>
          <w:bCs w:val="1"/>
          <w:color w:val="auto"/>
        </w:rPr>
        <w:t xml:space="preserve"> </w:t>
      </w:r>
      <w:r>
        <w:rPr>
          <w:rFonts w:ascii="Arial" w:cs="Arial" w:eastAsia="Arial" w:hAnsi="Arial"/>
          <w:sz w:val="12"/>
          <w:szCs w:val="12"/>
          <w:color w:val="auto"/>
        </w:rPr>
        <w:t>median income.</w:t>
      </w:r>
    </w:p>
    <w:p>
      <w:pPr>
        <w:spacing w:after="0" w:line="49" w:lineRule="exact"/>
        <w:rPr>
          <w:sz w:val="20"/>
          <w:szCs w:val="20"/>
          <w:color w:val="auto"/>
        </w:rPr>
      </w:pPr>
    </w:p>
    <w:p>
      <w:pPr>
        <w:ind w:right="220"/>
        <w:spacing w:after="0" w:line="239" w:lineRule="auto"/>
        <w:rPr>
          <w:sz w:val="20"/>
          <w:szCs w:val="20"/>
          <w:color w:val="auto"/>
        </w:rPr>
      </w:pPr>
      <w:r>
        <w:rPr>
          <w:rFonts w:ascii="Arial" w:cs="Arial" w:eastAsia="Arial" w:hAnsi="Arial"/>
          <w:sz w:val="12"/>
          <w:szCs w:val="12"/>
          <w:b w:val="1"/>
          <w:bCs w:val="1"/>
          <w:color w:val="auto"/>
        </w:rPr>
        <w:t xml:space="preserve">Our foreclosure prevention solutions </w:t>
      </w:r>
      <w:r>
        <w:rPr>
          <w:rFonts w:ascii="Arial" w:cs="Arial" w:eastAsia="Arial" w:hAnsi="Arial"/>
          <w:sz w:val="12"/>
          <w:szCs w:val="12"/>
          <w:color w:val="auto"/>
        </w:rPr>
        <w:t>allowed more than 21,000 homeowners to remain in their</w:t>
      </w:r>
      <w:r>
        <w:rPr>
          <w:rFonts w:ascii="Arial" w:cs="Arial" w:eastAsia="Arial" w:hAnsi="Arial"/>
          <w:sz w:val="12"/>
          <w:szCs w:val="12"/>
          <w:b w:val="1"/>
          <w:bCs w:val="1"/>
          <w:color w:val="auto"/>
        </w:rPr>
        <w:t xml:space="preserve"> </w:t>
      </w:r>
      <w:r>
        <w:rPr>
          <w:rFonts w:ascii="Arial" w:cs="Arial" w:eastAsia="Arial" w:hAnsi="Arial"/>
          <w:sz w:val="12"/>
          <w:szCs w:val="12"/>
          <w:color w:val="auto"/>
        </w:rPr>
        <w:t>homes.</w:t>
      </w:r>
    </w:p>
    <w:p>
      <w:pPr>
        <w:spacing w:after="0" w:line="49"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b w:val="1"/>
          <w:bCs w:val="1"/>
          <w:color w:val="auto"/>
        </w:rPr>
        <w:t xml:space="preserve">Promoting greater choice and better access </w:t>
      </w:r>
      <w:r>
        <w:rPr>
          <w:rFonts w:ascii="Arial" w:cs="Arial" w:eastAsia="Arial" w:hAnsi="Arial"/>
          <w:sz w:val="12"/>
          <w:szCs w:val="12"/>
          <w:color w:val="auto"/>
        </w:rPr>
        <w:t>to homeownership through VantageScore 4.0</w:t>
      </w:r>
      <w:r>
        <w:rPr>
          <w:rFonts w:ascii="Arial" w:cs="Arial" w:eastAsia="Arial" w:hAnsi="Arial"/>
          <w:sz w:val="12"/>
          <w:szCs w:val="12"/>
          <w:b w:val="1"/>
          <w:bCs w:val="1"/>
          <w:color w:val="auto"/>
        </w:rPr>
        <w:t xml:space="preserve"> </w:t>
      </w:r>
      <w:r>
        <w:rPr>
          <w:rFonts w:ascii="Arial" w:cs="Arial" w:eastAsia="Arial" w:hAnsi="Arial"/>
          <w:sz w:val="12"/>
          <w:szCs w:val="12"/>
          <w:color w:val="auto"/>
        </w:rPr>
        <w:t>expansion.</w:t>
      </w:r>
    </w:p>
    <w:p>
      <w:pPr>
        <w:spacing w:after="0" w:line="200" w:lineRule="exact"/>
        <w:rPr>
          <w:sz w:val="20"/>
          <w:szCs w:val="20"/>
          <w:color w:val="auto"/>
        </w:rPr>
      </w:pPr>
    </w:p>
    <w:p>
      <w:pPr>
        <w:sectPr>
          <w:pgSz w:w="11900" w:h="16838" w:orient="portrait"/>
          <w:cols w:equalWidth="0" w:num="2">
            <w:col w:w="5180" w:space="720"/>
            <w:col w:w="5400"/>
          </w:cols>
          <w:pgMar w:left="300" w:top="653" w:right="299" w:bottom="1440" w:gutter="0" w:footer="0" w:header="0"/>
          <w:type w:val="continuous"/>
        </w:sectPr>
      </w:pPr>
    </w:p>
    <w:p>
      <w:pPr>
        <w:spacing w:after="0" w:line="55" w:lineRule="exact"/>
        <w:rPr>
          <w:sz w:val="20"/>
          <w:szCs w:val="20"/>
          <w:color w:val="auto"/>
        </w:rPr>
      </w:pPr>
    </w:p>
    <w:p>
      <w:pPr>
        <w:ind w:left="9700"/>
        <w:spacing w:after="0"/>
        <w:rPr>
          <w:sz w:val="20"/>
          <w:szCs w:val="20"/>
          <w:color w:val="auto"/>
        </w:rPr>
      </w:pPr>
      <w:r>
        <w:rPr>
          <w:rFonts w:ascii="Arial" w:cs="Arial" w:eastAsia="Arial" w:hAnsi="Arial"/>
          <w:sz w:val="10"/>
          <w:szCs w:val="10"/>
          <w:i w:val="1"/>
          <w:iCs w:val="1"/>
          <w:color w:val="auto"/>
        </w:rPr>
        <w:t>Endnotes are presented on page 5</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8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Third Quarter 2026</w:t>
            </w:r>
          </w:p>
        </w:tc>
        <w:tc>
          <w:tcPr>
            <w:tcW w:w="522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1</w:t>
            </w:r>
          </w:p>
        </w:tc>
      </w:tr>
    </w:tbl>
    <w:p>
      <w:pPr>
        <w:sectPr>
          <w:pgSz w:w="11900" w:h="16838" w:orient="portrait"/>
          <w:cols w:equalWidth="0" w:num="1">
            <w:col w:w="11300"/>
          </w:cols>
          <w:pgMar w:left="300" w:top="653"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Summary of Financial Results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Chryssa C. Halley, Chief Financial Officer, Fannie Mae:</w:t>
      </w:r>
    </w:p>
    <w:p>
      <w:pPr>
        <w:spacing w:after="0" w:line="9" w:lineRule="exact"/>
        <w:rPr>
          <w:sz w:val="20"/>
          <w:szCs w:val="20"/>
          <w:color w:val="auto"/>
        </w:rPr>
      </w:pPr>
    </w:p>
    <w:p>
      <w:pPr>
        <w:ind w:right="520"/>
        <w:spacing w:after="0" w:line="265" w:lineRule="auto"/>
        <w:rPr>
          <w:sz w:val="20"/>
          <w:szCs w:val="20"/>
          <w:color w:val="auto"/>
        </w:rPr>
      </w:pPr>
      <w:r>
        <w:rPr>
          <w:rFonts w:ascii="Arial" w:cs="Arial" w:eastAsia="Arial" w:hAnsi="Arial"/>
          <w:sz w:val="12"/>
          <w:szCs w:val="12"/>
          <w:color w:val="auto"/>
        </w:rPr>
        <w:t>“Fannie Mae’s continued profitability underscores the stability of our guaranty fee-driven business model and the strength of our balance sheet—as well as our ability to deliver reliable liquidity in all market conditions. Bolstered by our more efficient operations and continued focus on safety and soundness, we increased net income to $4.2 billion in the third quarter and our net worth to $119.6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1343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34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Key Highlights — 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88" w:lineRule="exact"/>
        <w:rPr>
          <w:sz w:val="20"/>
          <w:szCs w:val="20"/>
          <w:color w:val="auto"/>
        </w:rPr>
      </w:pPr>
    </w:p>
    <w:p>
      <w:pPr>
        <w:ind w:left="200" w:right="300" w:hanging="128"/>
        <w:spacing w:after="0" w:line="268" w:lineRule="auto"/>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Net revenues increased </w:t>
      </w:r>
      <w:r>
        <w:rPr>
          <w:rFonts w:ascii="Arial" w:cs="Arial" w:eastAsia="Arial" w:hAnsi="Arial"/>
          <w:sz w:val="11"/>
          <w:szCs w:val="11"/>
          <w:color w:val="auto"/>
        </w:rPr>
        <w:t>to $7.7 billion, primarily consisting of guaranty fee income on the company’s $4.1 trillion guaranty book of business. The increase in net revenues was primarily driven by higher net interest income from</w:t>
      </w:r>
      <w:r>
        <w:rPr>
          <w:rFonts w:ascii="Arial" w:cs="Arial" w:eastAsia="Arial" w:hAnsi="Arial"/>
          <w:sz w:val="11"/>
          <w:szCs w:val="11"/>
          <w:b w:val="1"/>
          <w:bCs w:val="1"/>
          <w:color w:val="auto"/>
        </w:rPr>
        <w:t xml:space="preserve"> </w:t>
      </w:r>
      <w:r>
        <w:rPr>
          <w:rFonts w:ascii="Arial" w:cs="Arial" w:eastAsia="Arial" w:hAnsi="Arial"/>
          <w:sz w:val="11"/>
          <w:szCs w:val="11"/>
          <w:color w:val="auto"/>
        </w:rPr>
        <w:t>portfolios, compared with 2Q 2026.</w:t>
      </w:r>
    </w:p>
    <w:p>
      <w:pPr>
        <w:spacing w:after="0" w:line="59" w:lineRule="exact"/>
        <w:rPr>
          <w:rFonts w:ascii="Arial" w:cs="Arial" w:eastAsia="Arial" w:hAnsi="Arial"/>
          <w:sz w:val="11"/>
          <w:szCs w:val="11"/>
          <w:color w:val="auto"/>
        </w:rPr>
      </w:pPr>
    </w:p>
    <w:p>
      <w:pPr>
        <w:ind w:left="200" w:right="320" w:hanging="128"/>
        <w:spacing w:after="0" w:line="268" w:lineRule="auto"/>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Provision for credit losses </w:t>
      </w:r>
      <w:r>
        <w:rPr>
          <w:rFonts w:ascii="Arial" w:cs="Arial" w:eastAsia="Arial" w:hAnsi="Arial"/>
          <w:sz w:val="11"/>
          <w:szCs w:val="11"/>
          <w:color w:val="auto"/>
        </w:rPr>
        <w:t>of $1.1 billion, compared with $485 million in 2Q 2026. The single-family provision primarily reflects higher actual and projected interest rates, newly acquired loans, and newly delinquent loans. The</w:t>
      </w:r>
      <w:r>
        <w:rPr>
          <w:rFonts w:ascii="Arial" w:cs="Arial" w:eastAsia="Arial" w:hAnsi="Arial"/>
          <w:sz w:val="11"/>
          <w:szCs w:val="11"/>
          <w:b w:val="1"/>
          <w:bCs w:val="1"/>
          <w:color w:val="auto"/>
        </w:rPr>
        <w:t xml:space="preserve"> </w:t>
      </w:r>
      <w:r>
        <w:rPr>
          <w:rFonts w:ascii="Arial" w:cs="Arial" w:eastAsia="Arial" w:hAnsi="Arial"/>
          <w:sz w:val="11"/>
          <w:szCs w:val="11"/>
          <w:color w:val="auto"/>
        </w:rPr>
        <w:t>multifamily provision primarily reflects weakening credit metrics on multifamily loans, a decline in our near-term property value forecast, and elevated interest rates.</w:t>
      </w:r>
    </w:p>
    <w:p>
      <w:pPr>
        <w:spacing w:after="0" w:line="59"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Non-interest expense increased </w:t>
      </w:r>
      <w:r>
        <w:rPr>
          <w:rFonts w:ascii="Arial" w:cs="Arial" w:eastAsia="Arial" w:hAnsi="Arial"/>
          <w:sz w:val="11"/>
          <w:szCs w:val="11"/>
          <w:color w:val="auto"/>
        </w:rPr>
        <w:t>to $2.1 billion, compared with 2Q 2026, driven primarily by a shift from other income to other expense, partially offset by lower administrative expenses.</w:t>
      </w:r>
    </w:p>
    <w:p>
      <w:pPr>
        <w:spacing w:after="0" w:line="80"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Other gains </w:t>
      </w:r>
      <w:r>
        <w:rPr>
          <w:rFonts w:ascii="Arial" w:cs="Arial" w:eastAsia="Arial" w:hAnsi="Arial"/>
          <w:sz w:val="11"/>
          <w:szCs w:val="11"/>
          <w:color w:val="auto"/>
        </w:rPr>
        <w:t>totaled $724 million, driven primarily by net fair value gains.</w:t>
      </w:r>
    </w:p>
    <w:p>
      <w:pPr>
        <w:spacing w:after="0" w:line="80"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Other comprehensive losses increased </w:t>
      </w:r>
      <w:r>
        <w:rPr>
          <w:rFonts w:ascii="Arial" w:cs="Arial" w:eastAsia="Arial" w:hAnsi="Arial"/>
          <w:sz w:val="11"/>
          <w:szCs w:val="11"/>
          <w:color w:val="auto"/>
        </w:rPr>
        <w:t>by $885 million, compared with 2Q 2026, driven by unrealized losses on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26605"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6605" cy="11430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Summary of Consolidated Financial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0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4"/>
                <w:szCs w:val="14"/>
                <w:color w:val="auto"/>
              </w:rPr>
            </w:pPr>
          </w:p>
        </w:tc>
        <w:tc>
          <w:tcPr>
            <w:tcW w:w="180" w:type="dxa"/>
            <w:vAlign w:val="bottom"/>
            <w:tcBorders>
              <w:top w:val="single" w:sz="8" w:color="1C6FA3"/>
              <w:bottom w:val="single" w:sz="8" w:color="5587A6"/>
            </w:tcBorders>
          </w:tcPr>
          <w:p>
            <w:pPr>
              <w:spacing w:after="0"/>
              <w:rPr>
                <w:sz w:val="14"/>
                <w:szCs w:val="14"/>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3Q26</w:t>
            </w:r>
          </w:p>
        </w:tc>
        <w:tc>
          <w:tcPr>
            <w:tcW w:w="80" w:type="dxa"/>
            <w:vAlign w:val="bottom"/>
            <w:tcBorders>
              <w:top w:val="single" w:sz="8" w:color="1C6FA3"/>
            </w:tcBorders>
          </w:tcPr>
          <w:p>
            <w:pPr>
              <w:spacing w:after="0"/>
              <w:rPr>
                <w:sz w:val="14"/>
                <w:szCs w:val="14"/>
                <w:color w:val="auto"/>
              </w:rPr>
            </w:pPr>
          </w:p>
        </w:tc>
        <w:tc>
          <w:tcPr>
            <w:tcW w:w="180" w:type="dxa"/>
            <w:vAlign w:val="bottom"/>
            <w:tcBorders>
              <w:top w:val="single" w:sz="8" w:color="1C6FA3"/>
              <w:bottom w:val="single" w:sz="8" w:color="5587A6"/>
            </w:tcBorders>
          </w:tcPr>
          <w:p>
            <w:pPr>
              <w:spacing w:after="0"/>
              <w:rPr>
                <w:sz w:val="14"/>
                <w:szCs w:val="14"/>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2Q26</w:t>
            </w:r>
          </w:p>
        </w:tc>
        <w:tc>
          <w:tcPr>
            <w:tcW w:w="8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0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4"/>
                <w:szCs w:val="14"/>
                <w:color w:val="auto"/>
              </w:rPr>
            </w:pPr>
          </w:p>
        </w:tc>
        <w:tc>
          <w:tcPr>
            <w:tcW w:w="94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c>
          <w:tcPr>
            <w:tcW w:w="60" w:type="dxa"/>
            <w:vAlign w:val="bottom"/>
            <w:tcBorders>
              <w:top w:val="single" w:sz="8" w:color="1C6FA3"/>
            </w:tcBorders>
          </w:tcPr>
          <w:p>
            <w:pPr>
              <w:spacing w:after="0"/>
              <w:rPr>
                <w:sz w:val="14"/>
                <w:szCs w:val="14"/>
                <w:color w:val="auto"/>
              </w:rPr>
            </w:pPr>
          </w:p>
        </w:tc>
        <w:tc>
          <w:tcPr>
            <w:tcW w:w="180" w:type="dxa"/>
            <w:vAlign w:val="bottom"/>
            <w:tcBorders>
              <w:top w:val="single" w:sz="8" w:color="1C6FA3"/>
              <w:bottom w:val="single" w:sz="8" w:color="5587A6"/>
            </w:tcBorders>
          </w:tcPr>
          <w:p>
            <w:pPr>
              <w:spacing w:after="0"/>
              <w:rPr>
                <w:sz w:val="14"/>
                <w:szCs w:val="14"/>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3Q25</w:t>
            </w:r>
          </w:p>
        </w:tc>
        <w:tc>
          <w:tcPr>
            <w:tcW w:w="8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0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4"/>
                <w:szCs w:val="14"/>
                <w:color w:val="auto"/>
              </w:rPr>
            </w:pPr>
          </w:p>
        </w:tc>
        <w:tc>
          <w:tcPr>
            <w:tcW w:w="94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4"/>
                <w:szCs w:val="14"/>
                <w:color w:val="auto"/>
              </w:rPr>
            </w:pP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7,559</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7,493</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7,184</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80" w:type="dxa"/>
            <w:vAlign w:val="bottom"/>
          </w:tcPr>
          <w:p>
            <w:pPr>
              <w:spacing w:after="0"/>
              <w:rPr>
                <w:sz w:val="12"/>
                <w:szCs w:val="12"/>
                <w:color w:val="auto"/>
              </w:rPr>
            </w:pPr>
          </w:p>
        </w:tc>
      </w:tr>
      <w:tr>
        <w:trPr>
          <w:trHeight w:val="149"/>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92</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28 %</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123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2"/>
                <w:szCs w:val="12"/>
                <w:color w:val="auto"/>
              </w:rPr>
            </w:pP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7,651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7,565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7,307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80" w:type="dxa"/>
            <w:vAlign w:val="bottom"/>
          </w:tcPr>
          <w:p>
            <w:pPr>
              <w:spacing w:after="0"/>
              <w:rPr>
                <w:sz w:val="12"/>
                <w:szCs w:val="12"/>
                <w:color w:val="auto"/>
              </w:rPr>
            </w:pPr>
          </w:p>
        </w:tc>
      </w:tr>
      <w:tr>
        <w:trPr>
          <w:trHeight w:val="153"/>
        </w:trPr>
        <w:tc>
          <w:tcPr>
            <w:tcW w:w="4680" w:type="dxa"/>
            <w:vAlign w:val="bottom"/>
            <w:gridSpan w:val="2"/>
          </w:tcPr>
          <w:p>
            <w:pPr>
              <w:spacing w:after="0"/>
              <w:rPr>
                <w:sz w:val="20"/>
                <w:szCs w:val="20"/>
                <w:color w:val="auto"/>
              </w:rPr>
            </w:pPr>
            <w:r>
              <w:rPr>
                <w:rFonts w:ascii="Arial" w:cs="Arial" w:eastAsia="Arial" w:hAnsi="Arial"/>
                <w:sz w:val="11"/>
                <w:szCs w:val="11"/>
                <w:color w:val="auto"/>
              </w:rPr>
              <w:t>Fair value gains (losses), net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630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706</w:t>
            </w:r>
          </w:p>
        </w:tc>
        <w:tc>
          <w:tcPr>
            <w:tcW w:w="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NM</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13</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617</w:t>
            </w:r>
          </w:p>
        </w:tc>
        <w:tc>
          <w:tcPr>
            <w:tcW w:w="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1"/>
                <w:szCs w:val="11"/>
                <w:color w:val="auto"/>
              </w:rPr>
              <w:t>NM</w:t>
            </w:r>
          </w:p>
        </w:tc>
      </w:tr>
      <w:tr>
        <w:trPr>
          <w:trHeight w:val="149"/>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Investment gains (losses), net</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94</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41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77 %</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120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2"/>
                <w:szCs w:val="12"/>
                <w:color w:val="auto"/>
              </w:rPr>
            </w:pP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Other gains (losses), net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747</w:t>
            </w:r>
          </w:p>
        </w:tc>
        <w:tc>
          <w:tcPr>
            <w:tcW w:w="8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NM</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591</w:t>
            </w:r>
          </w:p>
        </w:tc>
        <w:tc>
          <w:tcPr>
            <w:tcW w:w="80" w:type="dxa"/>
            <w:vAlign w:val="bottom"/>
          </w:tcPr>
          <w:p>
            <w:pPr>
              <w:spacing w:after="0"/>
              <w:rPr>
                <w:sz w:val="12"/>
                <w:szCs w:val="12"/>
                <w:color w:val="auto"/>
              </w:rPr>
            </w:pPr>
          </w:p>
        </w:tc>
        <w:tc>
          <w:tcPr>
            <w:tcW w:w="1020" w:type="dxa"/>
            <w:vAlign w:val="bottom"/>
            <w:gridSpan w:val="2"/>
          </w:tcPr>
          <w:p>
            <w:pPr>
              <w:ind w:left="760"/>
              <w:spacing w:after="0"/>
              <w:rPr>
                <w:sz w:val="20"/>
                <w:szCs w:val="20"/>
                <w:color w:val="auto"/>
              </w:rPr>
            </w:pPr>
            <w:r>
              <w:rPr>
                <w:rFonts w:ascii="Arial" w:cs="Arial" w:eastAsia="Arial" w:hAnsi="Arial"/>
                <w:sz w:val="11"/>
                <w:szCs w:val="11"/>
                <w:color w:val="auto"/>
              </w:rPr>
              <w:t>NM</w:t>
            </w:r>
          </w:p>
        </w:tc>
      </w:tr>
      <w:tr>
        <w:trPr>
          <w:trHeight w:val="153"/>
        </w:trPr>
        <w:tc>
          <w:tcPr>
            <w:tcW w:w="468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(1,140)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(655)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(802)</w:t>
            </w:r>
          </w:p>
        </w:tc>
        <w:tc>
          <w:tcPr>
            <w:tcW w:w="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1"/>
                <w:szCs w:val="11"/>
                <w:color w:val="auto"/>
              </w:rPr>
              <w:t>NM</w:t>
            </w:r>
          </w:p>
        </w:tc>
      </w:tr>
      <w:tr>
        <w:trPr>
          <w:trHeight w:val="147"/>
        </w:trPr>
        <w:tc>
          <w:tcPr>
            <w:tcW w:w="468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4680" w:type="dxa"/>
            <w:vAlign w:val="bottom"/>
            <w:gridSpan w:val="2"/>
          </w:tcPr>
          <w:p>
            <w:pPr>
              <w:ind w:left="80"/>
              <w:spacing w:after="0" w:line="15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(819)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3"/>
                <w:szCs w:val="13"/>
                <w:color w:val="auto"/>
              </w:rPr>
            </w:pPr>
          </w:p>
        </w:tc>
      </w:tr>
      <w:tr>
        <w:trPr>
          <w:trHeight w:val="153"/>
        </w:trPr>
        <w:tc>
          <w:tcPr>
            <w:tcW w:w="4680" w:type="dxa"/>
            <w:vAlign w:val="bottom"/>
            <w:gridSpan w:val="2"/>
          </w:tcPr>
          <w:p>
            <w:pPr>
              <w:ind w:left="80"/>
              <w:spacing w:after="0" w:line="153"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(934)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80" w:type="dxa"/>
            <w:vAlign w:val="bottom"/>
          </w:tcPr>
          <w:p>
            <w:pPr>
              <w:spacing w:after="0"/>
              <w:rPr>
                <w:sz w:val="13"/>
                <w:szCs w:val="13"/>
                <w:color w:val="auto"/>
              </w:rPr>
            </w:pPr>
          </w:p>
        </w:tc>
      </w:tr>
      <w:tr>
        <w:trPr>
          <w:trHeight w:val="153"/>
        </w:trPr>
        <w:tc>
          <w:tcPr>
            <w:tcW w:w="4680" w:type="dxa"/>
            <w:vAlign w:val="bottom"/>
            <w:gridSpan w:val="2"/>
          </w:tcPr>
          <w:p>
            <w:pPr>
              <w:ind w:left="80"/>
              <w:spacing w:after="0" w:line="153"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9 %</w:t>
            </w:r>
          </w:p>
        </w:tc>
        <w:tc>
          <w:tcPr>
            <w:tcW w:w="80" w:type="dxa"/>
            <w:vAlign w:val="bottom"/>
          </w:tcPr>
          <w:p>
            <w:pPr>
              <w:spacing w:after="0"/>
              <w:rPr>
                <w:sz w:val="13"/>
                <w:szCs w:val="13"/>
                <w:color w:val="auto"/>
              </w:rPr>
            </w:pPr>
          </w:p>
        </w:tc>
      </w:tr>
      <w:tr>
        <w:trPr>
          <w:trHeight w:val="151"/>
        </w:trPr>
        <w:tc>
          <w:tcPr>
            <w:tcW w:w="4600" w:type="dxa"/>
            <w:vAlign w:val="bottom"/>
            <w:tcBorders>
              <w:bottom w:val="single" w:sz="8" w:color="5587A6"/>
            </w:tcBorders>
          </w:tcPr>
          <w:p>
            <w:pPr>
              <w:ind w:left="80"/>
              <w:spacing w:after="0" w:line="151"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80" w:type="dxa"/>
            <w:vAlign w:val="bottom"/>
          </w:tcPr>
          <w:p>
            <w:pPr>
              <w:spacing w:after="0"/>
              <w:rPr>
                <w:sz w:val="13"/>
                <w:szCs w:val="13"/>
                <w:color w:val="auto"/>
              </w:rPr>
            </w:pPr>
          </w:p>
        </w:tc>
        <w:tc>
          <w:tcPr>
            <w:tcW w:w="180" w:type="dxa"/>
            <w:vAlign w:val="bottom"/>
            <w:tcBorders>
              <w:bottom w:val="single" w:sz="8" w:color="5587A6"/>
            </w:tcBorders>
          </w:tcPr>
          <w:p>
            <w:pPr>
              <w:spacing w:after="0"/>
              <w:rPr>
                <w:sz w:val="13"/>
                <w:szCs w:val="13"/>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(44)</w:t>
            </w:r>
          </w:p>
        </w:tc>
        <w:tc>
          <w:tcPr>
            <w:tcW w:w="80" w:type="dxa"/>
            <w:vAlign w:val="bottom"/>
          </w:tcPr>
          <w:p>
            <w:pPr>
              <w:spacing w:after="0"/>
              <w:rPr>
                <w:sz w:val="13"/>
                <w:szCs w:val="13"/>
                <w:color w:val="auto"/>
              </w:rPr>
            </w:pPr>
          </w:p>
        </w:tc>
        <w:tc>
          <w:tcPr>
            <w:tcW w:w="180" w:type="dxa"/>
            <w:vAlign w:val="bottom"/>
            <w:tcBorders>
              <w:bottom w:val="single" w:sz="8" w:color="5587A6"/>
            </w:tcBorders>
          </w:tcPr>
          <w:p>
            <w:pPr>
              <w:spacing w:after="0"/>
              <w:rPr>
                <w:sz w:val="13"/>
                <w:szCs w:val="13"/>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3"/>
                <w:szCs w:val="13"/>
                <w:color w:val="auto"/>
              </w:rPr>
            </w:pPr>
          </w:p>
        </w:tc>
        <w:tc>
          <w:tcPr>
            <w:tcW w:w="140" w:type="dxa"/>
            <w:vAlign w:val="bottom"/>
            <w:tcBorders>
              <w:bottom w:val="single" w:sz="8" w:color="5587A6"/>
            </w:tcBorders>
          </w:tcPr>
          <w:p>
            <w:pPr>
              <w:spacing w:after="0"/>
              <w:rPr>
                <w:sz w:val="13"/>
                <w:szCs w:val="13"/>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NM</w:t>
            </w:r>
          </w:p>
        </w:tc>
        <w:tc>
          <w:tcPr>
            <w:tcW w:w="180" w:type="dxa"/>
            <w:vAlign w:val="bottom"/>
            <w:tcBorders>
              <w:bottom w:val="single" w:sz="8" w:color="5587A6"/>
            </w:tcBorders>
          </w:tcPr>
          <w:p>
            <w:pPr>
              <w:spacing w:after="0"/>
              <w:rPr>
                <w:sz w:val="13"/>
                <w:szCs w:val="13"/>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(96)</w:t>
            </w:r>
          </w:p>
        </w:tc>
        <w:tc>
          <w:tcPr>
            <w:tcW w:w="80" w:type="dxa"/>
            <w:vAlign w:val="bottom"/>
          </w:tcPr>
          <w:p>
            <w:pPr>
              <w:spacing w:after="0"/>
              <w:rPr>
                <w:sz w:val="13"/>
                <w:szCs w:val="13"/>
                <w:color w:val="auto"/>
              </w:rPr>
            </w:pPr>
          </w:p>
        </w:tc>
        <w:tc>
          <w:tcPr>
            <w:tcW w:w="140" w:type="dxa"/>
            <w:vAlign w:val="bottom"/>
            <w:tcBorders>
              <w:bottom w:val="single" w:sz="8" w:color="5587A6"/>
            </w:tcBorders>
          </w:tcPr>
          <w:p>
            <w:pPr>
              <w:spacing w:after="0"/>
              <w:rPr>
                <w:sz w:val="13"/>
                <w:szCs w:val="13"/>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54 %</w:t>
            </w:r>
          </w:p>
        </w:tc>
        <w:tc>
          <w:tcPr>
            <w:tcW w:w="80" w:type="dxa"/>
            <w:vAlign w:val="bottom"/>
          </w:tcPr>
          <w:p>
            <w:pPr>
              <w:spacing w:after="0"/>
              <w:rPr>
                <w:sz w:val="13"/>
                <w:szCs w:val="13"/>
                <w:color w:val="auto"/>
              </w:rPr>
            </w:pPr>
          </w:p>
        </w:tc>
      </w:tr>
      <w:tr>
        <w:trPr>
          <w:trHeight w:val="142"/>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(2,123)</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(2,068)</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(2,267)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144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80" w:type="dxa"/>
            <w:vAlign w:val="bottom"/>
          </w:tcPr>
          <w:p>
            <w:pPr>
              <w:spacing w:after="0"/>
              <w:rPr>
                <w:sz w:val="12"/>
                <w:szCs w:val="12"/>
                <w:color w:val="auto"/>
              </w:rPr>
            </w:pP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5,112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4,835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80" w:type="dxa"/>
            <w:vAlign w:val="bottom"/>
          </w:tcPr>
          <w:p>
            <w:pPr>
              <w:spacing w:after="0"/>
              <w:rPr>
                <w:sz w:val="12"/>
                <w:szCs w:val="12"/>
                <w:color w:val="auto"/>
              </w:rPr>
            </w:pPr>
          </w:p>
        </w:tc>
      </w:tr>
      <w:tr>
        <w:trPr>
          <w:trHeight w:val="149"/>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(935)</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(1,007)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7 %</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(976)</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41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2"/>
                <w:szCs w:val="12"/>
                <w:color w:val="auto"/>
              </w:rPr>
            </w:pPr>
          </w:p>
        </w:tc>
      </w:tr>
      <w:tr>
        <w:trPr>
          <w:trHeight w:val="142"/>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b w:val="1"/>
                <w:bCs w:val="1"/>
                <w:color w:val="auto"/>
              </w:rPr>
              <w:t>Net income</w:t>
            </w:r>
          </w:p>
        </w:tc>
        <w:tc>
          <w:tcPr>
            <w:tcW w:w="80" w:type="dxa"/>
            <w:vAlign w:val="bottom"/>
          </w:tcPr>
          <w:p>
            <w:pPr>
              <w:spacing w:after="0"/>
              <w:rPr>
                <w:sz w:val="12"/>
                <w:szCs w:val="12"/>
                <w:color w:val="auto"/>
              </w:rPr>
            </w:pPr>
          </w:p>
        </w:tc>
        <w:tc>
          <w:tcPr>
            <w:tcW w:w="180" w:type="dxa"/>
            <w:vAlign w:val="bottom"/>
            <w:tcBorders>
              <w:bottom w:val="single" w:sz="8" w:color="5587A6"/>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4,177</w:t>
            </w:r>
          </w:p>
        </w:tc>
        <w:tc>
          <w:tcPr>
            <w:tcW w:w="80" w:type="dxa"/>
            <w:vAlign w:val="bottom"/>
          </w:tcPr>
          <w:p>
            <w:pPr>
              <w:spacing w:after="0"/>
              <w:rPr>
                <w:sz w:val="12"/>
                <w:szCs w:val="12"/>
                <w:color w:val="auto"/>
              </w:rPr>
            </w:pPr>
          </w:p>
        </w:tc>
        <w:tc>
          <w:tcPr>
            <w:tcW w:w="180" w:type="dxa"/>
            <w:vAlign w:val="bottom"/>
            <w:tcBorders>
              <w:bottom w:val="single" w:sz="8" w:color="5587A6"/>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3,982</w:t>
            </w:r>
          </w:p>
        </w:tc>
        <w:tc>
          <w:tcPr>
            <w:tcW w:w="80" w:type="dxa"/>
            <w:vAlign w:val="bottom"/>
          </w:tcPr>
          <w:p>
            <w:pPr>
              <w:spacing w:after="0"/>
              <w:rPr>
                <w:sz w:val="12"/>
                <w:szCs w:val="12"/>
                <w:color w:val="auto"/>
              </w:rPr>
            </w:pPr>
          </w:p>
        </w:tc>
        <w:tc>
          <w:tcPr>
            <w:tcW w:w="140" w:type="dxa"/>
            <w:vAlign w:val="bottom"/>
            <w:tcBorders>
              <w:bottom w:val="single" w:sz="8" w:color="5587A6"/>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60" w:type="dxa"/>
            <w:vAlign w:val="bottom"/>
          </w:tcPr>
          <w:p>
            <w:pPr>
              <w:spacing w:after="0"/>
              <w:rPr>
                <w:sz w:val="12"/>
                <w:szCs w:val="12"/>
                <w:color w:val="auto"/>
              </w:rPr>
            </w:pPr>
          </w:p>
        </w:tc>
        <w:tc>
          <w:tcPr>
            <w:tcW w:w="180" w:type="dxa"/>
            <w:vAlign w:val="bottom"/>
            <w:tcBorders>
              <w:bottom w:val="single" w:sz="8" w:color="5587A6"/>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3,859</w:t>
            </w:r>
          </w:p>
        </w:tc>
        <w:tc>
          <w:tcPr>
            <w:tcW w:w="80" w:type="dxa"/>
            <w:vAlign w:val="bottom"/>
          </w:tcPr>
          <w:p>
            <w:pPr>
              <w:spacing w:after="0"/>
              <w:rPr>
                <w:sz w:val="12"/>
                <w:szCs w:val="12"/>
                <w:color w:val="auto"/>
              </w:rPr>
            </w:pPr>
          </w:p>
        </w:tc>
        <w:tc>
          <w:tcPr>
            <w:tcW w:w="14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318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8 %</w:t>
            </w:r>
          </w:p>
        </w:tc>
        <w:tc>
          <w:tcPr>
            <w:tcW w:w="80" w:type="dxa"/>
            <w:vAlign w:val="bottom"/>
          </w:tcPr>
          <w:p>
            <w:pPr>
              <w:spacing w:after="0"/>
              <w:rPr>
                <w:sz w:val="12"/>
                <w:szCs w:val="12"/>
                <w:color w:val="auto"/>
              </w:rPr>
            </w:pPr>
          </w:p>
        </w:tc>
      </w:tr>
      <w:tr>
        <w:trPr>
          <w:trHeight w:val="151"/>
        </w:trPr>
        <w:tc>
          <w:tcPr>
            <w:tcW w:w="4680" w:type="dxa"/>
            <w:vAlign w:val="bottom"/>
            <w:gridSpan w:val="2"/>
          </w:tcPr>
          <w:p>
            <w:pPr>
              <w:spacing w:after="0" w:line="151" w:lineRule="exact"/>
              <w:rPr>
                <w:sz w:val="20"/>
                <w:szCs w:val="20"/>
                <w:color w:val="auto"/>
              </w:rPr>
            </w:pPr>
            <w:r>
              <w:rPr>
                <w:rFonts w:ascii="Arial" w:cs="Arial" w:eastAsia="Arial" w:hAnsi="Arial"/>
                <w:sz w:val="11"/>
                <w:szCs w:val="11"/>
                <w:color w:val="auto"/>
              </w:rPr>
              <w:t>Other comprehensive income (loss)</w:t>
            </w:r>
            <w:r>
              <w:rPr>
                <w:rFonts w:ascii="Arial" w:cs="Arial" w:eastAsia="Arial" w:hAnsi="Arial"/>
                <w:sz w:val="14"/>
                <w:szCs w:val="14"/>
                <w:color w:val="auto"/>
                <w:vertAlign w:val="superscript"/>
              </w:rPr>
              <w:t>(8)</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(1,037)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(885)</w:t>
            </w:r>
          </w:p>
        </w:tc>
        <w:tc>
          <w:tcPr>
            <w:tcW w:w="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NM</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(1,027)</w:t>
            </w:r>
          </w:p>
        </w:tc>
        <w:tc>
          <w:tcPr>
            <w:tcW w:w="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1"/>
                <w:szCs w:val="11"/>
                <w:color w:val="auto"/>
              </w:rPr>
              <w:t>NM</w:t>
            </w:r>
          </w:p>
        </w:tc>
      </w:tr>
      <w:tr>
        <w:trPr>
          <w:trHeight w:val="144"/>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Total comprehensive income</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3,140</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3,830</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(690)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3,849</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(709)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2"/>
                <w:szCs w:val="12"/>
                <w:color w:val="auto"/>
              </w:rPr>
            </w:pPr>
          </w:p>
        </w:tc>
      </w:tr>
      <w:tr>
        <w:trPr>
          <w:trHeight w:val="20"/>
        </w:trPr>
        <w:tc>
          <w:tcPr>
            <w:tcW w:w="46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Net worth</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119,637</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116,497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3,140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6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105,485</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14,152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13 %</w:t>
            </w:r>
          </w:p>
        </w:tc>
        <w:tc>
          <w:tcPr>
            <w:tcW w:w="80" w:type="dxa"/>
            <w:vAlign w:val="bottom"/>
          </w:tcPr>
          <w:p>
            <w:pPr>
              <w:spacing w:after="0"/>
              <w:rPr>
                <w:sz w:val="11"/>
                <w:szCs w:val="11"/>
                <w:color w:val="auto"/>
              </w:rPr>
            </w:pPr>
          </w:p>
        </w:tc>
      </w:tr>
      <w:tr>
        <w:trPr>
          <w:trHeight w:val="41"/>
        </w:trPr>
        <w:tc>
          <w:tcPr>
            <w:tcW w:w="4680" w:type="dxa"/>
            <w:vAlign w:val="bottom"/>
            <w:tcBorders>
              <w:bottom w:val="single" w:sz="8" w:color="05314D"/>
            </w:tcBorders>
            <w:gridSpan w:val="2"/>
          </w:tcPr>
          <w:p>
            <w:pPr>
              <w:spacing w:after="0"/>
              <w:rPr>
                <w:sz w:val="3"/>
                <w:szCs w:val="3"/>
                <w:color w:val="auto"/>
              </w:rPr>
            </w:pPr>
          </w:p>
        </w:tc>
        <w:tc>
          <w:tcPr>
            <w:tcW w:w="180" w:type="dxa"/>
            <w:vAlign w:val="bottom"/>
            <w:tcBorders>
              <w:bottom w:val="single" w:sz="8" w:color="05314D"/>
            </w:tcBorders>
          </w:tcPr>
          <w:p>
            <w:pPr>
              <w:spacing w:after="0"/>
              <w:rPr>
                <w:sz w:val="3"/>
                <w:szCs w:val="3"/>
                <w:color w:val="auto"/>
              </w:rPr>
            </w:pPr>
          </w:p>
        </w:tc>
        <w:tc>
          <w:tcPr>
            <w:tcW w:w="660" w:type="dxa"/>
            <w:vAlign w:val="bottom"/>
            <w:tcBorders>
              <w:bottom w:val="single" w:sz="8" w:color="05314D"/>
            </w:tcBorders>
          </w:tcPr>
          <w:p>
            <w:pPr>
              <w:spacing w:after="0"/>
              <w:rPr>
                <w:sz w:val="3"/>
                <w:szCs w:val="3"/>
                <w:color w:val="auto"/>
              </w:rPr>
            </w:pPr>
          </w:p>
        </w:tc>
        <w:tc>
          <w:tcPr>
            <w:tcW w:w="80" w:type="dxa"/>
            <w:vAlign w:val="bottom"/>
            <w:tcBorders>
              <w:bottom w:val="single" w:sz="8" w:color="05314D"/>
            </w:tcBorders>
          </w:tcPr>
          <w:p>
            <w:pPr>
              <w:spacing w:after="0"/>
              <w:rPr>
                <w:sz w:val="3"/>
                <w:szCs w:val="3"/>
                <w:color w:val="auto"/>
              </w:rPr>
            </w:pPr>
          </w:p>
        </w:tc>
        <w:tc>
          <w:tcPr>
            <w:tcW w:w="180" w:type="dxa"/>
            <w:vAlign w:val="bottom"/>
            <w:tcBorders>
              <w:bottom w:val="single" w:sz="8" w:color="05314D"/>
            </w:tcBorders>
          </w:tcPr>
          <w:p>
            <w:pPr>
              <w:spacing w:after="0"/>
              <w:rPr>
                <w:sz w:val="3"/>
                <w:szCs w:val="3"/>
                <w:color w:val="auto"/>
              </w:rPr>
            </w:pPr>
          </w:p>
        </w:tc>
        <w:tc>
          <w:tcPr>
            <w:tcW w:w="660" w:type="dxa"/>
            <w:vAlign w:val="bottom"/>
            <w:tcBorders>
              <w:bottom w:val="single" w:sz="8" w:color="05314D"/>
            </w:tcBorders>
          </w:tcPr>
          <w:p>
            <w:pPr>
              <w:spacing w:after="0"/>
              <w:rPr>
                <w:sz w:val="3"/>
                <w:szCs w:val="3"/>
                <w:color w:val="auto"/>
              </w:rPr>
            </w:pPr>
          </w:p>
        </w:tc>
        <w:tc>
          <w:tcPr>
            <w:tcW w:w="80" w:type="dxa"/>
            <w:vAlign w:val="bottom"/>
            <w:tcBorders>
              <w:bottom w:val="single" w:sz="8" w:color="05314D"/>
            </w:tcBorders>
          </w:tcPr>
          <w:p>
            <w:pPr>
              <w:spacing w:after="0"/>
              <w:rPr>
                <w:sz w:val="3"/>
                <w:szCs w:val="3"/>
                <w:color w:val="auto"/>
              </w:rPr>
            </w:pPr>
          </w:p>
        </w:tc>
        <w:tc>
          <w:tcPr>
            <w:tcW w:w="140" w:type="dxa"/>
            <w:vAlign w:val="bottom"/>
            <w:tcBorders>
              <w:bottom w:val="single" w:sz="8" w:color="05314D"/>
            </w:tcBorders>
          </w:tcPr>
          <w:p>
            <w:pPr>
              <w:spacing w:after="0"/>
              <w:rPr>
                <w:sz w:val="3"/>
                <w:szCs w:val="3"/>
                <w:color w:val="auto"/>
              </w:rPr>
            </w:pPr>
          </w:p>
        </w:tc>
        <w:tc>
          <w:tcPr>
            <w:tcW w:w="700" w:type="dxa"/>
            <w:vAlign w:val="bottom"/>
            <w:tcBorders>
              <w:bottom w:val="single" w:sz="8" w:color="05314D"/>
            </w:tcBorders>
          </w:tcPr>
          <w:p>
            <w:pPr>
              <w:spacing w:after="0"/>
              <w:rPr>
                <w:sz w:val="3"/>
                <w:szCs w:val="3"/>
                <w:color w:val="auto"/>
              </w:rPr>
            </w:pPr>
          </w:p>
        </w:tc>
        <w:tc>
          <w:tcPr>
            <w:tcW w:w="80" w:type="dxa"/>
            <w:vAlign w:val="bottom"/>
            <w:tcBorders>
              <w:bottom w:val="single" w:sz="8" w:color="05314D"/>
            </w:tcBorders>
          </w:tcPr>
          <w:p>
            <w:pPr>
              <w:spacing w:after="0"/>
              <w:rPr>
                <w:sz w:val="3"/>
                <w:szCs w:val="3"/>
                <w:color w:val="auto"/>
              </w:rPr>
            </w:pPr>
          </w:p>
        </w:tc>
        <w:tc>
          <w:tcPr>
            <w:tcW w:w="940" w:type="dxa"/>
            <w:vAlign w:val="bottom"/>
            <w:tcBorders>
              <w:bottom w:val="single" w:sz="8" w:color="05314D"/>
            </w:tcBorders>
          </w:tcPr>
          <w:p>
            <w:pPr>
              <w:spacing w:after="0"/>
              <w:rPr>
                <w:sz w:val="3"/>
                <w:szCs w:val="3"/>
                <w:color w:val="auto"/>
              </w:rPr>
            </w:pPr>
          </w:p>
        </w:tc>
        <w:tc>
          <w:tcPr>
            <w:tcW w:w="60" w:type="dxa"/>
            <w:vAlign w:val="bottom"/>
            <w:tcBorders>
              <w:bottom w:val="single" w:sz="8" w:color="05314D"/>
            </w:tcBorders>
          </w:tcPr>
          <w:p>
            <w:pPr>
              <w:spacing w:after="0"/>
              <w:rPr>
                <w:sz w:val="3"/>
                <w:szCs w:val="3"/>
                <w:color w:val="auto"/>
              </w:rPr>
            </w:pPr>
          </w:p>
        </w:tc>
        <w:tc>
          <w:tcPr>
            <w:tcW w:w="180" w:type="dxa"/>
            <w:vAlign w:val="bottom"/>
            <w:tcBorders>
              <w:bottom w:val="single" w:sz="8" w:color="05314D"/>
            </w:tcBorders>
          </w:tcPr>
          <w:p>
            <w:pPr>
              <w:spacing w:after="0"/>
              <w:rPr>
                <w:sz w:val="3"/>
                <w:szCs w:val="3"/>
                <w:color w:val="auto"/>
              </w:rPr>
            </w:pPr>
          </w:p>
        </w:tc>
        <w:tc>
          <w:tcPr>
            <w:tcW w:w="660" w:type="dxa"/>
            <w:vAlign w:val="bottom"/>
            <w:tcBorders>
              <w:bottom w:val="single" w:sz="8" w:color="05314D"/>
            </w:tcBorders>
          </w:tcPr>
          <w:p>
            <w:pPr>
              <w:spacing w:after="0"/>
              <w:rPr>
                <w:sz w:val="3"/>
                <w:szCs w:val="3"/>
                <w:color w:val="auto"/>
              </w:rPr>
            </w:pPr>
          </w:p>
        </w:tc>
        <w:tc>
          <w:tcPr>
            <w:tcW w:w="80" w:type="dxa"/>
            <w:vAlign w:val="bottom"/>
            <w:tcBorders>
              <w:bottom w:val="single" w:sz="8" w:color="05314D"/>
            </w:tcBorders>
          </w:tcPr>
          <w:p>
            <w:pPr>
              <w:spacing w:after="0"/>
              <w:rPr>
                <w:sz w:val="3"/>
                <w:szCs w:val="3"/>
                <w:color w:val="auto"/>
              </w:rPr>
            </w:pPr>
          </w:p>
        </w:tc>
        <w:tc>
          <w:tcPr>
            <w:tcW w:w="140" w:type="dxa"/>
            <w:vAlign w:val="bottom"/>
            <w:tcBorders>
              <w:bottom w:val="single" w:sz="8" w:color="05314D"/>
            </w:tcBorders>
          </w:tcPr>
          <w:p>
            <w:pPr>
              <w:spacing w:after="0"/>
              <w:rPr>
                <w:sz w:val="3"/>
                <w:szCs w:val="3"/>
                <w:color w:val="auto"/>
              </w:rPr>
            </w:pPr>
          </w:p>
        </w:tc>
        <w:tc>
          <w:tcPr>
            <w:tcW w:w="700" w:type="dxa"/>
            <w:vAlign w:val="bottom"/>
            <w:tcBorders>
              <w:bottom w:val="single" w:sz="8" w:color="05314D"/>
            </w:tcBorders>
          </w:tcPr>
          <w:p>
            <w:pPr>
              <w:spacing w:after="0"/>
              <w:rPr>
                <w:sz w:val="3"/>
                <w:szCs w:val="3"/>
                <w:color w:val="auto"/>
              </w:rPr>
            </w:pPr>
          </w:p>
        </w:tc>
        <w:tc>
          <w:tcPr>
            <w:tcW w:w="1100" w:type="dxa"/>
            <w:vAlign w:val="bottom"/>
            <w:tcBorders>
              <w:bottom w:val="single" w:sz="8" w:color="05314D"/>
            </w:tcBorders>
            <w:gridSpan w:val="3"/>
          </w:tcPr>
          <w:p>
            <w:pPr>
              <w:spacing w:after="0"/>
              <w:rPr>
                <w:sz w:val="3"/>
                <w:szCs w:val="3"/>
                <w:color w:val="auto"/>
              </w:rPr>
            </w:pPr>
          </w:p>
        </w:tc>
      </w:tr>
      <w:tr>
        <w:trPr>
          <w:trHeight w:val="149"/>
        </w:trPr>
        <w:tc>
          <w:tcPr>
            <w:tcW w:w="4680" w:type="dxa"/>
            <w:vAlign w:val="bottom"/>
            <w:gridSpan w:val="2"/>
          </w:tcPr>
          <w:p>
            <w:pPr>
              <w:spacing w:after="0"/>
              <w:rPr>
                <w:sz w:val="20"/>
                <w:szCs w:val="20"/>
                <w:color w:val="auto"/>
              </w:rPr>
            </w:pPr>
            <w:r>
              <w:rPr>
                <w:rFonts w:ascii="Arial" w:cs="Arial" w:eastAsia="Arial" w:hAnsi="Arial"/>
                <w:sz w:val="11"/>
                <w:szCs w:val="11"/>
                <w:color w:val="auto"/>
              </w:rPr>
              <w:t>Third Quarter 2026</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300"/>
          </w:cols>
          <w:pgMar w:left="300" w:top="880"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Single-Family Business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Jake Williamson, EVP, Head of Single-Family, Fannie Mae:</w:t>
      </w:r>
    </w:p>
    <w:p>
      <w:pPr>
        <w:ind w:right="660"/>
        <w:spacing w:after="0" w:line="265" w:lineRule="auto"/>
        <w:rPr>
          <w:sz w:val="20"/>
          <w:szCs w:val="20"/>
          <w:color w:val="auto"/>
        </w:rPr>
      </w:pPr>
      <w:r>
        <w:rPr>
          <w:rFonts w:ascii="Arial" w:cs="Arial" w:eastAsia="Arial" w:hAnsi="Arial"/>
          <w:sz w:val="12"/>
          <w:szCs w:val="12"/>
          <w:color w:val="auto"/>
        </w:rPr>
        <w:t>“We are focused on deepening our relationship with lenders by making it easier to do business with Fannie Mae and creating a better borrower experience. Pairing practical innovations, like credit score modernization, with sound risk management is key to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130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30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Single-Family Highlights — 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9" w:lineRule="exact"/>
        <w:rPr>
          <w:sz w:val="20"/>
          <w:szCs w:val="2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conventional acquisition volume decreased </w:t>
      </w:r>
      <w:r>
        <w:rPr>
          <w:rFonts w:ascii="Arial" w:cs="Arial" w:eastAsia="Arial" w:hAnsi="Arial"/>
          <w:sz w:val="11"/>
          <w:szCs w:val="11"/>
          <w:color w:val="auto"/>
        </w:rPr>
        <w:t>to $88.3 billion in 3Q 2026, compared with $111.2 billion in 2Q 2026.</w:t>
      </w:r>
    </w:p>
    <w:p>
      <w:pPr>
        <w:spacing w:after="0" w:line="71" w:lineRule="exact"/>
        <w:rPr>
          <w:rFonts w:ascii="Arial" w:cs="Arial" w:eastAsia="Arial" w:hAnsi="Arial"/>
          <w:sz w:val="10"/>
          <w:szCs w:val="1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Average single-family conventional guaranty book was largely unchanged </w:t>
      </w:r>
      <w:r>
        <w:rPr>
          <w:rFonts w:ascii="Arial" w:cs="Arial" w:eastAsia="Arial" w:hAnsi="Arial"/>
          <w:sz w:val="11"/>
          <w:szCs w:val="11"/>
          <w:color w:val="auto"/>
        </w:rPr>
        <w:t>at $3.56 trillion, compared with 2Q 2026.</w:t>
      </w:r>
    </w:p>
    <w:p>
      <w:pPr>
        <w:spacing w:after="0" w:line="71" w:lineRule="exact"/>
        <w:rPr>
          <w:rFonts w:ascii="Arial" w:cs="Arial" w:eastAsia="Arial" w:hAnsi="Arial"/>
          <w:sz w:val="10"/>
          <w:szCs w:val="1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net revenues remained largely unchanged </w:t>
      </w:r>
      <w:r>
        <w:rPr>
          <w:rFonts w:ascii="Arial" w:cs="Arial" w:eastAsia="Arial" w:hAnsi="Arial"/>
          <w:sz w:val="11"/>
          <w:szCs w:val="11"/>
          <w:color w:val="auto"/>
        </w:rPr>
        <w:t>at $6.3 billion, compared with 2Q 2026.</w:t>
      </w:r>
    </w:p>
    <w:p>
      <w:pPr>
        <w:spacing w:after="0" w:line="71" w:lineRule="exact"/>
        <w:rPr>
          <w:rFonts w:ascii="Arial" w:cs="Arial" w:eastAsia="Arial" w:hAnsi="Arial"/>
          <w:sz w:val="10"/>
          <w:szCs w:val="10"/>
          <w:color w:val="auto"/>
        </w:rPr>
      </w:pPr>
    </w:p>
    <w:p>
      <w:pPr>
        <w:ind w:left="160" w:right="8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The average charged guaranty fee, net of TCCA fees, on the single-family conventional guaranty book increased </w:t>
      </w:r>
      <w:r>
        <w:rPr>
          <w:rFonts w:ascii="Arial" w:cs="Arial" w:eastAsia="Arial" w:hAnsi="Arial"/>
          <w:sz w:val="11"/>
          <w:szCs w:val="11"/>
          <w:color w:val="auto"/>
        </w:rPr>
        <w:t>to 49.1 basis points, compared with 49.0 basis points in 2Q 2026. The average charged guaranty fee on newly</w:t>
      </w:r>
      <w:r>
        <w:rPr>
          <w:rFonts w:ascii="Arial" w:cs="Arial" w:eastAsia="Arial" w:hAnsi="Arial"/>
          <w:sz w:val="11"/>
          <w:szCs w:val="11"/>
          <w:b w:val="1"/>
          <w:bCs w:val="1"/>
          <w:color w:val="auto"/>
        </w:rPr>
        <w:t xml:space="preserve"> </w:t>
      </w:r>
      <w:r>
        <w:rPr>
          <w:rFonts w:ascii="Arial" w:cs="Arial" w:eastAsia="Arial" w:hAnsi="Arial"/>
          <w:sz w:val="11"/>
          <w:szCs w:val="11"/>
          <w:color w:val="auto"/>
        </w:rPr>
        <w:t>acquired conventional loans, net of TCCA fees, increased to 53.8 basis points, compared with 53.5 basis points in 2Q 2026.</w:t>
      </w:r>
    </w:p>
    <w:p>
      <w:pPr>
        <w:spacing w:after="0" w:line="41" w:lineRule="exact"/>
        <w:rPr>
          <w:rFonts w:ascii="Arial" w:cs="Arial" w:eastAsia="Arial" w:hAnsi="Arial"/>
          <w:sz w:val="10"/>
          <w:szCs w:val="10"/>
          <w:color w:val="auto"/>
        </w:rPr>
      </w:pPr>
    </w:p>
    <w:p>
      <w:pPr>
        <w:ind w:left="160" w:right="340" w:hanging="104"/>
        <w:spacing w:after="0" w:line="270"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Overall credit characteristics of the single-family conventional guaranty book were largely unchanged </w:t>
      </w:r>
      <w:r>
        <w:rPr>
          <w:rFonts w:ascii="Arial" w:cs="Arial" w:eastAsia="Arial" w:hAnsi="Arial"/>
          <w:sz w:val="11"/>
          <w:szCs w:val="11"/>
          <w:color w:val="auto"/>
        </w:rPr>
        <w:t>compared with the prior quarter, with a weighted-average mark-to-market loan-to-value ratio of 51% and a weighted-average FICO credit score at origination</w:t>
      </w:r>
      <w:r>
        <w:rPr>
          <w:rFonts w:ascii="Arial" w:cs="Arial" w:eastAsia="Arial" w:hAnsi="Arial"/>
          <w:sz w:val="14"/>
          <w:szCs w:val="14"/>
          <w:color w:val="auto"/>
          <w:vertAlign w:val="superscript"/>
        </w:rPr>
        <w:t>(9)</w:t>
      </w:r>
      <w:r>
        <w:rPr>
          <w:rFonts w:ascii="Arial" w:cs="Arial" w:eastAsia="Arial" w:hAnsi="Arial"/>
          <w:sz w:val="11"/>
          <w:szCs w:val="11"/>
          <w:color w:val="auto"/>
        </w:rPr>
        <w:t xml:space="preserve"> of 753 as of Sep. 30, 2026.</w:t>
      </w: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serious delinquency rate increased </w:t>
      </w:r>
      <w:r>
        <w:rPr>
          <w:rFonts w:ascii="Arial" w:cs="Arial" w:eastAsia="Arial" w:hAnsi="Arial"/>
          <w:sz w:val="11"/>
          <w:szCs w:val="11"/>
          <w:color w:val="auto"/>
        </w:rPr>
        <w:t>to 0.62% as of Sep. 30, 2026, compared with 0.58% as of prior quarter end.</w:t>
      </w:r>
      <w:r>
        <w:rPr>
          <w:rFonts w:ascii="Arial" w:cs="Arial" w:eastAsia="Arial" w:hAnsi="Arial"/>
          <w:sz w:val="14"/>
          <w:szCs w:val="14"/>
          <w:color w:val="auto"/>
          <w:vertAlign w:val="superscript"/>
        </w:rPr>
        <w:t>(10)</w:t>
      </w:r>
    </w:p>
    <w:p>
      <w:pPr>
        <w:spacing w:after="0" w:line="37" w:lineRule="exact"/>
        <w:rPr>
          <w:rFonts w:ascii="Arial" w:cs="Arial" w:eastAsia="Arial" w:hAnsi="Arial"/>
          <w:sz w:val="10"/>
          <w:szCs w:val="10"/>
          <w:color w:val="auto"/>
        </w:rPr>
      </w:pPr>
    </w:p>
    <w:p>
      <w:pPr>
        <w:ind w:left="160" w:right="14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single-family credit losses </w:t>
      </w:r>
      <w:r>
        <w:rPr>
          <w:rFonts w:ascii="Arial" w:cs="Arial" w:eastAsia="Arial" w:hAnsi="Arial"/>
          <w:sz w:val="11"/>
          <w:szCs w:val="11"/>
          <w:color w:val="auto"/>
        </w:rPr>
        <w:t>of $694 million, primarily associated with higher actual and projected interest rates, newly acquired loans, and newly delinquent loans. This compares with a provision of $226 million in 2Q</w:t>
      </w:r>
      <w:r>
        <w:rPr>
          <w:rFonts w:ascii="Arial" w:cs="Arial" w:eastAsia="Arial" w:hAnsi="Arial"/>
          <w:sz w:val="11"/>
          <w:szCs w:val="11"/>
          <w:b w:val="1"/>
          <w:bCs w:val="1"/>
          <w:color w:val="auto"/>
        </w:rPr>
        <w:t xml:space="preserve"> </w:t>
      </w:r>
      <w:r>
        <w:rPr>
          <w:rFonts w:ascii="Arial" w:cs="Arial" w:eastAsia="Arial" w:hAnsi="Arial"/>
          <w:sz w:val="11"/>
          <w:szCs w:val="1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1780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Single-Family Business Financial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0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00" w:type="dxa"/>
            <w:vAlign w:val="bottom"/>
            <w:tcBorders>
              <w:top w:val="single" w:sz="8" w:color="1C6FA3"/>
              <w:bottom w:val="single" w:sz="8" w:color="5587A6"/>
            </w:tcBorders>
          </w:tcPr>
          <w:p>
            <w:pPr>
              <w:jc w:val="center"/>
              <w:ind w:right="106"/>
              <w:spacing w:after="0"/>
              <w:rPr>
                <w:sz w:val="20"/>
                <w:szCs w:val="20"/>
                <w:color w:val="auto"/>
              </w:rPr>
            </w:pPr>
            <w:r>
              <w:rPr>
                <w:rFonts w:ascii="Arial" w:cs="Arial" w:eastAsia="Arial" w:hAnsi="Arial"/>
                <w:sz w:val="11"/>
                <w:szCs w:val="11"/>
                <w:b w:val="1"/>
                <w:bCs w:val="1"/>
                <w:color w:val="auto"/>
                <w:w w:val="96"/>
              </w:rPr>
              <w:t>3Q26</w:t>
            </w:r>
          </w:p>
        </w:tc>
        <w:tc>
          <w:tcPr>
            <w:tcW w:w="60" w:type="dxa"/>
            <w:vAlign w:val="bottom"/>
            <w:tcBorders>
              <w:top w:val="single" w:sz="8" w:color="1C6FA3"/>
            </w:tcBorders>
          </w:tcPr>
          <w:p>
            <w:pPr>
              <w:spacing w:after="0"/>
              <w:rPr>
                <w:sz w:val="14"/>
                <w:szCs w:val="14"/>
                <w:color w:val="auto"/>
              </w:rPr>
            </w:pPr>
          </w:p>
        </w:tc>
        <w:tc>
          <w:tcPr>
            <w:tcW w:w="160" w:type="dxa"/>
            <w:vAlign w:val="bottom"/>
            <w:tcBorders>
              <w:top w:val="single" w:sz="8" w:color="1C6FA3"/>
              <w:bottom w:val="single" w:sz="8" w:color="5587A6"/>
            </w:tcBorders>
          </w:tcPr>
          <w:p>
            <w:pPr>
              <w:spacing w:after="0"/>
              <w:rPr>
                <w:sz w:val="14"/>
                <w:szCs w:val="14"/>
                <w:color w:val="auto"/>
              </w:rPr>
            </w:pPr>
          </w:p>
        </w:tc>
        <w:tc>
          <w:tcPr>
            <w:tcW w:w="700" w:type="dxa"/>
            <w:vAlign w:val="bottom"/>
            <w:tcBorders>
              <w:top w:val="single" w:sz="8" w:color="1C6FA3"/>
              <w:bottom w:val="single" w:sz="8" w:color="5587A6"/>
            </w:tcBorders>
          </w:tcPr>
          <w:p>
            <w:pPr>
              <w:jc w:val="center"/>
              <w:ind w:right="106"/>
              <w:spacing w:after="0"/>
              <w:rPr>
                <w:sz w:val="20"/>
                <w:szCs w:val="20"/>
                <w:color w:val="auto"/>
              </w:rPr>
            </w:pPr>
            <w:r>
              <w:rPr>
                <w:rFonts w:ascii="Arial" w:cs="Arial" w:eastAsia="Arial" w:hAnsi="Arial"/>
                <w:sz w:val="11"/>
                <w:szCs w:val="11"/>
                <w:b w:val="1"/>
                <w:bCs w:val="1"/>
                <w:color w:val="auto"/>
                <w:w w:val="96"/>
              </w:rPr>
              <w:t>2Q26</w:t>
            </w:r>
          </w:p>
        </w:tc>
        <w:tc>
          <w:tcPr>
            <w:tcW w:w="6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4"/>
                <w:szCs w:val="14"/>
                <w:color w:val="auto"/>
              </w:rPr>
            </w:pPr>
          </w:p>
        </w:tc>
        <w:tc>
          <w:tcPr>
            <w:tcW w:w="800" w:type="dxa"/>
            <w:vAlign w:val="bottom"/>
            <w:tcBorders>
              <w:top w:val="single" w:sz="8" w:color="1C6FA3"/>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180" w:type="dxa"/>
            <w:vAlign w:val="bottom"/>
            <w:tcBorders>
              <w:top w:val="single" w:sz="8" w:color="1C6FA3"/>
              <w:bottom w:val="single" w:sz="8" w:color="5587A6"/>
            </w:tcBorders>
          </w:tcPr>
          <w:p>
            <w:pPr>
              <w:spacing w:after="0"/>
              <w:rPr>
                <w:sz w:val="14"/>
                <w:szCs w:val="14"/>
                <w:color w:val="auto"/>
              </w:rPr>
            </w:pPr>
          </w:p>
        </w:tc>
        <w:tc>
          <w:tcPr>
            <w:tcW w:w="8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20" w:type="dxa"/>
            <w:vAlign w:val="bottom"/>
            <w:tcBorders>
              <w:top w:val="single" w:sz="8" w:color="1C6FA3"/>
              <w:bottom w:val="single" w:sz="8" w:color="5587A6"/>
            </w:tcBorders>
          </w:tcPr>
          <w:p>
            <w:pPr>
              <w:jc w:val="center"/>
              <w:ind w:right="86"/>
              <w:spacing w:after="0"/>
              <w:rPr>
                <w:sz w:val="20"/>
                <w:szCs w:val="20"/>
                <w:color w:val="auto"/>
              </w:rPr>
            </w:pPr>
            <w:r>
              <w:rPr>
                <w:rFonts w:ascii="Arial" w:cs="Arial" w:eastAsia="Arial" w:hAnsi="Arial"/>
                <w:sz w:val="11"/>
                <w:szCs w:val="11"/>
                <w:b w:val="1"/>
                <w:bCs w:val="1"/>
                <w:color w:val="auto"/>
                <w:w w:val="96"/>
              </w:rPr>
              <w:t>3Q25</w:t>
            </w:r>
          </w:p>
        </w:tc>
        <w:tc>
          <w:tcPr>
            <w:tcW w:w="6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20" w:type="dxa"/>
            <w:vAlign w:val="bottom"/>
            <w:tcBorders>
              <w:top w:val="single" w:sz="8" w:color="1C6FA3"/>
              <w:bottom w:val="single" w:sz="8" w:color="5587A6"/>
            </w:tcBorders>
          </w:tcPr>
          <w:p>
            <w:pPr>
              <w:jc w:val="center"/>
              <w:ind w:right="86"/>
              <w:spacing w:after="0"/>
              <w:rPr>
                <w:sz w:val="20"/>
                <w:szCs w:val="20"/>
                <w:color w:val="auto"/>
              </w:rPr>
            </w:pPr>
            <w:r>
              <w:rPr>
                <w:rFonts w:ascii="Arial" w:cs="Arial" w:eastAsia="Arial" w:hAnsi="Arial"/>
                <w:sz w:val="11"/>
                <w:szCs w:val="11"/>
                <w:b w:val="1"/>
                <w:bCs w:val="1"/>
                <w:color w:val="auto"/>
              </w:rPr>
              <w:t>Variance</w:t>
            </w:r>
          </w:p>
        </w:tc>
        <w:tc>
          <w:tcPr>
            <w:tcW w:w="1020" w:type="dxa"/>
            <w:vAlign w:val="bottom"/>
            <w:tcBorders>
              <w:top w:val="single" w:sz="8" w:color="1C6FA3"/>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6,268</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6,248</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2"/>
                <w:szCs w:val="12"/>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 %*</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5,992</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276</w:t>
            </w:r>
          </w:p>
        </w:tc>
        <w:tc>
          <w:tcPr>
            <w:tcW w:w="1020" w:type="dxa"/>
            <w:vAlign w:val="bottom"/>
          </w:tcPr>
          <w:p>
            <w:pPr>
              <w:jc w:val="right"/>
              <w:spacing w:after="0"/>
              <w:rPr>
                <w:sz w:val="20"/>
                <w:szCs w:val="20"/>
                <w:color w:val="auto"/>
              </w:rPr>
            </w:pPr>
            <w:r>
              <w:rPr>
                <w:rFonts w:ascii="Arial" w:cs="Arial" w:eastAsia="Arial" w:hAnsi="Arial"/>
                <w:sz w:val="11"/>
                <w:szCs w:val="11"/>
                <w:color w:val="auto"/>
              </w:rPr>
              <w:t>5 %</w:t>
            </w:r>
          </w:p>
        </w:tc>
      </w:tr>
      <w:tr>
        <w:trPr>
          <w:trHeight w:val="149"/>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68</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53</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104</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(36)</w:t>
            </w:r>
          </w:p>
        </w:tc>
        <w:tc>
          <w:tcPr>
            <w:tcW w:w="102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6,336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6,301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6,096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240</w:t>
            </w:r>
          </w:p>
        </w:tc>
        <w:tc>
          <w:tcPr>
            <w:tcW w:w="1020" w:type="dxa"/>
            <w:vAlign w:val="bottom"/>
          </w:tcPr>
          <w:p>
            <w:pPr>
              <w:jc w:val="right"/>
              <w:spacing w:after="0"/>
              <w:rPr>
                <w:sz w:val="20"/>
                <w:szCs w:val="20"/>
                <w:color w:val="auto"/>
              </w:rPr>
            </w:pPr>
            <w:r>
              <w:rPr>
                <w:rFonts w:ascii="Arial" w:cs="Arial" w:eastAsia="Arial" w:hAnsi="Arial"/>
                <w:sz w:val="11"/>
                <w:szCs w:val="11"/>
                <w:color w:val="auto"/>
              </w:rPr>
              <w:t>4 %</w:t>
            </w:r>
          </w:p>
        </w:tc>
      </w:tr>
      <w:tr>
        <w:trPr>
          <w:trHeight w:val="158"/>
        </w:trPr>
        <w:tc>
          <w:tcPr>
            <w:tcW w:w="4680" w:type="dxa"/>
            <w:vAlign w:val="bottom"/>
            <w:gridSpan w:val="2"/>
          </w:tcPr>
          <w:p>
            <w:pPr>
              <w:spacing w:after="0" w:line="158" w:lineRule="exact"/>
              <w:rPr>
                <w:sz w:val="20"/>
                <w:szCs w:val="20"/>
                <w:color w:val="auto"/>
              </w:rPr>
            </w:pPr>
            <w:r>
              <w:rPr>
                <w:rFonts w:ascii="Arial" w:cs="Arial" w:eastAsia="Arial" w:hAnsi="Arial"/>
                <w:sz w:val="11"/>
                <w:szCs w:val="11"/>
                <w:color w:val="auto"/>
              </w:rPr>
              <w:t>Fair value gains (losses), net</w:t>
            </w:r>
            <w:r>
              <w:rPr>
                <w:rFonts w:ascii="Arial" w:cs="Arial" w:eastAsia="Arial" w:hAnsi="Arial"/>
                <w:sz w:val="14"/>
                <w:szCs w:val="14"/>
                <w:color w:val="auto"/>
                <w:vertAlign w:val="superscript"/>
              </w:rPr>
              <w:t>(11)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658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788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680</w:t>
            </w:r>
          </w:p>
        </w:tc>
        <w:tc>
          <w:tcPr>
            <w:tcW w:w="102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4"/>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Investment gains (losses), net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92</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50</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42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127</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(35)</w:t>
            </w:r>
          </w:p>
        </w:tc>
        <w:tc>
          <w:tcPr>
            <w:tcW w:w="102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Other gains (losses), net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750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105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645</w:t>
            </w:r>
          </w:p>
        </w:tc>
        <w:tc>
          <w:tcPr>
            <w:tcW w:w="102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53"/>
        </w:trPr>
        <w:tc>
          <w:tcPr>
            <w:tcW w:w="468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(694)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(425)</w:t>
            </w:r>
          </w:p>
        </w:tc>
        <w:tc>
          <w:tcPr>
            <w:tcW w:w="1020" w:type="dxa"/>
            <w:vAlign w:val="bottom"/>
          </w:tcPr>
          <w:p>
            <w:pPr>
              <w:jc w:val="right"/>
              <w:spacing w:after="0"/>
              <w:rPr>
                <w:sz w:val="20"/>
                <w:szCs w:val="20"/>
                <w:color w:val="auto"/>
              </w:rPr>
            </w:pPr>
            <w:r>
              <w:rPr>
                <w:rFonts w:ascii="Arial" w:cs="Arial" w:eastAsia="Arial" w:hAnsi="Arial"/>
                <w:sz w:val="11"/>
                <w:szCs w:val="11"/>
                <w:color w:val="auto"/>
              </w:rPr>
              <w:t>(158)%</w:t>
            </w:r>
          </w:p>
        </w:tc>
      </w:tr>
      <w:tr>
        <w:trPr>
          <w:trHeight w:val="147"/>
        </w:trPr>
        <w:tc>
          <w:tcPr>
            <w:tcW w:w="468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4"/>
        </w:trPr>
        <w:tc>
          <w:tcPr>
            <w:tcW w:w="4680" w:type="dxa"/>
            <w:vAlign w:val="bottom"/>
            <w:gridSpan w:val="2"/>
          </w:tcPr>
          <w:p>
            <w:pPr>
              <w:ind w:left="80"/>
              <w:spacing w:after="0"/>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(650)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w:t>
            </w:r>
          </w:p>
        </w:tc>
        <w:tc>
          <w:tcPr>
            <w:tcW w:w="1020" w:type="dxa"/>
            <w:vAlign w:val="bottom"/>
          </w:tcPr>
          <w:p>
            <w:pPr>
              <w:jc w:val="right"/>
              <w:spacing w:after="0"/>
              <w:rPr>
                <w:sz w:val="20"/>
                <w:szCs w:val="20"/>
                <w:color w:val="auto"/>
              </w:rPr>
            </w:pPr>
            <w:r>
              <w:rPr>
                <w:rFonts w:ascii="Arial" w:cs="Arial" w:eastAsia="Arial" w:hAnsi="Arial"/>
                <w:sz w:val="11"/>
                <w:szCs w:val="11"/>
                <w:color w:val="auto"/>
              </w:rPr>
              <w:t>6 %</w:t>
            </w:r>
          </w:p>
        </w:tc>
      </w:tr>
      <w:tr>
        <w:trPr>
          <w:trHeight w:val="153"/>
        </w:trPr>
        <w:tc>
          <w:tcPr>
            <w:tcW w:w="4680" w:type="dxa"/>
            <w:vAlign w:val="bottom"/>
            <w:gridSpan w:val="2"/>
          </w:tcPr>
          <w:p>
            <w:pPr>
              <w:ind w:left="80"/>
              <w:spacing w:after="0" w:line="153"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(912)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(929)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w:t>
            </w:r>
          </w:p>
        </w:tc>
        <w:tc>
          <w:tcPr>
            <w:tcW w:w="1020" w:type="dxa"/>
            <w:vAlign w:val="bottom"/>
          </w:tcPr>
          <w:p>
            <w:pPr>
              <w:jc w:val="right"/>
              <w:spacing w:after="0"/>
              <w:rPr>
                <w:sz w:val="20"/>
                <w:szCs w:val="20"/>
                <w:color w:val="auto"/>
              </w:rPr>
            </w:pPr>
            <w:r>
              <w:rPr>
                <w:rFonts w:ascii="Arial" w:cs="Arial" w:eastAsia="Arial" w:hAnsi="Arial"/>
                <w:sz w:val="11"/>
                <w:szCs w:val="11"/>
                <w:color w:val="auto"/>
              </w:rPr>
              <w:t>2 %</w:t>
            </w:r>
          </w:p>
        </w:tc>
      </w:tr>
      <w:tr>
        <w:trPr>
          <w:trHeight w:val="153"/>
        </w:trPr>
        <w:tc>
          <w:tcPr>
            <w:tcW w:w="4680" w:type="dxa"/>
            <w:vAlign w:val="bottom"/>
            <w:gridSpan w:val="2"/>
          </w:tcPr>
          <w:p>
            <w:pPr>
              <w:ind w:left="80"/>
              <w:spacing w:after="0" w:line="153"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(289)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(330)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w:t>
            </w:r>
          </w:p>
        </w:tc>
        <w:tc>
          <w:tcPr>
            <w:tcW w:w="1020" w:type="dxa"/>
            <w:vAlign w:val="bottom"/>
          </w:tcPr>
          <w:p>
            <w:pPr>
              <w:jc w:val="right"/>
              <w:spacing w:after="0"/>
              <w:rPr>
                <w:sz w:val="20"/>
                <w:szCs w:val="20"/>
                <w:color w:val="auto"/>
              </w:rPr>
            </w:pPr>
            <w:r>
              <w:rPr>
                <w:rFonts w:ascii="Arial" w:cs="Arial" w:eastAsia="Arial" w:hAnsi="Arial"/>
                <w:sz w:val="11"/>
                <w:szCs w:val="11"/>
                <w:color w:val="auto"/>
              </w:rPr>
              <w:t>12 %</w:t>
            </w:r>
          </w:p>
        </w:tc>
      </w:tr>
      <w:tr>
        <w:trPr>
          <w:trHeight w:val="144"/>
        </w:trPr>
        <w:tc>
          <w:tcPr>
            <w:tcW w:w="4600" w:type="dxa"/>
            <w:vAlign w:val="bottom"/>
            <w:tcBorders>
              <w:bottom w:val="single" w:sz="8" w:color="5587A6"/>
            </w:tcBorders>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(107)</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(87)</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(20)</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(23) %</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(129)</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22</w:t>
            </w:r>
          </w:p>
        </w:tc>
        <w:tc>
          <w:tcPr>
            <w:tcW w:w="1020" w:type="dxa"/>
            <w:vAlign w:val="bottom"/>
          </w:tcPr>
          <w:p>
            <w:pPr>
              <w:jc w:val="right"/>
              <w:spacing w:after="0"/>
              <w:rPr>
                <w:sz w:val="20"/>
                <w:szCs w:val="20"/>
                <w:color w:val="auto"/>
              </w:rPr>
            </w:pPr>
            <w:r>
              <w:rPr>
                <w:rFonts w:ascii="Arial" w:cs="Arial" w:eastAsia="Arial" w:hAnsi="Arial"/>
                <w:sz w:val="11"/>
                <w:szCs w:val="11"/>
                <w:color w:val="auto"/>
              </w:rPr>
              <w:t>17 %</w:t>
            </w:r>
          </w:p>
        </w:tc>
      </w:tr>
      <w:tr>
        <w:trPr>
          <w:trHeight w:val="142"/>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(1,938)</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(1,939)</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 %*</w:t>
            </w: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(2,057)</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119</w:t>
            </w:r>
          </w:p>
        </w:tc>
        <w:tc>
          <w:tcPr>
            <w:tcW w:w="1020" w:type="dxa"/>
            <w:vAlign w:val="bottom"/>
          </w:tcPr>
          <w:p>
            <w:pPr>
              <w:jc w:val="right"/>
              <w:spacing w:after="0"/>
              <w:rPr>
                <w:sz w:val="20"/>
                <w:szCs w:val="20"/>
                <w:color w:val="auto"/>
              </w:rPr>
            </w:pPr>
            <w:r>
              <w:rPr>
                <w:rFonts w:ascii="Arial" w:cs="Arial" w:eastAsia="Arial" w:hAnsi="Arial"/>
                <w:sz w:val="11"/>
                <w:szCs w:val="11"/>
                <w:color w:val="auto"/>
              </w:rPr>
              <w:t>6 %</w:t>
            </w:r>
          </w:p>
        </w:tc>
      </w:tr>
      <w:tr>
        <w:trPr>
          <w:trHeight w:val="146"/>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4,454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4,056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3,875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579</w:t>
            </w:r>
          </w:p>
        </w:tc>
        <w:tc>
          <w:tcPr>
            <w:tcW w:w="1020" w:type="dxa"/>
            <w:vAlign w:val="bottom"/>
          </w:tcPr>
          <w:p>
            <w:pPr>
              <w:jc w:val="right"/>
              <w:spacing w:after="0"/>
              <w:rPr>
                <w:sz w:val="20"/>
                <w:szCs w:val="20"/>
                <w:color w:val="auto"/>
              </w:rPr>
            </w:pPr>
            <w:r>
              <w:rPr>
                <w:rFonts w:ascii="Arial" w:cs="Arial" w:eastAsia="Arial" w:hAnsi="Arial"/>
                <w:sz w:val="11"/>
                <w:szCs w:val="11"/>
                <w:color w:val="auto"/>
              </w:rPr>
              <w:t>15 %</w:t>
            </w:r>
          </w:p>
        </w:tc>
      </w:tr>
      <w:tr>
        <w:trPr>
          <w:trHeight w:val="149"/>
        </w:trPr>
        <w:tc>
          <w:tcPr>
            <w:tcW w:w="460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(812)</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(863)</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(790)</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(22)</w:t>
            </w:r>
          </w:p>
        </w:tc>
        <w:tc>
          <w:tcPr>
            <w:tcW w:w="102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2"/>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3,642</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3,193</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449</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3,085</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557</w:t>
            </w:r>
          </w:p>
        </w:tc>
        <w:tc>
          <w:tcPr>
            <w:tcW w:w="1020" w:type="dxa"/>
            <w:vAlign w:val="bottom"/>
          </w:tcPr>
          <w:p>
            <w:pPr>
              <w:jc w:val="right"/>
              <w:spacing w:after="0"/>
              <w:rPr>
                <w:sz w:val="20"/>
                <w:szCs w:val="20"/>
                <w:color w:val="auto"/>
              </w:rPr>
            </w:pPr>
            <w:r>
              <w:rPr>
                <w:rFonts w:ascii="Arial" w:cs="Arial" w:eastAsia="Arial" w:hAnsi="Arial"/>
                <w:sz w:val="11"/>
                <w:szCs w:val="11"/>
                <w:color w:val="auto"/>
              </w:rPr>
              <w:t>18 %</w:t>
            </w:r>
          </w:p>
        </w:tc>
      </w:tr>
      <w:tr>
        <w:trPr>
          <w:trHeight w:val="20"/>
        </w:trPr>
        <w:tc>
          <w:tcPr>
            <w:tcW w:w="46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2"/>
        </w:trPr>
        <w:tc>
          <w:tcPr>
            <w:tcW w:w="4680" w:type="dxa"/>
            <w:vAlign w:val="bottom"/>
            <w:gridSpan w:val="2"/>
          </w:tcPr>
          <w:p>
            <w:pPr>
              <w:spacing w:after="0"/>
              <w:rPr>
                <w:sz w:val="20"/>
                <w:szCs w:val="20"/>
                <w:color w:val="auto"/>
              </w:rPr>
            </w:pPr>
            <w:r>
              <w:rPr>
                <w:rFonts w:ascii="Arial" w:cs="Arial" w:eastAsia="Arial" w:hAnsi="Arial"/>
                <w:sz w:val="11"/>
                <w:szCs w:val="11"/>
                <w:color w:val="auto"/>
              </w:rPr>
              <w:t>Average charged guaranty fee on new conventional acquisitions, net of TCCA fees</w:t>
            </w: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53.8 bps</w:t>
            </w: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53.5 bps</w:t>
            </w:r>
          </w:p>
        </w:tc>
        <w:tc>
          <w:tcPr>
            <w:tcW w:w="14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0.3 bps</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99"/>
              </w:rPr>
              <w:t>56.3 bps</w:t>
            </w:r>
          </w:p>
        </w:tc>
        <w:tc>
          <w:tcPr>
            <w:tcW w:w="140" w:type="dxa"/>
            <w:vAlign w:val="bottom"/>
          </w:tcPr>
          <w:p>
            <w:pPr>
              <w:spacing w:after="0"/>
              <w:rPr>
                <w:sz w:val="14"/>
                <w:szCs w:val="14"/>
                <w:color w:val="auto"/>
              </w:rPr>
            </w:pPr>
          </w:p>
        </w:tc>
        <w:tc>
          <w:tcPr>
            <w:tcW w:w="720" w:type="dxa"/>
            <w:vAlign w:val="bottom"/>
          </w:tcPr>
          <w:p>
            <w:pPr>
              <w:jc w:val="center"/>
              <w:ind w:right="86"/>
              <w:spacing w:after="0"/>
              <w:rPr>
                <w:sz w:val="20"/>
                <w:szCs w:val="20"/>
                <w:color w:val="auto"/>
              </w:rPr>
            </w:pPr>
            <w:r>
              <w:rPr>
                <w:rFonts w:ascii="Arial" w:cs="Arial" w:eastAsia="Arial" w:hAnsi="Arial"/>
                <w:sz w:val="11"/>
                <w:szCs w:val="11"/>
                <w:color w:val="auto"/>
                <w:w w:val="96"/>
              </w:rPr>
              <w:t>(2.5) bps</w:t>
            </w:r>
          </w:p>
        </w:tc>
        <w:tc>
          <w:tcPr>
            <w:tcW w:w="102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53"/>
        </w:trPr>
        <w:tc>
          <w:tcPr>
            <w:tcW w:w="4680" w:type="dxa"/>
            <w:vAlign w:val="bottom"/>
            <w:gridSpan w:val="2"/>
          </w:tcPr>
          <w:p>
            <w:pPr>
              <w:spacing w:after="0"/>
              <w:rPr>
                <w:sz w:val="20"/>
                <w:szCs w:val="20"/>
                <w:color w:val="auto"/>
              </w:rPr>
            </w:pPr>
            <w:r>
              <w:rPr>
                <w:rFonts w:ascii="Arial" w:cs="Arial" w:eastAsia="Arial" w:hAnsi="Arial"/>
                <w:sz w:val="11"/>
                <w:szCs w:val="11"/>
                <w:color w:val="auto"/>
              </w:rPr>
              <w:t>Average charged guaranty fee on conventional guaranty book of business, net of TCCA fees</w:t>
            </w: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49.1 bps</w:t>
            </w:r>
          </w:p>
        </w:tc>
        <w:tc>
          <w:tcPr>
            <w:tcW w:w="16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49.0 bps</w:t>
            </w:r>
          </w:p>
        </w:tc>
        <w:tc>
          <w:tcPr>
            <w:tcW w:w="140" w:type="dxa"/>
            <w:vAlign w:val="bottom"/>
          </w:tcPr>
          <w:p>
            <w:pPr>
              <w:spacing w:after="0"/>
              <w:rPr>
                <w:sz w:val="13"/>
                <w:szCs w:val="13"/>
                <w:color w:val="auto"/>
              </w:rPr>
            </w:pP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0.1 bps</w:t>
            </w:r>
          </w:p>
        </w:tc>
        <w:tc>
          <w:tcPr>
            <w:tcW w:w="80" w:type="dxa"/>
            <w:vAlign w:val="bottom"/>
          </w:tcPr>
          <w:p>
            <w:pPr>
              <w:spacing w:after="0"/>
              <w:rPr>
                <w:sz w:val="13"/>
                <w:szCs w:val="13"/>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99"/>
              </w:rPr>
              <w:t>48.5 bps</w:t>
            </w:r>
          </w:p>
        </w:tc>
        <w:tc>
          <w:tcPr>
            <w:tcW w:w="140" w:type="dxa"/>
            <w:vAlign w:val="bottom"/>
          </w:tcPr>
          <w:p>
            <w:pPr>
              <w:spacing w:after="0"/>
              <w:rPr>
                <w:sz w:val="13"/>
                <w:szCs w:val="13"/>
                <w:color w:val="auto"/>
              </w:rPr>
            </w:pPr>
          </w:p>
        </w:tc>
        <w:tc>
          <w:tcPr>
            <w:tcW w:w="720" w:type="dxa"/>
            <w:vAlign w:val="bottom"/>
          </w:tcPr>
          <w:p>
            <w:pPr>
              <w:jc w:val="center"/>
              <w:ind w:right="86"/>
              <w:spacing w:after="0"/>
              <w:rPr>
                <w:sz w:val="20"/>
                <w:szCs w:val="20"/>
                <w:color w:val="auto"/>
              </w:rPr>
            </w:pPr>
            <w:r>
              <w:rPr>
                <w:rFonts w:ascii="Arial" w:cs="Arial" w:eastAsia="Arial" w:hAnsi="Arial"/>
                <w:sz w:val="11"/>
                <w:szCs w:val="11"/>
                <w:color w:val="auto"/>
                <w:w w:val="94"/>
              </w:rPr>
              <w:t>0.6 bps</w:t>
            </w:r>
          </w:p>
        </w:tc>
        <w:tc>
          <w:tcPr>
            <w:tcW w:w="1020" w:type="dxa"/>
            <w:vAlign w:val="bottom"/>
          </w:tcPr>
          <w:p>
            <w:pPr>
              <w:jc w:val="right"/>
              <w:spacing w:after="0"/>
              <w:rPr>
                <w:sz w:val="20"/>
                <w:szCs w:val="20"/>
                <w:color w:val="auto"/>
              </w:rPr>
            </w:pPr>
            <w:r>
              <w:rPr>
                <w:rFonts w:ascii="Arial" w:cs="Arial" w:eastAsia="Arial" w:hAnsi="Arial"/>
                <w:sz w:val="11"/>
                <w:szCs w:val="11"/>
                <w:color w:val="auto"/>
              </w:rPr>
              <w:t>1 %</w:t>
            </w:r>
          </w:p>
        </w:tc>
      </w:tr>
      <w:tr>
        <w:trPr>
          <w:trHeight w:val="47"/>
        </w:trPr>
        <w:tc>
          <w:tcPr>
            <w:tcW w:w="4680" w:type="dxa"/>
            <w:vAlign w:val="bottom"/>
            <w:tcBorders>
              <w:bottom w:val="single" w:sz="8" w:color="05314D"/>
            </w:tcBorders>
            <w:gridSpan w:val="2"/>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6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800" w:type="dxa"/>
            <w:vAlign w:val="bottom"/>
            <w:tcBorders>
              <w:bottom w:val="single" w:sz="8" w:color="05314D"/>
            </w:tcBorders>
          </w:tcPr>
          <w:p>
            <w:pPr>
              <w:spacing w:after="0"/>
              <w:rPr>
                <w:sz w:val="4"/>
                <w:szCs w:val="4"/>
                <w:color w:val="auto"/>
              </w:rPr>
            </w:pPr>
          </w:p>
        </w:tc>
        <w:tc>
          <w:tcPr>
            <w:tcW w:w="18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1020" w:type="dxa"/>
            <w:vAlign w:val="bottom"/>
            <w:tcBorders>
              <w:bottom w:val="single" w:sz="8" w:color="05314D"/>
            </w:tcBorders>
          </w:tcPr>
          <w:p>
            <w:pPr>
              <w:spacing w:after="0"/>
              <w:rPr>
                <w:sz w:val="4"/>
                <w:szCs w:val="4"/>
                <w:color w:val="auto"/>
              </w:rPr>
            </w:pPr>
          </w:p>
        </w:tc>
      </w:tr>
      <w:tr>
        <w:trPr>
          <w:trHeight w:val="149"/>
        </w:trPr>
        <w:tc>
          <w:tcPr>
            <w:tcW w:w="4680" w:type="dxa"/>
            <w:vAlign w:val="bottom"/>
            <w:gridSpan w:val="2"/>
          </w:tcPr>
          <w:p>
            <w:pPr>
              <w:spacing w:after="0"/>
              <w:rPr>
                <w:sz w:val="20"/>
                <w:szCs w:val="20"/>
                <w:color w:val="auto"/>
              </w:rPr>
            </w:pPr>
            <w:r>
              <w:rPr>
                <w:rFonts w:ascii="Arial" w:cs="Arial" w:eastAsia="Arial" w:hAnsi="Arial"/>
                <w:sz w:val="11"/>
                <w:szCs w:val="11"/>
                <w:color w:val="auto"/>
              </w:rPr>
              <w:t>Third Quarter 2026</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w:t>
            </w:r>
          </w:p>
        </w:tc>
      </w:tr>
    </w:tbl>
    <w:p>
      <w:pPr>
        <w:sectPr>
          <w:pgSz w:w="11900" w:h="16838" w:orient="portrait"/>
          <w:cols w:equalWidth="0" w:num="1">
            <w:col w:w="11300"/>
          </w:cols>
          <w:pgMar w:left="300" w:top="80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Multifamily Business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Kelly Follain, EVP, Head of Multifamily, Fannie Mae:</w:t>
      </w:r>
    </w:p>
    <w:p>
      <w:pPr>
        <w:spacing w:after="0" w:line="1" w:lineRule="exact"/>
        <w:rPr>
          <w:sz w:val="20"/>
          <w:szCs w:val="20"/>
          <w:color w:val="auto"/>
        </w:rPr>
      </w:pPr>
    </w:p>
    <w:p>
      <w:pPr>
        <w:ind w:right="180"/>
        <w:spacing w:after="0" w:line="294" w:lineRule="auto"/>
        <w:rPr>
          <w:sz w:val="20"/>
          <w:szCs w:val="20"/>
          <w:color w:val="auto"/>
        </w:rPr>
      </w:pPr>
      <w:r>
        <w:rPr>
          <w:rFonts w:ascii="Arial" w:cs="Arial" w:eastAsia="Arial" w:hAnsi="Arial"/>
          <w:sz w:val="11"/>
          <w:szCs w:val="11"/>
          <w:color w:val="auto"/>
        </w:rPr>
        <w:t>“Our Multifamily business continues to serve the market from a position of strength, with disciplined execution and a clear focus on making it easier for lenders and borrowers to do business with us. By combining the proven strength of the DUS model with innovative financing, technology solutions, and strong risk management, we are supporting the creation and preservation of quality, affordable rental housing.”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78040" cy="1331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33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Multifamily Highlights — 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9" w:lineRule="exact"/>
        <w:rPr>
          <w:sz w:val="20"/>
          <w:szCs w:val="2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acquisition volume increased </w:t>
      </w:r>
      <w:r>
        <w:rPr>
          <w:rFonts w:ascii="Arial" w:cs="Arial" w:eastAsia="Arial" w:hAnsi="Arial"/>
          <w:sz w:val="11"/>
          <w:szCs w:val="11"/>
          <w:color w:val="auto"/>
        </w:rPr>
        <w:t>to $14.5 billion in 3Q 2026, compared with $14.2 billion in 2Q 2026.</w:t>
      </w:r>
    </w:p>
    <w:p>
      <w:pPr>
        <w:spacing w:after="0" w:line="71"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guaranty book of business grew </w:t>
      </w:r>
      <w:r>
        <w:rPr>
          <w:rFonts w:ascii="Arial" w:cs="Arial" w:eastAsia="Arial" w:hAnsi="Arial"/>
          <w:sz w:val="11"/>
          <w:szCs w:val="11"/>
          <w:color w:val="auto"/>
        </w:rPr>
        <w:t>to $545.4 billion as of Sep. 30, 2026, an $800 million increase from June 30, 2026.</w:t>
      </w:r>
    </w:p>
    <w:p>
      <w:pPr>
        <w:spacing w:after="0" w:line="71"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net revenues increased </w:t>
      </w:r>
      <w:r>
        <w:rPr>
          <w:rFonts w:ascii="Arial" w:cs="Arial" w:eastAsia="Arial" w:hAnsi="Arial"/>
          <w:sz w:val="11"/>
          <w:szCs w:val="11"/>
          <w:color w:val="auto"/>
        </w:rPr>
        <w:t>to $1.32 billion in 3Q 2026, compared with $1.26 billion in 2Q 2026.</w:t>
      </w:r>
    </w:p>
    <w:p>
      <w:pPr>
        <w:spacing w:after="0" w:line="71"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Average charged guaranty fees on overall multifamily book decreased </w:t>
      </w:r>
      <w:r>
        <w:rPr>
          <w:rFonts w:ascii="Arial" w:cs="Arial" w:eastAsia="Arial" w:hAnsi="Arial"/>
          <w:sz w:val="11"/>
          <w:szCs w:val="11"/>
          <w:color w:val="auto"/>
        </w:rPr>
        <w:t>by 0.6 basis points to 69.9 basis points as of Sep. 30, 2026, compared with 70.5 basis points as of June 30, 2026.</w:t>
      </w:r>
    </w:p>
    <w:p>
      <w:pPr>
        <w:spacing w:after="0" w:line="21" w:lineRule="exact"/>
        <w:rPr>
          <w:rFonts w:ascii="Arial" w:cs="Arial" w:eastAsia="Arial" w:hAnsi="Arial"/>
          <w:sz w:val="10"/>
          <w:szCs w:val="10"/>
          <w:color w:val="auto"/>
        </w:rPr>
      </w:pPr>
    </w:p>
    <w:p>
      <w:pPr>
        <w:ind w:left="200" w:hanging="126"/>
        <w:spacing w:after="0" w:line="227" w:lineRule="auto"/>
        <w:tabs>
          <w:tab w:leader="none" w:pos="200" w:val="left"/>
        </w:tabs>
        <w:numPr>
          <w:ilvl w:val="0"/>
          <w:numId w:val="5"/>
        </w:numPr>
        <w:rPr>
          <w:rFonts w:ascii="Arial" w:cs="Arial" w:eastAsia="Arial" w:hAnsi="Arial"/>
          <w:sz w:val="19"/>
          <w:szCs w:val="19"/>
          <w:color w:val="auto"/>
          <w:vertAlign w:val="superscript"/>
        </w:rPr>
      </w:pPr>
      <w:r>
        <w:rPr>
          <w:rFonts w:ascii="Arial" w:cs="Arial" w:eastAsia="Arial" w:hAnsi="Arial"/>
          <w:sz w:val="11"/>
          <w:szCs w:val="11"/>
          <w:b w:val="1"/>
          <w:bCs w:val="1"/>
          <w:color w:val="auto"/>
        </w:rPr>
        <w:t xml:space="preserve">Weighted average original loan-to-value and debt service coverage ratios for the multifamily guaranty book were largely unchanged </w:t>
      </w:r>
      <w:r>
        <w:rPr>
          <w:rFonts w:ascii="Arial" w:cs="Arial" w:eastAsia="Arial" w:hAnsi="Arial"/>
          <w:sz w:val="11"/>
          <w:szCs w:val="11"/>
          <w:color w:val="auto"/>
        </w:rPr>
        <w:t>from the prior quarter at 63% and 1.9, respectively, as of Sep. 30, 2026.</w:t>
      </w:r>
    </w:p>
    <w:p>
      <w:pPr>
        <w:spacing w:after="0" w:line="60" w:lineRule="exact"/>
        <w:rPr>
          <w:rFonts w:ascii="Arial" w:cs="Arial" w:eastAsia="Arial" w:hAnsi="Arial"/>
          <w:sz w:val="19"/>
          <w:szCs w:val="19"/>
          <w:color w:val="auto"/>
          <w:vertAlign w:val="superscript"/>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serious delinquency rate increased </w:t>
      </w:r>
      <w:r>
        <w:rPr>
          <w:rFonts w:ascii="Arial" w:cs="Arial" w:eastAsia="Arial" w:hAnsi="Arial"/>
          <w:sz w:val="11"/>
          <w:szCs w:val="11"/>
          <w:color w:val="auto"/>
        </w:rPr>
        <w:t>to 0.62% as of Sep. 30, 2026, compared with 0.60% as of prior quarter end.</w:t>
      </w:r>
      <w:r>
        <w:rPr>
          <w:rFonts w:ascii="Arial" w:cs="Arial" w:eastAsia="Arial" w:hAnsi="Arial"/>
          <w:sz w:val="14"/>
          <w:szCs w:val="14"/>
          <w:color w:val="auto"/>
          <w:vertAlign w:val="superscript"/>
        </w:rPr>
        <w:t>(12)</w:t>
      </w:r>
    </w:p>
    <w:p>
      <w:pPr>
        <w:spacing w:after="0" w:line="27" w:lineRule="exact"/>
        <w:rPr>
          <w:rFonts w:ascii="Arial" w:cs="Arial" w:eastAsia="Arial" w:hAnsi="Arial"/>
          <w:sz w:val="10"/>
          <w:szCs w:val="10"/>
          <w:color w:val="auto"/>
        </w:rPr>
      </w:pPr>
    </w:p>
    <w:p>
      <w:pPr>
        <w:ind w:left="200" w:right="460" w:hanging="126"/>
        <w:spacing w:after="0" w:line="250" w:lineRule="auto"/>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multifamily credit losses </w:t>
      </w:r>
      <w:r>
        <w:rPr>
          <w:rFonts w:ascii="Arial" w:cs="Arial" w:eastAsia="Arial" w:hAnsi="Arial"/>
          <w:sz w:val="11"/>
          <w:szCs w:val="11"/>
          <w:color w:val="auto"/>
        </w:rPr>
        <w:t>of $446 million, primarily reflecting weakening credit metrics on multifamily loans, a decline in our near-term property value forecast, and elevated interest rates. This compares with a</w:t>
      </w:r>
      <w:r>
        <w:rPr>
          <w:rFonts w:ascii="Arial" w:cs="Arial" w:eastAsia="Arial" w:hAnsi="Arial"/>
          <w:sz w:val="11"/>
          <w:szCs w:val="11"/>
          <w:b w:val="1"/>
          <w:bCs w:val="1"/>
          <w:color w:val="auto"/>
        </w:rPr>
        <w:t xml:space="preserve"> </w:t>
      </w:r>
      <w:r>
        <w:rPr>
          <w:rFonts w:ascii="Arial" w:cs="Arial" w:eastAsia="Arial" w:hAnsi="Arial"/>
          <w:sz w:val="11"/>
          <w:szCs w:val="11"/>
          <w:color w:val="auto"/>
        </w:rPr>
        <w:t>provision of $259 million in 2Q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48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Multifamily Business Financial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2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3Q26</w:t>
            </w:r>
          </w:p>
        </w:tc>
        <w:tc>
          <w:tcPr>
            <w:tcW w:w="60" w:type="dxa"/>
            <w:vAlign w:val="bottom"/>
            <w:tcBorders>
              <w:top w:val="single" w:sz="8" w:color="1C6FA3"/>
            </w:tcBorders>
          </w:tcPr>
          <w:p>
            <w:pPr>
              <w:spacing w:after="0"/>
              <w:rPr>
                <w:sz w:val="14"/>
                <w:szCs w:val="14"/>
                <w:color w:val="auto"/>
              </w:rPr>
            </w:pPr>
          </w:p>
        </w:tc>
        <w:tc>
          <w:tcPr>
            <w:tcW w:w="160" w:type="dxa"/>
            <w:vAlign w:val="bottom"/>
            <w:tcBorders>
              <w:top w:val="single" w:sz="8" w:color="1C6FA3"/>
              <w:bottom w:val="single" w:sz="8" w:color="5587A6"/>
            </w:tcBorders>
          </w:tcPr>
          <w:p>
            <w:pPr>
              <w:spacing w:after="0"/>
              <w:rPr>
                <w:sz w:val="14"/>
                <w:szCs w:val="14"/>
                <w:color w:val="auto"/>
              </w:rPr>
            </w:pPr>
          </w:p>
        </w:tc>
        <w:tc>
          <w:tcPr>
            <w:tcW w:w="70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2Q26</w:t>
            </w:r>
          </w:p>
        </w:tc>
        <w:tc>
          <w:tcPr>
            <w:tcW w:w="8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0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4"/>
                <w:szCs w:val="14"/>
                <w:color w:val="auto"/>
              </w:rPr>
            </w:pPr>
          </w:p>
        </w:tc>
        <w:tc>
          <w:tcPr>
            <w:tcW w:w="94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2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3Q25</w:t>
            </w:r>
          </w:p>
        </w:tc>
        <w:tc>
          <w:tcPr>
            <w:tcW w:w="60" w:type="dxa"/>
            <w:vAlign w:val="bottom"/>
            <w:tcBorders>
              <w:top w:val="single" w:sz="8" w:color="1C6FA3"/>
            </w:tcBorders>
          </w:tcPr>
          <w:p>
            <w:pPr>
              <w:spacing w:after="0"/>
              <w:rPr>
                <w:sz w:val="14"/>
                <w:szCs w:val="14"/>
                <w:color w:val="auto"/>
              </w:rPr>
            </w:pPr>
          </w:p>
        </w:tc>
        <w:tc>
          <w:tcPr>
            <w:tcW w:w="140" w:type="dxa"/>
            <w:vAlign w:val="bottom"/>
            <w:tcBorders>
              <w:top w:val="single" w:sz="8" w:color="1C6FA3"/>
              <w:bottom w:val="single" w:sz="8" w:color="5587A6"/>
            </w:tcBorders>
          </w:tcPr>
          <w:p>
            <w:pPr>
              <w:spacing w:after="0"/>
              <w:rPr>
                <w:sz w:val="14"/>
                <w:szCs w:val="14"/>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4"/>
                <w:szCs w:val="14"/>
                <w:color w:val="auto"/>
              </w:rPr>
            </w:pPr>
          </w:p>
        </w:tc>
        <w:tc>
          <w:tcPr>
            <w:tcW w:w="94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r>
      <w:tr>
        <w:trPr>
          <w:trHeight w:val="146"/>
        </w:trPr>
        <w:tc>
          <w:tcPr>
            <w:tcW w:w="470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1,291</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1,245</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1,192</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8 %</w:t>
            </w:r>
          </w:p>
        </w:tc>
      </w:tr>
      <w:tr>
        <w:trPr>
          <w:trHeight w:val="149"/>
        </w:trPr>
        <w:tc>
          <w:tcPr>
            <w:tcW w:w="462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24</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26 %</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26 %</w:t>
            </w:r>
          </w:p>
        </w:tc>
      </w:tr>
      <w:tr>
        <w:trPr>
          <w:trHeight w:val="146"/>
        </w:trPr>
        <w:tc>
          <w:tcPr>
            <w:tcW w:w="470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1,315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1,211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9 %</w:t>
            </w:r>
          </w:p>
        </w:tc>
      </w:tr>
      <w:tr>
        <w:trPr>
          <w:trHeight w:val="158"/>
        </w:trPr>
        <w:tc>
          <w:tcPr>
            <w:tcW w:w="4700" w:type="dxa"/>
            <w:vAlign w:val="bottom"/>
            <w:gridSpan w:val="2"/>
          </w:tcPr>
          <w:p>
            <w:pPr>
              <w:spacing w:after="0" w:line="158" w:lineRule="exact"/>
              <w:rPr>
                <w:sz w:val="20"/>
                <w:szCs w:val="20"/>
                <w:color w:val="auto"/>
              </w:rPr>
            </w:pPr>
            <w:r>
              <w:rPr>
                <w:rFonts w:ascii="Arial" w:cs="Arial" w:eastAsia="Arial" w:hAnsi="Arial"/>
                <w:sz w:val="11"/>
                <w:szCs w:val="11"/>
                <w:color w:val="auto"/>
              </w:rPr>
              <w:t>Fair value gains (losses), net</w:t>
            </w:r>
            <w:r>
              <w:rPr>
                <w:rFonts w:ascii="Arial" w:cs="Arial" w:eastAsia="Arial" w:hAnsi="Arial"/>
                <w:sz w:val="14"/>
                <w:szCs w:val="14"/>
                <w:color w:val="auto"/>
                <w:vertAlign w:val="superscript"/>
              </w:rPr>
              <w:t>(11)</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35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4"/>
        </w:trPr>
        <w:tc>
          <w:tcPr>
            <w:tcW w:w="462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Investment gains (losses), net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(7)</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6"/>
        </w:trPr>
        <w:tc>
          <w:tcPr>
            <w:tcW w:w="4700" w:type="dxa"/>
            <w:vAlign w:val="bottom"/>
            <w:gridSpan w:val="2"/>
          </w:tcPr>
          <w:p>
            <w:pPr>
              <w:spacing w:after="0"/>
              <w:rPr>
                <w:sz w:val="20"/>
                <w:szCs w:val="20"/>
                <w:color w:val="auto"/>
              </w:rPr>
            </w:pPr>
            <w:r>
              <w:rPr>
                <w:rFonts w:ascii="Arial" w:cs="Arial" w:eastAsia="Arial" w:hAnsi="Arial"/>
                <w:sz w:val="11"/>
                <w:szCs w:val="11"/>
                <w:b w:val="1"/>
                <w:bCs w:val="1"/>
                <w:color w:val="auto"/>
              </w:rPr>
              <w:t>Other gains (losses), net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2"/>
                <w:szCs w:val="12"/>
                <w:color w:val="auto"/>
              </w:rPr>
            </w:pPr>
          </w:p>
        </w:tc>
        <w:tc>
          <w:tcPr>
            <w:tcW w:w="1020" w:type="dxa"/>
            <w:vAlign w:val="bottom"/>
            <w:gridSpan w:val="2"/>
          </w:tcPr>
          <w:p>
            <w:pPr>
              <w:ind w:left="76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28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53"/>
        </w:trPr>
        <w:tc>
          <w:tcPr>
            <w:tcW w:w="470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(446)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(377)</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7"/>
        </w:trPr>
        <w:tc>
          <w:tcPr>
            <w:tcW w:w="470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4"/>
        </w:trPr>
        <w:tc>
          <w:tcPr>
            <w:tcW w:w="4700" w:type="dxa"/>
            <w:vAlign w:val="bottom"/>
            <w:gridSpan w:val="2"/>
          </w:tcPr>
          <w:p>
            <w:pPr>
              <w:ind w:left="80"/>
              <w:spacing w:after="0"/>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(154)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(150)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w:t>
            </w:r>
          </w:p>
        </w:tc>
      </w:tr>
      <w:tr>
        <w:trPr>
          <w:trHeight w:val="153"/>
        </w:trPr>
        <w:tc>
          <w:tcPr>
            <w:tcW w:w="4700" w:type="dxa"/>
            <w:vAlign w:val="bottom"/>
            <w:gridSpan w:val="2"/>
          </w:tcPr>
          <w:p>
            <w:pPr>
              <w:ind w:left="80"/>
              <w:spacing w:after="0" w:line="153"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14 %</w:t>
            </w:r>
          </w:p>
        </w:tc>
      </w:tr>
      <w:tr>
        <w:trPr>
          <w:trHeight w:val="153"/>
        </w:trPr>
        <w:tc>
          <w:tcPr>
            <w:tcW w:w="4700" w:type="dxa"/>
            <w:vAlign w:val="bottom"/>
            <w:gridSpan w:val="2"/>
          </w:tcPr>
          <w:p>
            <w:pPr>
              <w:ind w:left="80"/>
              <w:spacing w:after="0" w:line="153"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(82)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(79)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w:t>
            </w:r>
          </w:p>
        </w:tc>
      </w:tr>
      <w:tr>
        <w:trPr>
          <w:trHeight w:val="144"/>
        </w:trPr>
        <w:tc>
          <w:tcPr>
            <w:tcW w:w="4620" w:type="dxa"/>
            <w:vAlign w:val="bottom"/>
            <w:tcBorders>
              <w:bottom w:val="single" w:sz="8" w:color="5587A6"/>
            </w:tcBorders>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63</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33</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91 %</w:t>
            </w:r>
          </w:p>
        </w:tc>
      </w:tr>
      <w:tr>
        <w:trPr>
          <w:trHeight w:val="142"/>
        </w:trPr>
        <w:tc>
          <w:tcPr>
            <w:tcW w:w="462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(185)</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(210)</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12 %</w:t>
            </w:r>
          </w:p>
        </w:tc>
      </w:tr>
      <w:tr>
        <w:trPr>
          <w:trHeight w:val="146"/>
        </w:trPr>
        <w:tc>
          <w:tcPr>
            <w:tcW w:w="470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658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960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(31)%</w:t>
            </w:r>
          </w:p>
        </w:tc>
      </w:tr>
      <w:tr>
        <w:trPr>
          <w:trHeight w:val="149"/>
        </w:trPr>
        <w:tc>
          <w:tcPr>
            <w:tcW w:w="462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(123)</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(144)</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15 %</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(186)</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34 %</w:t>
            </w:r>
          </w:p>
        </w:tc>
      </w:tr>
      <w:tr>
        <w:trPr>
          <w:trHeight w:val="142"/>
        </w:trPr>
        <w:tc>
          <w:tcPr>
            <w:tcW w:w="470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535</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789</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(254)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774</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(239)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(31)%</w:t>
            </w:r>
          </w:p>
        </w:tc>
      </w:tr>
      <w:tr>
        <w:trPr>
          <w:trHeight w:val="20"/>
        </w:trPr>
        <w:tc>
          <w:tcPr>
            <w:tcW w:w="46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2"/>
        </w:trPr>
        <w:tc>
          <w:tcPr>
            <w:tcW w:w="4700" w:type="dxa"/>
            <w:vAlign w:val="bottom"/>
            <w:gridSpan w:val="2"/>
          </w:tcPr>
          <w:p>
            <w:pPr>
              <w:spacing w:after="0"/>
              <w:rPr>
                <w:sz w:val="20"/>
                <w:szCs w:val="20"/>
                <w:color w:val="auto"/>
              </w:rPr>
            </w:pPr>
            <w:r>
              <w:rPr>
                <w:rFonts w:ascii="Arial" w:cs="Arial" w:eastAsia="Arial" w:hAnsi="Arial"/>
                <w:sz w:val="11"/>
                <w:szCs w:val="11"/>
                <w:color w:val="auto"/>
              </w:rPr>
              <w:t>Average charged guaranty fee rate on multifamily guaranty book of business, at period end</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69.9 bps</w:t>
            </w: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color w:val="auto"/>
              </w:rPr>
              <w:t>70.5 bps</w:t>
            </w:r>
          </w:p>
        </w:tc>
        <w:tc>
          <w:tcPr>
            <w:tcW w:w="14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Arial" w:cs="Arial" w:eastAsia="Arial" w:hAnsi="Arial"/>
                <w:sz w:val="11"/>
                <w:szCs w:val="11"/>
                <w:color w:val="auto"/>
              </w:rPr>
              <w:t>(0.6) bps</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72.4 bps</w:t>
            </w:r>
          </w:p>
        </w:tc>
        <w:tc>
          <w:tcPr>
            <w:tcW w:w="14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(2.5) bps</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w:t>
            </w:r>
          </w:p>
        </w:tc>
      </w:tr>
      <w:tr>
        <w:trPr>
          <w:trHeight w:val="47"/>
        </w:trPr>
        <w:tc>
          <w:tcPr>
            <w:tcW w:w="4700" w:type="dxa"/>
            <w:vAlign w:val="bottom"/>
            <w:tcBorders>
              <w:bottom w:val="single" w:sz="8" w:color="05314D"/>
            </w:tcBorders>
            <w:gridSpan w:val="2"/>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6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94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1020" w:type="dxa"/>
            <w:vAlign w:val="bottom"/>
            <w:tcBorders>
              <w:bottom w:val="single" w:sz="8" w:color="05314D"/>
            </w:tcBorders>
            <w:gridSpan w:val="2"/>
          </w:tcPr>
          <w:p>
            <w:pPr>
              <w:spacing w:after="0"/>
              <w:rPr>
                <w:sz w:val="4"/>
                <w:szCs w:val="4"/>
                <w:color w:val="auto"/>
              </w:rPr>
            </w:pPr>
          </w:p>
        </w:tc>
      </w:tr>
      <w:tr>
        <w:trPr>
          <w:trHeight w:val="149"/>
        </w:trPr>
        <w:tc>
          <w:tcPr>
            <w:tcW w:w="4700" w:type="dxa"/>
            <w:vAlign w:val="bottom"/>
            <w:gridSpan w:val="2"/>
          </w:tcPr>
          <w:p>
            <w:pPr>
              <w:spacing w:after="0"/>
              <w:rPr>
                <w:sz w:val="20"/>
                <w:szCs w:val="20"/>
                <w:color w:val="auto"/>
              </w:rPr>
            </w:pPr>
            <w:r>
              <w:rPr>
                <w:rFonts w:ascii="Arial" w:cs="Arial" w:eastAsia="Arial" w:hAnsi="Arial"/>
                <w:sz w:val="11"/>
                <w:szCs w:val="11"/>
                <w:color w:val="auto"/>
              </w:rPr>
              <w:t>Third Quarter 2026</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300"/>
          </w:cols>
          <w:pgMar w:left="300" w:top="970" w:right="299" w:bottom="1440" w:gutter="0" w:footer="0" w:header="0"/>
        </w:sectPr>
      </w:pPr>
    </w:p>
    <w:bookmarkStart w:id="7" w:name="page8"/>
    <w:bookmarkEnd w:id="7"/>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774700</wp:posOffset>
            </wp:positionV>
            <wp:extent cx="715518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14300"/>
                    </a:xfrm>
                    <a:prstGeom prst="rect">
                      <a:avLst/>
                    </a:prstGeom>
                    <a:noFill/>
                  </pic:spPr>
                </pic:pic>
              </a:graphicData>
            </a:graphic>
          </wp:anchor>
        </w:drawing>
        <w:t>Additional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715518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22860"/>
                    </a:xfrm>
                    <a:prstGeom prst="rect">
                      <a:avLst/>
                    </a:prstGeom>
                    <a:noFill/>
                  </pic:spPr>
                </pic:pic>
              </a:graphicData>
            </a:graphic>
          </wp:anchor>
        </w:drawing>
      </w:r>
    </w:p>
    <w:p>
      <w:pPr>
        <w:spacing w:after="0" w:line="75" w:lineRule="exact"/>
        <w:rPr>
          <w:sz w:val="20"/>
          <w:szCs w:val="20"/>
          <w:color w:val="auto"/>
        </w:rPr>
      </w:pPr>
    </w:p>
    <w:p>
      <w:pPr>
        <w:ind w:right="60"/>
        <w:spacing w:after="0" w:line="243" w:lineRule="auto"/>
        <w:rPr>
          <w:sz w:val="20"/>
          <w:szCs w:val="20"/>
          <w:color w:val="auto"/>
        </w:rPr>
      </w:pPr>
      <w:r>
        <w:rPr>
          <w:rFonts w:ascii="Arial" w:cs="Arial" w:eastAsia="Arial" w:hAnsi="Arial"/>
          <w:sz w:val="12"/>
          <w:szCs w:val="12"/>
          <w:color w:val="auto"/>
        </w:rPr>
        <w:t>Fannie Mae’s Condensed Consolidated Statements of Operations and Comprehensive Income and Condensed Consolidated Balance Sheets for the third quarter of 2026 are available in the accompanying Annex; however, investors and interested parties should read the company’s quarterly report on Form 10-Q for the quarter ended September 30, 2026 (“Third Quarter 2026 Form 10-Q”), which was filed today with the Securities and Exchange Commission and is available on Fannie Mae’s website, www.fanniemae.com. The company provides further discussion of its financial results and condition, credit performance, and other matters in its Third Quarter 2026 Form 10-Q. Additional information about the company’s financial and credit performance is contained in Fannie Mae’s “3Q 2026 Earnings Presentation” and “3Q 2026 Financial Supplement” at www.fanniemae.com.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i w:val="1"/>
          <w:iCs w:val="1"/>
          <w:color w:val="auto"/>
        </w:rPr>
        <w:t>This release includes forward-looking statements regarding the company's future financial and mission performance and financial condition, as well as the company’s plans, and their impact. Actual outcomes could be materially different from what is set forth in these forward-looking statements due to a variety of factors, including those described in “Forward-Looking Statements” in the company’s Third Quarter 2026 Form 10-Q and in “Forward-Looking Statements,” “Risk Factors,” and elsewhere in the company’s annual report on Form 10-K for the year ended December 31, 2025.</w:t>
      </w:r>
    </w:p>
    <w:p>
      <w:pPr>
        <w:spacing w:after="0" w:line="131" w:lineRule="exact"/>
        <w:rPr>
          <w:sz w:val="20"/>
          <w:szCs w:val="20"/>
          <w:color w:val="auto"/>
        </w:rPr>
      </w:pPr>
    </w:p>
    <w:p>
      <w:pPr>
        <w:jc w:val="both"/>
        <w:ind w:right="520"/>
        <w:spacing w:after="0" w:line="250" w:lineRule="auto"/>
        <w:rPr>
          <w:sz w:val="20"/>
          <w:szCs w:val="20"/>
          <w:color w:val="auto"/>
        </w:rPr>
      </w:pPr>
      <w:r>
        <w:rPr>
          <w:rFonts w:ascii="Arial" w:cs="Arial" w:eastAsia="Arial" w:hAnsi="Arial"/>
          <w:sz w:val="12"/>
          <w:szCs w:val="12"/>
          <w:i w:val="1"/>
          <w:iCs w:val="1"/>
          <w:color w:val="auto"/>
        </w:rPr>
        <w:t>Fannie Mae provides website addresses in its news releases solely for readers’ information. Information contained on or accessible through our website is not incorporated into, and does not as a result of references to the company’s website form a part of, this release or any other report or document the company files with or furnishes to the Securities and Exchange Commission, and any references to the company’s website are intended to be inactive textual references only.</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 learn more, visit fanniemae.com.</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Endnotes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0"/>
          <w:szCs w:val="10"/>
          <w:color w:val="auto"/>
        </w:rPr>
        <w:t>NM</w:t>
      </w:r>
      <w:r>
        <w:rPr>
          <w:sz w:val="20"/>
          <w:szCs w:val="20"/>
          <w:color w:val="auto"/>
        </w:rPr>
        <w:tab/>
      </w:r>
      <w:r>
        <w:rPr>
          <w:rFonts w:ascii="Arial" w:cs="Arial" w:eastAsia="Arial" w:hAnsi="Arial"/>
          <w:sz w:val="10"/>
          <w:szCs w:val="10"/>
          <w:color w:val="auto"/>
        </w:rPr>
        <w:t>Not meaningful</w:t>
      </w:r>
    </w:p>
    <w:p>
      <w:pPr>
        <w:spacing w:after="0" w:line="56" w:lineRule="exact"/>
        <w:rPr>
          <w:sz w:val="20"/>
          <w:szCs w:val="20"/>
          <w:color w:val="auto"/>
        </w:rPr>
      </w:pPr>
    </w:p>
    <w:p>
      <w:pPr>
        <w:ind w:left="340" w:hanging="336"/>
        <w:spacing w:after="0"/>
        <w:tabs>
          <w:tab w:leader="none" w:pos="340" w:val="left"/>
        </w:tabs>
        <w:numPr>
          <w:ilvl w:val="0"/>
          <w:numId w:val="6"/>
        </w:numPr>
        <w:rPr>
          <w:rFonts w:ascii="Arial" w:cs="Arial" w:eastAsia="Arial" w:hAnsi="Arial"/>
          <w:sz w:val="10"/>
          <w:szCs w:val="10"/>
          <w:color w:val="auto"/>
        </w:rPr>
      </w:pPr>
      <w:r>
        <w:rPr>
          <w:rFonts w:ascii="Arial" w:cs="Arial" w:eastAsia="Arial" w:hAnsi="Arial"/>
          <w:sz w:val="10"/>
          <w:szCs w:val="10"/>
          <w:color w:val="auto"/>
        </w:rPr>
        <w:t>Represents less than 0.5%</w:t>
      </w:r>
    </w:p>
    <w:p>
      <w:pPr>
        <w:spacing w:after="0" w:line="38" w:lineRule="exact"/>
        <w:rPr>
          <w:sz w:val="20"/>
          <w:szCs w:val="20"/>
          <w:color w:val="auto"/>
        </w:rPr>
      </w:pPr>
    </w:p>
    <w:p>
      <w:pPr>
        <w:ind w:left="340" w:right="300" w:hanging="336"/>
        <w:spacing w:after="0" w:line="209"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Illustrative return on average required Common Equity Tier 1 (CET1) is designed to show what our return on capital would have been if our actual CET1 available capital had been equal to the CET1 capital requirement for the applicable periods. CET1 requirement as presented represents the company's average CET1 capital requirement including prescribed capital conservation buffer amount under the enterprise regulatory capital framework (which is not currently in effect while the company is in conservatorship) for the period as described below and not the amount of the company's actual available CET1 capital. As of September 30, 2026, the company's actual available CET1 capital was a deficit of $30 billion. For each applicable period, the illustrative return on average required CET1 ratio is calculated based on annualized year-to-date net income for the period divided by the average CET1 capital requirement for each quarter to date during the applicable year plus the fourth quarter of the previous year.</w:t>
      </w:r>
    </w:p>
    <w:p>
      <w:pPr>
        <w:spacing w:after="0" w:line="30" w:lineRule="exact"/>
        <w:rPr>
          <w:rFonts w:ascii="Arial" w:cs="Arial" w:eastAsia="Arial" w:hAnsi="Arial"/>
          <w:sz w:val="10"/>
          <w:szCs w:val="1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As presented in our Form 10-Q, net revenues consist of net interest income, and fee and other income.</w:t>
      </w:r>
    </w:p>
    <w:p>
      <w:pPr>
        <w:spacing w:after="0" w:line="47" w:lineRule="exact"/>
        <w:rPr>
          <w:rFonts w:ascii="Arial" w:cs="Arial" w:eastAsia="Arial" w:hAnsi="Arial"/>
          <w:sz w:val="10"/>
          <w:szCs w:val="1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Administrative expense ratio is calculated as administrative expenses divided by net revenues during the period. Administrative expenses consist of salaries and employee benefits and professional services, technology and occupancy expenses.</w:t>
      </w:r>
    </w:p>
    <w:p>
      <w:pPr>
        <w:spacing w:after="0" w:line="9" w:lineRule="exact"/>
        <w:rPr>
          <w:rFonts w:ascii="Arial" w:cs="Arial" w:eastAsia="Arial" w:hAnsi="Arial"/>
          <w:sz w:val="10"/>
          <w:szCs w:val="10"/>
          <w:color w:val="auto"/>
        </w:rPr>
      </w:pPr>
    </w:p>
    <w:p>
      <w:pPr>
        <w:ind w:left="340" w:hanging="336"/>
        <w:spacing w:after="0" w:line="20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Consists of salaries and employee benefits and professional services, technology and occupancy expenses.</w:t>
      </w:r>
    </w:p>
    <w:p>
      <w:pPr>
        <w:spacing w:after="0" w:line="72" w:lineRule="exact"/>
        <w:rPr>
          <w:rFonts w:ascii="Arial" w:cs="Arial" w:eastAsia="Arial" w:hAnsi="Arial"/>
          <w:sz w:val="19"/>
          <w:szCs w:val="19"/>
          <w:color w:val="auto"/>
          <w:vertAlign w:val="superscript"/>
        </w:rPr>
      </w:pPr>
    </w:p>
    <w:p>
      <w:pPr>
        <w:ind w:left="340" w:right="580" w:hanging="336"/>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87" w:lineRule="exact"/>
        <w:rPr>
          <w:rFonts w:ascii="Arial" w:cs="Arial" w:eastAsia="Arial" w:hAnsi="Arial"/>
          <w:sz w:val="18"/>
          <w:szCs w:val="18"/>
          <w:color w:val="auto"/>
          <w:vertAlign w:val="superscript"/>
        </w:rPr>
      </w:pPr>
    </w:p>
    <w:p>
      <w:pPr>
        <w:ind w:left="340" w:right="40" w:hanging="336"/>
        <w:spacing w:after="0" w:line="18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Consists of costs associated with freestanding credit enhancements, which primarily include the company’s Connecticut Avenue Securities® (“CAS”) and Credit Insurance Risk Transfer</w:t>
      </w:r>
      <w:r>
        <w:rPr>
          <w:rFonts w:ascii="Arial" w:cs="Arial" w:eastAsia="Arial" w:hAnsi="Arial"/>
          <w:sz w:val="11"/>
          <w:szCs w:val="11"/>
          <w:color w:val="auto"/>
          <w:vertAlign w:val="superscript"/>
        </w:rPr>
        <w:t>TM</w:t>
      </w:r>
      <w:r>
        <w:rPr>
          <w:rFonts w:ascii="Arial" w:cs="Arial" w:eastAsia="Arial" w:hAnsi="Arial"/>
          <w:sz w:val="9"/>
          <w:szCs w:val="9"/>
          <w:color w:val="auto"/>
        </w:rPr>
        <w:t xml:space="preserve"> programs, enterprise-paid mortgage insurance, and certain lender risk-sharing programs.</w:t>
      </w:r>
    </w:p>
    <w:p>
      <w:pPr>
        <w:ind w:left="340" w:hanging="336"/>
        <w:spacing w:after="0" w:line="20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Primarily consists of foreclosed property income (expense), change in the expected benefits from our freestanding credit enhancements, and gains (losses) from partnership investments.</w:t>
      </w:r>
    </w:p>
    <w:p>
      <w:pPr>
        <w:spacing w:after="0" w:line="72" w:lineRule="exact"/>
        <w:rPr>
          <w:rFonts w:ascii="Arial" w:cs="Arial" w:eastAsia="Arial" w:hAnsi="Arial"/>
          <w:sz w:val="19"/>
          <w:szCs w:val="19"/>
          <w:color w:val="auto"/>
          <w:vertAlign w:val="superscript"/>
        </w:rPr>
      </w:pPr>
    </w:p>
    <w:p>
      <w:pPr>
        <w:ind w:left="340" w:hanging="336"/>
        <w:spacing w:after="0" w:line="187" w:lineRule="auto"/>
        <w:tabs>
          <w:tab w:leader="none" w:pos="340" w:val="left"/>
        </w:tabs>
        <w:numPr>
          <w:ilvl w:val="0"/>
          <w:numId w:val="7"/>
        </w:numPr>
        <w:rPr>
          <w:rFonts w:ascii="Arial" w:cs="Arial" w:eastAsia="Arial" w:hAnsi="Arial"/>
          <w:sz w:val="13"/>
          <w:szCs w:val="13"/>
          <w:color w:val="auto"/>
          <w:vertAlign w:val="superscript"/>
        </w:rPr>
      </w:pPr>
      <w:r>
        <w:rPr>
          <w:rFonts w:ascii="Arial" w:cs="Arial" w:eastAsia="Arial" w:hAnsi="Arial"/>
          <w:sz w:val="7"/>
          <w:szCs w:val="7"/>
          <w:color w:val="auto"/>
        </w:rPr>
        <w:t>Primarily consists of unrealized gains (losses) on our available-for-sale (“AFS”) U.S. Treasury security investments.</w:t>
      </w:r>
    </w:p>
    <w:p>
      <w:pPr>
        <w:spacing w:after="0" w:line="72" w:lineRule="exact"/>
        <w:rPr>
          <w:rFonts w:ascii="Arial" w:cs="Arial" w:eastAsia="Arial" w:hAnsi="Arial"/>
          <w:sz w:val="13"/>
          <w:szCs w:val="13"/>
          <w:color w:val="auto"/>
          <w:vertAlign w:val="superscript"/>
        </w:rPr>
      </w:pPr>
    </w:p>
    <w:p>
      <w:pPr>
        <w:ind w:left="340" w:right="40" w:hanging="336"/>
        <w:spacing w:after="0" w:line="18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Weighted-average FICO credit score at origination excludes loans for which FICO credit scores were unavailable and also excludes loans delivered with a VantageScore 4.0 credit score. Collectively these loans represented less than 0.5% of the single-family conventional guaranty book of business as of Sep. 30, 2026.</w:t>
      </w:r>
    </w:p>
    <w:p>
      <w:pPr>
        <w:spacing w:after="0" w:line="38" w:lineRule="exact"/>
        <w:rPr>
          <w:rFonts w:ascii="Arial" w:cs="Arial" w:eastAsia="Arial" w:hAnsi="Arial"/>
          <w:sz w:val="18"/>
          <w:szCs w:val="18"/>
          <w:color w:val="auto"/>
          <w:vertAlign w:val="superscript"/>
        </w:rPr>
      </w:pPr>
    </w:p>
    <w:p>
      <w:pPr>
        <w:ind w:left="340" w:right="60" w:hanging="336"/>
        <w:spacing w:after="0" w:line="245"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Single-family seriously delinquent loans are loans that are 90 days or more past due or in the foreclosure process. Our single-family serious delinquency rate is expressed as a percentage of our single-family conventional guaranty book of business based on loan count.</w:t>
      </w:r>
    </w:p>
    <w:p>
      <w:pPr>
        <w:spacing w:after="0" w:line="35" w:lineRule="exact"/>
        <w:rPr>
          <w:rFonts w:ascii="Arial" w:cs="Arial" w:eastAsia="Arial" w:hAnsi="Arial"/>
          <w:sz w:val="10"/>
          <w:szCs w:val="10"/>
          <w:color w:val="auto"/>
        </w:rPr>
      </w:pPr>
    </w:p>
    <w:p>
      <w:pPr>
        <w:ind w:left="340" w:hanging="336"/>
        <w:spacing w:after="0"/>
        <w:tabs>
          <w:tab w:leader="none" w:pos="340" w:val="left"/>
        </w:tabs>
        <w:numPr>
          <w:ilvl w:val="0"/>
          <w:numId w:val="7"/>
        </w:numPr>
        <w:rPr>
          <w:rFonts w:ascii="Arial" w:cs="Arial" w:eastAsia="Arial" w:hAnsi="Arial"/>
          <w:sz w:val="8"/>
          <w:szCs w:val="8"/>
          <w:color w:val="auto"/>
        </w:rPr>
      </w:pPr>
      <w:r>
        <w:rPr>
          <w:rFonts w:ascii="Arial" w:cs="Arial" w:eastAsia="Arial" w:hAnsi="Arial"/>
          <w:sz w:val="8"/>
          <w:szCs w:val="8"/>
          <w:color w:val="auto"/>
        </w:rPr>
        <w:t>During the third quarter of 2026, we changed our methodology for allocating certain fair value gains and losses between our two business segments. For additional information refer to "Note 10, Segment Reporting" in our Third Quarter 2026 Form 10-Q.</w:t>
      </w:r>
    </w:p>
    <w:p>
      <w:pPr>
        <w:spacing w:after="0" w:line="61" w:lineRule="exact"/>
        <w:rPr>
          <w:rFonts w:ascii="Arial" w:cs="Arial" w:eastAsia="Arial" w:hAnsi="Arial"/>
          <w:sz w:val="8"/>
          <w:szCs w:val="8"/>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Multifamily serious delinquency rate consists of multifamily loans that were 60 days or more past due based on unpaid principal balance, expressed as a percentage of our multifamily guaranty book of business.</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Investor Contact: </w:t>
      </w:r>
      <w:r>
        <w:rPr>
          <w:rFonts w:ascii="Arial" w:cs="Arial" w:eastAsia="Arial" w:hAnsi="Arial"/>
          <w:sz w:val="12"/>
          <w:szCs w:val="12"/>
          <w:color w:val="000000"/>
        </w:rPr>
        <w:t>Yasaman Hekmat (yasaman_hekmat@fanniemae.com)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Media Contact: </w:t>
      </w:r>
      <w:r>
        <w:rPr>
          <w:rFonts w:ascii="Arial" w:cs="Arial" w:eastAsia="Arial" w:hAnsi="Arial"/>
          <w:sz w:val="12"/>
          <w:szCs w:val="12"/>
          <w:color w:val="000000"/>
        </w:rPr>
        <w:t>Matthew Classick (matthew_t_classick@fanniemae.com)</w:t>
      </w:r>
    </w:p>
    <w:tbl>
      <w:tblPr>
        <w:tblLayout w:type="fixed"/>
        <w:tblInd w:w="0" w:type="dxa"/>
        <w:tblCellMar>
          <w:top w:w="0" w:type="dxa"/>
          <w:left w:w="0" w:type="dxa"/>
          <w:bottom w:w="0" w:type="dxa"/>
          <w:right w:w="0" w:type="dxa"/>
        </w:tblCellMar>
      </w:tblPr>
      <w:tr>
        <w:trPr>
          <w:trHeight w:val="149"/>
        </w:trPr>
        <w:tc>
          <w:tcPr>
            <w:tcW w:w="608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Third Quarter 2026</w:t>
            </w:r>
          </w:p>
        </w:tc>
        <w:tc>
          <w:tcPr>
            <w:tcW w:w="522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5</w:t>
            </w:r>
          </w:p>
        </w:tc>
      </w:tr>
    </w:tbl>
    <w:p>
      <w:pPr>
        <w:sectPr>
          <w:pgSz w:w="11900" w:h="16838" w:orient="portrait"/>
          <w:cols w:equalWidth="0" w:num="1">
            <w:col w:w="11300"/>
          </w:cols>
          <w:pgMar w:left="300" w:top="1223"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ANNEX</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5314D"/>
        </w:rPr>
        <w:t>FANNIE MAE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Condensed Consolidated Statements of Operations and Comprehensive Income — (Unaudited)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05314D"/>
        </w:rPr>
        <w:t>(Dollars and shares in millions,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7"/>
          </w:tcPr>
          <w:p>
            <w:pPr>
              <w:ind w:left="20"/>
              <w:spacing w:after="0"/>
              <w:rPr>
                <w:sz w:val="20"/>
                <w:szCs w:val="20"/>
                <w:color w:val="auto"/>
              </w:rPr>
            </w:pPr>
            <w:r>
              <w:rPr>
                <w:rFonts w:ascii="Arial" w:cs="Arial" w:eastAsia="Arial" w:hAnsi="Arial"/>
                <w:sz w:val="10"/>
                <w:szCs w:val="10"/>
                <w:b w:val="1"/>
                <w:bCs w:val="1"/>
                <w:color w:val="auto"/>
                <w:w w:val="95"/>
              </w:rPr>
              <w:t>For the Three Months Ended September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gridSpan w:val="10"/>
            <w:vMerge w:val="restart"/>
          </w:tcPr>
          <w:p>
            <w:pPr>
              <w:jc w:val="right"/>
              <w:ind w:right="380"/>
              <w:spacing w:after="0"/>
              <w:rPr>
                <w:sz w:val="20"/>
                <w:szCs w:val="20"/>
                <w:color w:val="auto"/>
              </w:rPr>
            </w:pPr>
            <w:r>
              <w:rPr>
                <w:rFonts w:ascii="Arial" w:cs="Arial" w:eastAsia="Arial" w:hAnsi="Arial"/>
                <w:sz w:val="10"/>
                <w:szCs w:val="10"/>
                <w:b w:val="1"/>
                <w:bCs w:val="1"/>
                <w:color w:val="auto"/>
                <w:w w:val="96"/>
              </w:rPr>
              <w:t>For the Nine Months Ended September 30,</w:t>
            </w: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gridSpan w:val="3"/>
            <w:vMerge w:val="restart"/>
          </w:tcPr>
          <w:p>
            <w:pPr>
              <w:jc w:val="right"/>
              <w:ind w:right="40"/>
              <w:spacing w:after="0"/>
              <w:rPr>
                <w:sz w:val="20"/>
                <w:szCs w:val="20"/>
                <w:color w:val="auto"/>
              </w:rPr>
            </w:pPr>
            <w:r>
              <w:rPr>
                <w:rFonts w:ascii="Arial" w:cs="Arial" w:eastAsia="Arial" w:hAnsi="Arial"/>
                <w:sz w:val="10"/>
                <w:szCs w:val="10"/>
                <w:b w:val="1"/>
                <w:bCs w:val="1"/>
                <w:color w:val="auto"/>
              </w:rPr>
              <w:t>30,</w:t>
            </w: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3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60" w:type="dxa"/>
            <w:vAlign w:val="bottom"/>
            <w:tcBorders>
              <w:bottom w:val="single" w:sz="8" w:color="5587A6"/>
            </w:tcBorders>
          </w:tcPr>
          <w:p>
            <w:pPr>
              <w:spacing w:after="0"/>
              <w:rPr>
                <w:sz w:val="4"/>
                <w:szCs w:val="4"/>
                <w:color w:val="auto"/>
              </w:rPr>
            </w:pPr>
          </w:p>
        </w:tc>
        <w:tc>
          <w:tcPr>
            <w:tcW w:w="200" w:type="dxa"/>
            <w:vAlign w:val="bottom"/>
            <w:tcBorders>
              <w:bottom w:val="single" w:sz="8" w:color="5587A6"/>
            </w:tcBorders>
          </w:tcPr>
          <w:p>
            <w:pPr>
              <w:spacing w:after="0"/>
              <w:rPr>
                <w:sz w:val="4"/>
                <w:szCs w:val="4"/>
                <w:color w:val="auto"/>
              </w:rPr>
            </w:pPr>
          </w:p>
        </w:tc>
        <w:tc>
          <w:tcPr>
            <w:tcW w:w="620" w:type="dxa"/>
            <w:vAlign w:val="bottom"/>
            <w:tcBorders>
              <w:bottom w:val="single" w:sz="8" w:color="5587A6"/>
            </w:tcBorders>
          </w:tcPr>
          <w:p>
            <w:pPr>
              <w:spacing w:after="0"/>
              <w:rPr>
                <w:sz w:val="4"/>
                <w:szCs w:val="4"/>
                <w:color w:val="auto"/>
              </w:rPr>
            </w:pPr>
          </w:p>
        </w:tc>
        <w:tc>
          <w:tcPr>
            <w:tcW w:w="220" w:type="dxa"/>
            <w:vAlign w:val="bottom"/>
            <w:tcBorders>
              <w:bottom w:val="single" w:sz="8" w:color="5587A6"/>
            </w:tcBorders>
            <w:gridSpan w:val="3"/>
            <w:vMerge w:val="continue"/>
          </w:tcPr>
          <w:p>
            <w:pPr>
              <w:spacing w:after="0"/>
              <w:rPr>
                <w:sz w:val="4"/>
                <w:szCs w:val="4"/>
                <w:color w:val="auto"/>
              </w:rPr>
            </w:pPr>
          </w:p>
        </w:tc>
        <w:tc>
          <w:tcPr>
            <w:tcW w:w="180" w:type="dxa"/>
            <w:vAlign w:val="bottom"/>
            <w:tcBorders>
              <w:bottom w:val="single" w:sz="8" w:color="5587A6"/>
            </w:tcBorders>
          </w:tcPr>
          <w:p>
            <w:pPr>
              <w:spacing w:after="0"/>
              <w:rPr>
                <w:sz w:val="4"/>
                <w:szCs w:val="4"/>
                <w:color w:val="auto"/>
              </w:rPr>
            </w:pPr>
          </w:p>
        </w:tc>
        <w:tc>
          <w:tcPr>
            <w:tcW w:w="64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180" w:type="dxa"/>
            <w:vAlign w:val="bottom"/>
            <w:tcBorders>
              <w:bottom w:val="single" w:sz="8" w:color="5587A6"/>
            </w:tcBorders>
          </w:tcPr>
          <w:p>
            <w:pPr>
              <w:spacing w:after="0"/>
              <w:rPr>
                <w:sz w:val="4"/>
                <w:szCs w:val="4"/>
                <w:color w:val="auto"/>
              </w:rPr>
            </w:pPr>
          </w:p>
        </w:tc>
        <w:tc>
          <w:tcPr>
            <w:tcW w:w="640" w:type="dxa"/>
            <w:vAlign w:val="bottom"/>
            <w:tcBorders>
              <w:bottom w:val="single" w:sz="8" w:color="5587A6"/>
            </w:tcBorders>
          </w:tcPr>
          <w:p>
            <w:pPr>
              <w:spacing w:after="0"/>
              <w:rPr>
                <w:sz w:val="4"/>
                <w:szCs w:val="4"/>
                <w:color w:val="auto"/>
              </w:rPr>
            </w:pPr>
          </w:p>
        </w:tc>
        <w:tc>
          <w:tcPr>
            <w:tcW w:w="6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180" w:type="dxa"/>
            <w:vAlign w:val="bottom"/>
            <w:tcBorders>
              <w:bottom w:val="single" w:sz="8" w:color="5587A6"/>
            </w:tcBorders>
          </w:tcPr>
          <w:p>
            <w:pPr>
              <w:spacing w:after="0"/>
              <w:rPr>
                <w:sz w:val="4"/>
                <w:szCs w:val="4"/>
                <w:color w:val="auto"/>
              </w:rPr>
            </w:pPr>
          </w:p>
        </w:tc>
        <w:tc>
          <w:tcPr>
            <w:tcW w:w="640" w:type="dxa"/>
            <w:vAlign w:val="bottom"/>
            <w:tcBorders>
              <w:bottom w:val="single" w:sz="8" w:color="5587A6"/>
            </w:tcBorders>
          </w:tcPr>
          <w:p>
            <w:pPr>
              <w:spacing w:after="0"/>
              <w:rPr>
                <w:sz w:val="4"/>
                <w:szCs w:val="4"/>
                <w:color w:val="auto"/>
              </w:rPr>
            </w:pPr>
          </w:p>
        </w:tc>
        <w:tc>
          <w:tcPr>
            <w:tcW w:w="60" w:type="dxa"/>
            <w:vAlign w:val="bottom"/>
            <w:tcBorders>
              <w:bottom w:val="single" w:sz="8" w:color="5587A6"/>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Borders>
              <w:bottom w:val="single" w:sz="8" w:color="5587A6"/>
            </w:tcBorders>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27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5587A6"/>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Interest income:</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Mortgage loans</w:t>
            </w:r>
          </w:p>
        </w:tc>
        <w:tc>
          <w:tcPr>
            <w:tcW w:w="3740" w:type="dxa"/>
            <w:vAlign w:val="bottom"/>
            <w:gridSpan w:val="3"/>
          </w:tcPr>
          <w:p>
            <w:pPr>
              <w:ind w:left="356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39,962</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38,344</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118,161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113,436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Securities purchased under agreements to resell</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592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1,770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2,640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Investments in securities and other</w:t>
            </w:r>
          </w:p>
        </w:tc>
        <w:tc>
          <w:tcPr>
            <w:tcW w:w="348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5587A6"/>
            </w:tcBorders>
          </w:tcPr>
          <w:p>
            <w:pPr>
              <w:spacing w:after="0"/>
              <w:rPr>
                <w:sz w:val="12"/>
                <w:szCs w:val="12"/>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789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2,721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2,328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Total interest income</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41,622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39,977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122,652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118,404</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Interest expense:</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Short-term debt</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(323)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(771)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Long-term debt</w:t>
            </w:r>
          </w:p>
        </w:tc>
        <w:tc>
          <w:tcPr>
            <w:tcW w:w="348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5587A6"/>
            </w:tcBorders>
          </w:tcPr>
          <w:p>
            <w:pPr>
              <w:spacing w:after="0"/>
              <w:rPr>
                <w:sz w:val="12"/>
                <w:szCs w:val="12"/>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(33,740)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(32,639)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(99,631)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(96,702)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Total interest expense</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(34,063)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(32,793)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(100,402)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(97,064)</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300"/>
              <w:spacing w:after="0"/>
              <w:rPr>
                <w:sz w:val="20"/>
                <w:szCs w:val="20"/>
                <w:color w:val="auto"/>
              </w:rPr>
            </w:pPr>
            <w:r>
              <w:rPr>
                <w:rFonts w:ascii="Arial" w:cs="Arial" w:eastAsia="Arial" w:hAnsi="Arial"/>
                <w:sz w:val="10"/>
                <w:szCs w:val="10"/>
                <w:color w:val="auto"/>
              </w:rPr>
              <w:t>Net interest income</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7,559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7,184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22,250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21,340</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Non-interest income:</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00" w:type="dxa"/>
            <w:vAlign w:val="bottom"/>
          </w:tcPr>
          <w:p>
            <w:pPr>
              <w:ind w:left="80"/>
              <w:spacing w:after="0"/>
              <w:rPr>
                <w:sz w:val="20"/>
                <w:szCs w:val="20"/>
                <w:color w:val="auto"/>
              </w:rPr>
            </w:pPr>
            <w:r>
              <w:rPr>
                <w:rFonts w:ascii="Arial" w:cs="Arial" w:eastAsia="Arial" w:hAnsi="Arial"/>
                <w:sz w:val="10"/>
                <w:szCs w:val="10"/>
                <w:color w:val="auto"/>
              </w:rPr>
              <w:t>Fair value gains (losses), net</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630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675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347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100" w:type="dxa"/>
            <w:vAlign w:val="bottom"/>
          </w:tcPr>
          <w:p>
            <w:pPr>
              <w:ind w:left="100"/>
              <w:spacing w:after="0"/>
              <w:rPr>
                <w:sz w:val="20"/>
                <w:szCs w:val="20"/>
                <w:color w:val="auto"/>
              </w:rPr>
            </w:pPr>
            <w:r>
              <w:rPr>
                <w:rFonts w:ascii="Arial" w:cs="Arial" w:eastAsia="Arial" w:hAnsi="Arial"/>
                <w:sz w:val="10"/>
                <w:szCs w:val="10"/>
                <w:color w:val="auto"/>
              </w:rPr>
              <w:t>Fee and other income</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293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tcBorders>
              <w:bottom w:val="single" w:sz="8" w:color="5587A6"/>
            </w:tcBorders>
          </w:tcPr>
          <w:p>
            <w:pPr>
              <w:ind w:left="100"/>
              <w:spacing w:after="0"/>
              <w:rPr>
                <w:sz w:val="20"/>
                <w:szCs w:val="20"/>
                <w:color w:val="auto"/>
              </w:rPr>
            </w:pPr>
            <w:r>
              <w:rPr>
                <w:rFonts w:ascii="Arial" w:cs="Arial" w:eastAsia="Arial" w:hAnsi="Arial"/>
                <w:sz w:val="10"/>
                <w:szCs w:val="10"/>
                <w:color w:val="auto"/>
              </w:rPr>
              <w:t>Investment gains (losses), net</w:t>
            </w:r>
          </w:p>
        </w:tc>
        <w:tc>
          <w:tcPr>
            <w:tcW w:w="348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5587A6"/>
            </w:tcBorders>
          </w:tcPr>
          <w:p>
            <w:pPr>
              <w:spacing w:after="0"/>
              <w:rPr>
                <w:sz w:val="12"/>
                <w:szCs w:val="12"/>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100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Total non-interest income</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816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791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740</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(Provision) benefit for credit losses</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(1,140)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(1,902)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(1,308)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Non-interest expense:</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Salaries and employee benefits</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(484)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(1,410)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(1,578)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Professional services, technology, and occupancy</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(300)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(930)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(1,080)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Legislative assessments</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(924)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(943)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(2,789)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(2,813)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Credit enhancement expense</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(371)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(1,090)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(1,288)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income (expense), net</w:t>
            </w:r>
          </w:p>
        </w:tc>
        <w:tc>
          <w:tcPr>
            <w:tcW w:w="348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5587A6"/>
            </w:tcBorders>
          </w:tcPr>
          <w:p>
            <w:pPr>
              <w:spacing w:after="0"/>
              <w:rPr>
                <w:sz w:val="12"/>
                <w:szCs w:val="12"/>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(155)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(440)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Total non-interest expense</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(2,123)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(2,267)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(6,374)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(7,199)</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Income before federal income taxes</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5,112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4,835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14,765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13,573</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Provision for federal income taxes</w:t>
            </w:r>
          </w:p>
        </w:tc>
        <w:tc>
          <w:tcPr>
            <w:tcW w:w="348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5587A6"/>
            </w:tcBorders>
          </w:tcPr>
          <w:p>
            <w:pPr>
              <w:spacing w:after="0"/>
              <w:rPr>
                <w:sz w:val="12"/>
                <w:szCs w:val="12"/>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(976)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(2,886)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(2,736)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4,177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3,859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11,879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10,837</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Other comprehensive income (loss)</w:t>
            </w:r>
          </w:p>
        </w:tc>
        <w:tc>
          <w:tcPr>
            <w:tcW w:w="348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5587A6"/>
            </w:tcBorders>
          </w:tcPr>
          <w:p>
            <w:pPr>
              <w:spacing w:after="0"/>
              <w:rPr>
                <w:sz w:val="12"/>
                <w:szCs w:val="12"/>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(1,037)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(1,254)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Total comprehensive income</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3,140</w:t>
            </w:r>
          </w:p>
        </w:tc>
        <w:tc>
          <w:tcPr>
            <w:tcW w:w="220" w:type="dxa"/>
            <w:vAlign w:val="bottom"/>
            <w:gridSpan w:val="3"/>
          </w:tcPr>
          <w:p>
            <w:pPr>
              <w:spacing w:after="0"/>
              <w:rPr>
                <w:sz w:val="11"/>
                <w:szCs w:val="11"/>
                <w:color w:val="auto"/>
              </w:rPr>
            </w:pPr>
          </w:p>
        </w:tc>
        <w:tc>
          <w:tcPr>
            <w:tcW w:w="180" w:type="dxa"/>
            <w:vAlign w:val="bottom"/>
            <w:tcBorders>
              <w:bottom w:val="single" w:sz="8" w:color="5587A6"/>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3,849</w:t>
            </w:r>
          </w:p>
        </w:tc>
        <w:tc>
          <w:tcPr>
            <w:tcW w:w="220" w:type="dxa"/>
            <w:vAlign w:val="bottom"/>
            <w:gridSpan w:val="3"/>
          </w:tcPr>
          <w:p>
            <w:pPr>
              <w:spacing w:after="0"/>
              <w:rPr>
                <w:sz w:val="11"/>
                <w:szCs w:val="11"/>
                <w:color w:val="auto"/>
              </w:rPr>
            </w:pPr>
          </w:p>
        </w:tc>
        <w:tc>
          <w:tcPr>
            <w:tcW w:w="180" w:type="dxa"/>
            <w:vAlign w:val="bottom"/>
            <w:tcBorders>
              <w:bottom w:val="single" w:sz="8" w:color="5587A6"/>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10,625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10,828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Borders>
              <w:bottom w:val="single" w:sz="8" w:color="5587A6"/>
            </w:tcBorders>
          </w:tcPr>
          <w:p>
            <w:pPr>
              <w:spacing w:after="0" w:line="20" w:lineRule="exact"/>
              <w:rPr>
                <w:sz w:val="1"/>
                <w:szCs w:val="1"/>
                <w:color w:val="auto"/>
              </w:rPr>
            </w:pPr>
          </w:p>
        </w:tc>
        <w:tc>
          <w:tcPr>
            <w:tcW w:w="3480" w:type="dxa"/>
            <w:vAlign w:val="bottom"/>
            <w:tcBorders>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5587A6"/>
            </w:tcBorders>
          </w:tcPr>
          <w:p>
            <w:pPr>
              <w:spacing w:after="0" w:line="20" w:lineRule="exact"/>
              <w:rPr>
                <w:sz w:val="1"/>
                <w:szCs w:val="1"/>
                <w:color w:val="auto"/>
              </w:rPr>
            </w:pPr>
          </w:p>
        </w:tc>
        <w:tc>
          <w:tcPr>
            <w:tcW w:w="62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5587A6"/>
            </w:tcBorders>
          </w:tcPr>
          <w:p>
            <w:pPr>
              <w:spacing w:after="0" w:line="20" w:lineRule="exact"/>
              <w:rPr>
                <w:sz w:val="1"/>
                <w:szCs w:val="1"/>
                <w:color w:val="auto"/>
              </w:rPr>
            </w:pPr>
          </w:p>
        </w:tc>
        <w:tc>
          <w:tcPr>
            <w:tcW w:w="64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5587A6"/>
            </w:tcBorders>
          </w:tcPr>
          <w:p>
            <w:pPr>
              <w:spacing w:after="0" w:line="20" w:lineRule="exact"/>
              <w:rPr>
                <w:sz w:val="1"/>
                <w:szCs w:val="1"/>
                <w:color w:val="auto"/>
              </w:rPr>
            </w:pPr>
          </w:p>
        </w:tc>
        <w:tc>
          <w:tcPr>
            <w:tcW w:w="640" w:type="dxa"/>
            <w:vAlign w:val="bottom"/>
            <w:tcBorders>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5587A6"/>
            </w:tcBorders>
          </w:tcPr>
          <w:p>
            <w:pPr>
              <w:spacing w:after="0" w:line="20" w:lineRule="exact"/>
              <w:rPr>
                <w:sz w:val="1"/>
                <w:szCs w:val="1"/>
                <w:color w:val="auto"/>
              </w:rPr>
            </w:pPr>
          </w:p>
        </w:tc>
        <w:tc>
          <w:tcPr>
            <w:tcW w:w="640" w:type="dxa"/>
            <w:vAlign w:val="bottom"/>
            <w:tcBorders>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3740" w:type="dxa"/>
            <w:vAlign w:val="bottom"/>
            <w:gridSpan w:val="3"/>
          </w:tcPr>
          <w:p>
            <w:pPr>
              <w:ind w:left="356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4,177</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3,859</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11,879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10,837</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w w:val="99"/>
              </w:rPr>
              <w:t>Dividends distributed or amounts attributable to senior preferred stock</w:t>
            </w:r>
          </w:p>
        </w:tc>
        <w:tc>
          <w:tcPr>
            <w:tcW w:w="348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5587A6"/>
            </w:tcBorders>
          </w:tcPr>
          <w:p>
            <w:pPr>
              <w:spacing w:after="0"/>
              <w:rPr>
                <w:sz w:val="12"/>
                <w:szCs w:val="12"/>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(3,140)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(3,849)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(10,625)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(10,828)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Net income (loss) attributable to common stockholders</w:t>
            </w:r>
          </w:p>
        </w:tc>
        <w:tc>
          <w:tcPr>
            <w:tcW w:w="3740" w:type="dxa"/>
            <w:vAlign w:val="bottom"/>
            <w:gridSpan w:val="3"/>
          </w:tcPr>
          <w:p>
            <w:pPr>
              <w:ind w:left="356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1,037</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10</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1,254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9</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Borders>
              <w:top w:val="single" w:sz="8" w:color="5587A6"/>
              <w:bottom w:val="single" w:sz="8" w:color="5587A6"/>
            </w:tcBorders>
          </w:tcPr>
          <w:p>
            <w:pPr>
              <w:spacing w:after="0" w:line="20" w:lineRule="exact"/>
              <w:rPr>
                <w:sz w:val="1"/>
                <w:szCs w:val="1"/>
                <w:color w:val="auto"/>
              </w:rPr>
            </w:pPr>
          </w:p>
        </w:tc>
        <w:tc>
          <w:tcPr>
            <w:tcW w:w="348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5587A6"/>
              <w:bottom w:val="single" w:sz="8" w:color="5587A6"/>
            </w:tcBorders>
          </w:tcPr>
          <w:p>
            <w:pPr>
              <w:spacing w:after="0" w:line="20" w:lineRule="exact"/>
              <w:rPr>
                <w:sz w:val="1"/>
                <w:szCs w:val="1"/>
                <w:color w:val="auto"/>
              </w:rPr>
            </w:pPr>
          </w:p>
        </w:tc>
        <w:tc>
          <w:tcPr>
            <w:tcW w:w="6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Earnings per share:</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Basic</w:t>
            </w:r>
          </w:p>
        </w:tc>
        <w:tc>
          <w:tcPr>
            <w:tcW w:w="3740" w:type="dxa"/>
            <w:vAlign w:val="bottom"/>
            <w:gridSpan w:val="3"/>
          </w:tcPr>
          <w:p>
            <w:pPr>
              <w:ind w:left="356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0.18</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0.00</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0.00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Diluted</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0.18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0.00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Weighted-average common shares outstanding:</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Basic</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5,867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5,867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5,867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5,867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Diluted</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5,893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5,893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5,893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5,893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320" w:type="dxa"/>
            <w:vAlign w:val="bottom"/>
            <w:tcBorders>
              <w:bottom w:val="single" w:sz="8" w:color="05314D"/>
            </w:tcBorders>
          </w:tcPr>
          <w:p>
            <w:pPr>
              <w:spacing w:after="0"/>
              <w:rPr>
                <w:sz w:val="24"/>
                <w:szCs w:val="24"/>
                <w:color w:val="auto"/>
              </w:rPr>
            </w:pPr>
          </w:p>
        </w:tc>
        <w:tc>
          <w:tcPr>
            <w:tcW w:w="3100" w:type="dxa"/>
            <w:vAlign w:val="bottom"/>
            <w:tcBorders>
              <w:bottom w:val="single" w:sz="8" w:color="05314D"/>
            </w:tcBorders>
          </w:tcPr>
          <w:p>
            <w:pPr>
              <w:spacing w:after="0"/>
              <w:rPr>
                <w:sz w:val="24"/>
                <w:szCs w:val="24"/>
                <w:color w:val="auto"/>
              </w:rPr>
            </w:pPr>
          </w:p>
        </w:tc>
        <w:tc>
          <w:tcPr>
            <w:tcW w:w="4360" w:type="dxa"/>
            <w:vAlign w:val="bottom"/>
            <w:tcBorders>
              <w:bottom w:val="single" w:sz="8" w:color="05314D"/>
            </w:tcBorders>
            <w:gridSpan w:val="4"/>
          </w:tcPr>
          <w:p>
            <w:pPr>
              <w:jc w:val="right"/>
              <w:ind w:right="12"/>
              <w:spacing w:after="0"/>
              <w:rPr>
                <w:sz w:val="20"/>
                <w:szCs w:val="20"/>
                <w:color w:val="auto"/>
              </w:rPr>
            </w:pPr>
            <w:r>
              <w:rPr>
                <w:rFonts w:ascii="Arial" w:cs="Arial" w:eastAsia="Arial" w:hAnsi="Arial"/>
                <w:sz w:val="10"/>
                <w:szCs w:val="10"/>
                <w:color w:val="auto"/>
                <w:w w:val="98"/>
              </w:rPr>
              <w:t>See Notes to Condensed Consolidated Financial Statements in the Third Quarter 2026 Form 10-Q</w:t>
            </w:r>
          </w:p>
        </w:tc>
        <w:tc>
          <w:tcPr>
            <w:tcW w:w="8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340" w:type="dxa"/>
            <w:vAlign w:val="bottom"/>
            <w:tcBorders>
              <w:bottom w:val="single" w:sz="8" w:color="05314D"/>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1"/>
                <w:szCs w:val="11"/>
                <w:color w:val="auto"/>
              </w:rPr>
              <w:t>Third Quarter 2026</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bl>
    <w:p>
      <w:pPr>
        <w:sectPr>
          <w:pgSz w:w="11900" w:h="16838" w:orient="portrait"/>
          <w:cols w:equalWidth="0" w:num="1">
            <w:col w:w="11300"/>
          </w:cols>
          <w:pgMar w:left="300" w:top="886"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4"/>
          <w:szCs w:val="14"/>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FANNIE MAE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Condensed Consolidated Balance Sheets — (Unaudited)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05314D"/>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60" w:type="dxa"/>
            <w:vAlign w:val="bottom"/>
            <w:tcBorders>
              <w:bottom w:val="single" w:sz="8" w:color="5587A6"/>
            </w:tcBorders>
          </w:tcPr>
          <w:p>
            <w:pPr>
              <w:spacing w:after="0"/>
              <w:rPr>
                <w:sz w:val="11"/>
                <w:szCs w:val="11"/>
                <w:color w:val="auto"/>
              </w:rPr>
            </w:pPr>
          </w:p>
        </w:tc>
        <w:tc>
          <w:tcPr>
            <w:tcW w:w="320" w:type="dxa"/>
            <w:vAlign w:val="bottom"/>
            <w:tcBorders>
              <w:bottom w:val="single" w:sz="8" w:color="5587A6"/>
            </w:tcBorders>
            <w:gridSpan w:val="5"/>
          </w:tcPr>
          <w:p>
            <w:pPr>
              <w:jc w:val="right"/>
              <w:ind w:right="80"/>
              <w:spacing w:after="0"/>
              <w:rPr>
                <w:sz w:val="20"/>
                <w:szCs w:val="20"/>
                <w:color w:val="auto"/>
              </w:rPr>
            </w:pPr>
            <w:r>
              <w:rPr>
                <w:rFonts w:ascii="Arial" w:cs="Arial" w:eastAsia="Arial" w:hAnsi="Arial"/>
                <w:sz w:val="10"/>
                <w:szCs w:val="10"/>
                <w:b w:val="1"/>
                <w:bCs w:val="1"/>
                <w:color w:val="auto"/>
                <w:w w:val="87"/>
              </w:rPr>
              <w:t>As of</w:t>
            </w:r>
          </w:p>
        </w:tc>
        <w:tc>
          <w:tcPr>
            <w:tcW w:w="980" w:type="dxa"/>
            <w:vAlign w:val="bottom"/>
            <w:tcBorders>
              <w:bottom w:val="single" w:sz="8" w:color="5587A6"/>
            </w:tcBorders>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b w:val="1"/>
                <w:bCs w:val="1"/>
                <w:color w:val="auto"/>
                <w:w w:val="94"/>
              </w:rPr>
              <w:t>September 30, 2026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0"/>
                <w:szCs w:val="10"/>
                <w:b w:val="1"/>
                <w:bCs w:val="1"/>
                <w:color w:val="auto"/>
                <w:w w:val="95"/>
              </w:rPr>
              <w:t>December 31, 2025</w:t>
            </w: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8420" w:type="dxa"/>
            <w:vAlign w:val="bottom"/>
          </w:tcPr>
          <w:p>
            <w:pPr>
              <w:ind w:left="5180"/>
              <w:spacing w:after="0"/>
              <w:rPr>
                <w:sz w:val="20"/>
                <w:szCs w:val="20"/>
                <w:color w:val="auto"/>
              </w:rPr>
            </w:pPr>
            <w:r>
              <w:rPr>
                <w:rFonts w:ascii="Arial" w:cs="Arial" w:eastAsia="Arial" w:hAnsi="Arial"/>
                <w:sz w:val="12"/>
                <w:szCs w:val="12"/>
                <w:b w:val="1"/>
                <w:bCs w:val="1"/>
                <w:color w:val="auto"/>
              </w:rPr>
              <w:t>ASSETS</w:t>
            </w:r>
          </w:p>
        </w:tc>
        <w:tc>
          <w:tcPr>
            <w:tcW w:w="80" w:type="dxa"/>
            <w:vAlign w:val="bottom"/>
            <w:tcBorders>
              <w:top w:val="single" w:sz="8" w:color="5587A6"/>
            </w:tcBorders>
          </w:tcPr>
          <w:p>
            <w:pPr>
              <w:spacing w:after="0"/>
              <w:rPr>
                <w:sz w:val="13"/>
                <w:szCs w:val="13"/>
                <w:color w:val="auto"/>
              </w:rPr>
            </w:pPr>
          </w:p>
        </w:tc>
        <w:tc>
          <w:tcPr>
            <w:tcW w:w="80" w:type="dxa"/>
            <w:vAlign w:val="bottom"/>
            <w:tcBorders>
              <w:top w:val="single" w:sz="8" w:color="5587A6"/>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5587A6"/>
            </w:tcBorders>
            <w:vMerge w:val="restart"/>
          </w:tcPr>
          <w:p>
            <w:pPr>
              <w:jc w:val="right"/>
              <w:spacing w:after="0"/>
              <w:rPr>
                <w:sz w:val="20"/>
                <w:szCs w:val="20"/>
                <w:color w:val="auto"/>
              </w:rPr>
            </w:pPr>
            <w:r>
              <w:rPr>
                <w:rFonts w:ascii="Arial" w:cs="Arial" w:eastAsia="Arial" w:hAnsi="Arial"/>
                <w:sz w:val="10"/>
                <w:szCs w:val="10"/>
                <w:b w:val="1"/>
                <w:bCs w:val="1"/>
                <w:color w:val="auto"/>
              </w:rPr>
              <w:t>10,918</w:t>
            </w:r>
          </w:p>
        </w:tc>
        <w:tc>
          <w:tcPr>
            <w:tcW w:w="40" w:type="dxa"/>
            <w:vAlign w:val="bottom"/>
            <w:tcBorders>
              <w:top w:val="single" w:sz="8" w:color="5587A6"/>
            </w:tcBorders>
          </w:tcPr>
          <w:p>
            <w:pPr>
              <w:spacing w:after="0"/>
              <w:rPr>
                <w:sz w:val="13"/>
                <w:szCs w:val="13"/>
                <w:color w:val="auto"/>
              </w:rPr>
            </w:pPr>
          </w:p>
        </w:tc>
        <w:tc>
          <w:tcPr>
            <w:tcW w:w="60" w:type="dxa"/>
            <w:vAlign w:val="bottom"/>
            <w:tcBorders>
              <w:top w:val="single" w:sz="8" w:color="5587A6"/>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5587A6"/>
            </w:tcBorders>
          </w:tcPr>
          <w:p>
            <w:pPr>
              <w:spacing w:after="0"/>
              <w:rPr>
                <w:sz w:val="13"/>
                <w:szCs w:val="13"/>
                <w:color w:val="auto"/>
              </w:rPr>
            </w:pPr>
          </w:p>
        </w:tc>
        <w:tc>
          <w:tcPr>
            <w:tcW w:w="80" w:type="dxa"/>
            <w:vAlign w:val="bottom"/>
            <w:tcBorders>
              <w:top w:val="single" w:sz="8" w:color="5587A6"/>
            </w:tcBorders>
          </w:tcPr>
          <w:p>
            <w:pPr>
              <w:spacing w:after="0"/>
              <w:rPr>
                <w:sz w:val="13"/>
                <w:szCs w:val="13"/>
                <w:color w:val="auto"/>
              </w:rPr>
            </w:pPr>
          </w:p>
        </w:tc>
        <w:tc>
          <w:tcPr>
            <w:tcW w:w="980" w:type="dxa"/>
            <w:vAlign w:val="bottom"/>
            <w:tcBorders>
              <w:top w:val="single" w:sz="8" w:color="5587A6"/>
            </w:tcBorders>
          </w:tcPr>
          <w:p>
            <w:pPr>
              <w:spacing w:after="0"/>
              <w:rPr>
                <w:sz w:val="13"/>
                <w:szCs w:val="13"/>
                <w:color w:val="auto"/>
              </w:rPr>
            </w:pPr>
          </w:p>
        </w:tc>
        <w:tc>
          <w:tcPr>
            <w:tcW w:w="80" w:type="dxa"/>
            <w:vAlign w:val="bottom"/>
            <w:tcBorders>
              <w:top w:val="single" w:sz="8" w:color="5587A6"/>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Cash</w:t>
            </w:r>
          </w:p>
        </w:tc>
        <w:tc>
          <w:tcPr>
            <w:tcW w:w="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11,452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Restricted cash (includes $17,687 and $22,848, respectively, related to consolidated trusts)</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25,425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31,131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Securities purchased under agreements to resell (includes $16,050 and $18,425, respectively, related to consolidated trusts)</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33,450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45,650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Investments in securities, at fair value</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100,723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69,889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Mortgage loans: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Loans held for sale, at lower of cost or fair value</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332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Loans held for investment, at amortized cost:</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500" w:type="dxa"/>
            <w:vAlign w:val="bottom"/>
            <w:gridSpan w:val="2"/>
          </w:tcPr>
          <w:p>
            <w:pPr>
              <w:ind w:left="220"/>
              <w:spacing w:after="0"/>
              <w:rPr>
                <w:sz w:val="20"/>
                <w:szCs w:val="20"/>
                <w:color w:val="auto"/>
              </w:rPr>
            </w:pPr>
            <w:r>
              <w:rPr>
                <w:rFonts w:ascii="Arial" w:cs="Arial" w:eastAsia="Arial" w:hAnsi="Arial"/>
                <w:sz w:val="10"/>
                <w:szCs w:val="10"/>
                <w:color w:val="auto"/>
              </w:rPr>
              <w:t>Of Fannie Mae</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66,617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57,970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842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Of consolidated trusts</w:t>
            </w:r>
          </w:p>
        </w:tc>
        <w:tc>
          <w:tcPr>
            <w:tcW w:w="8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4,049,097</w:t>
            </w:r>
          </w:p>
        </w:tc>
        <w:tc>
          <w:tcPr>
            <w:tcW w:w="4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4,069,498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8500" w:type="dxa"/>
            <w:vAlign w:val="bottom"/>
            <w:gridSpan w:val="2"/>
          </w:tcPr>
          <w:p>
            <w:pPr>
              <w:ind w:left="220"/>
              <w:spacing w:after="0"/>
              <w:rPr>
                <w:sz w:val="20"/>
                <w:szCs w:val="20"/>
                <w:color w:val="auto"/>
              </w:rPr>
            </w:pPr>
            <w:r>
              <w:rPr>
                <w:rFonts w:ascii="Arial" w:cs="Arial" w:eastAsia="Arial" w:hAnsi="Arial"/>
                <w:sz w:val="10"/>
                <w:szCs w:val="10"/>
                <w:color w:val="auto"/>
              </w:rPr>
              <w:t>Total loans held for investment (includes $6,309 and $5,464, respectively, at fair value)</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4,115,714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4,127,468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842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Allowance for loan losses</w:t>
            </w:r>
          </w:p>
        </w:tc>
        <w:tc>
          <w:tcPr>
            <w:tcW w:w="8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(9,415)</w:t>
            </w:r>
          </w:p>
        </w:tc>
        <w:tc>
          <w:tcPr>
            <w:tcW w:w="4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(8,364)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420" w:type="dxa"/>
            <w:vAlign w:val="bottom"/>
            <w:tcBorders>
              <w:bottom w:val="single" w:sz="8" w:color="5587A6"/>
            </w:tcBorders>
          </w:tcPr>
          <w:p>
            <w:pPr>
              <w:ind w:left="340"/>
              <w:spacing w:after="0"/>
              <w:rPr>
                <w:sz w:val="20"/>
                <w:szCs w:val="20"/>
                <w:color w:val="auto"/>
              </w:rPr>
            </w:pPr>
            <w:r>
              <w:rPr>
                <w:rFonts w:ascii="Arial" w:cs="Arial" w:eastAsia="Arial" w:hAnsi="Arial"/>
                <w:sz w:val="10"/>
                <w:szCs w:val="10"/>
                <w:color w:val="auto"/>
              </w:rPr>
              <w:t>Total loans held for investment, net of allowance</w:t>
            </w:r>
          </w:p>
        </w:tc>
        <w:tc>
          <w:tcPr>
            <w:tcW w:w="8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4,106,299</w:t>
            </w:r>
          </w:p>
        </w:tc>
        <w:tc>
          <w:tcPr>
            <w:tcW w:w="4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4,119,104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8500" w:type="dxa"/>
            <w:vAlign w:val="bottom"/>
            <w:gridSpan w:val="2"/>
          </w:tcPr>
          <w:p>
            <w:pPr>
              <w:ind w:left="440"/>
              <w:spacing w:after="0"/>
              <w:rPr>
                <w:sz w:val="20"/>
                <w:szCs w:val="20"/>
                <w:color w:val="auto"/>
              </w:rPr>
            </w:pPr>
            <w:r>
              <w:rPr>
                <w:rFonts w:ascii="Arial" w:cs="Arial" w:eastAsia="Arial" w:hAnsi="Arial"/>
                <w:sz w:val="10"/>
                <w:szCs w:val="10"/>
                <w:color w:val="auto"/>
              </w:rPr>
              <w:t>Total mortgage loans</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4,106,631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4,119,313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Advances to lenders</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1,206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3,595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Deferred tax assets, net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9,707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9,828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Accrued interest receivable (includes $11,628 and $11,129, respectively, related to consolidated trusts)</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12,567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11,689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842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Other assets</w:t>
            </w:r>
          </w:p>
        </w:tc>
        <w:tc>
          <w:tcPr>
            <w:tcW w:w="8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17,260</w:t>
            </w:r>
          </w:p>
        </w:tc>
        <w:tc>
          <w:tcPr>
            <w:tcW w:w="4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14,991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500" w:type="dxa"/>
            <w:vAlign w:val="bottom"/>
            <w:tcBorders>
              <w:bottom w:val="single" w:sz="8" w:color="5587A6"/>
            </w:tcBorders>
            <w:gridSpan w:val="2"/>
          </w:tcPr>
          <w:p>
            <w:pPr>
              <w:ind w:left="120"/>
              <w:spacing w:after="0"/>
              <w:rPr>
                <w:sz w:val="20"/>
                <w:szCs w:val="20"/>
                <w:color w:val="auto"/>
              </w:rPr>
            </w:pPr>
            <w:r>
              <w:rPr>
                <w:rFonts w:ascii="Arial" w:cs="Arial" w:eastAsia="Arial" w:hAnsi="Arial"/>
                <w:sz w:val="10"/>
                <w:szCs w:val="10"/>
                <w:color w:val="auto"/>
              </w:rPr>
              <w:t>Total assets</w:t>
            </w:r>
          </w:p>
        </w:tc>
        <w:tc>
          <w:tcPr>
            <w:tcW w:w="8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4,317,887</w:t>
            </w:r>
          </w:p>
        </w:tc>
        <w:tc>
          <w:tcPr>
            <w:tcW w:w="320" w:type="dxa"/>
            <w:vAlign w:val="bottom"/>
            <w:tcBorders>
              <w:bottom w:val="single" w:sz="8" w:color="5587A6"/>
            </w:tcBorders>
            <w:gridSpan w:val="5"/>
          </w:tcPr>
          <w:p>
            <w:pPr>
              <w:jc w:val="right"/>
              <w:ind w:right="2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4,317,538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500" w:type="dxa"/>
            <w:vAlign w:val="bottom"/>
            <w:tcBorders>
              <w:bottom w:val="single" w:sz="8" w:color="5587A6"/>
            </w:tcBorders>
            <w:gridSpan w:val="2"/>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960" w:type="dxa"/>
            <w:vAlign w:val="bottom"/>
            <w:tcBorders>
              <w:bottom w:val="single" w:sz="8" w:color="5587A6"/>
            </w:tcBorders>
          </w:tcPr>
          <w:p>
            <w:pPr>
              <w:spacing w:after="0" w:line="20" w:lineRule="exact"/>
              <w:rPr>
                <w:sz w:val="1"/>
                <w:szCs w:val="1"/>
                <w:color w:val="auto"/>
              </w:rPr>
            </w:pPr>
          </w:p>
        </w:tc>
        <w:tc>
          <w:tcPr>
            <w:tcW w:w="40" w:type="dxa"/>
            <w:vAlign w:val="bottom"/>
            <w:tcBorders>
              <w:bottom w:val="single" w:sz="8" w:color="5587A6"/>
            </w:tcBorders>
          </w:tcPr>
          <w:p>
            <w:pPr>
              <w:spacing w:after="0" w:line="20" w:lineRule="exact"/>
              <w:rPr>
                <w:sz w:val="1"/>
                <w:szCs w:val="1"/>
                <w:color w:val="auto"/>
              </w:rPr>
            </w:pPr>
          </w:p>
        </w:tc>
        <w:tc>
          <w:tcPr>
            <w:tcW w:w="6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6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98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0" w:type="dxa"/>
            <w:vAlign w:val="bottom"/>
          </w:tcPr>
          <w:p>
            <w:pPr>
              <w:spacing w:after="0"/>
              <w:rPr>
                <w:sz w:val="12"/>
                <w:szCs w:val="12"/>
                <w:color w:val="auto"/>
              </w:rPr>
            </w:pPr>
          </w:p>
        </w:tc>
        <w:tc>
          <w:tcPr>
            <w:tcW w:w="8500" w:type="dxa"/>
            <w:vAlign w:val="bottom"/>
            <w:gridSpan w:val="2"/>
          </w:tcPr>
          <w:p>
            <w:pPr>
              <w:ind w:left="4700"/>
              <w:spacing w:after="0"/>
              <w:rPr>
                <w:sz w:val="20"/>
                <w:szCs w:val="20"/>
                <w:color w:val="auto"/>
              </w:rPr>
            </w:pPr>
            <w:r>
              <w:rPr>
                <w:rFonts w:ascii="Arial" w:cs="Arial" w:eastAsia="Arial" w:hAnsi="Arial"/>
                <w:sz w:val="12"/>
                <w:szCs w:val="12"/>
                <w:b w:val="1"/>
                <w:bCs w:val="1"/>
                <w:color w:val="auto"/>
              </w:rPr>
              <w:t>LIABILITIES AND EQUITY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0" w:type="dxa"/>
            <w:vAlign w:val="bottom"/>
          </w:tcPr>
          <w:p>
            <w:pPr>
              <w:spacing w:after="0"/>
              <w:rPr>
                <w:sz w:val="11"/>
                <w:szCs w:val="11"/>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Liabilities: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Accrued interest payable (includes $11,457 and $11,320, respectively, related to consolidated trusts)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12,593</w:t>
            </w:r>
          </w:p>
        </w:tc>
        <w:tc>
          <w:tcPr>
            <w:tcW w:w="320" w:type="dxa"/>
            <w:vAlign w:val="bottom"/>
            <w:gridSpan w:val="5"/>
          </w:tcPr>
          <w:p>
            <w:pPr>
              <w:jc w:val="right"/>
              <w:ind w:right="20"/>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12,035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Debt:</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500" w:type="dxa"/>
            <w:vAlign w:val="bottom"/>
            <w:gridSpan w:val="2"/>
          </w:tcPr>
          <w:p>
            <w:pPr>
              <w:ind w:left="220"/>
              <w:spacing w:after="0"/>
              <w:rPr>
                <w:sz w:val="20"/>
                <w:szCs w:val="20"/>
                <w:color w:val="auto"/>
              </w:rPr>
            </w:pPr>
            <w:r>
              <w:rPr>
                <w:rFonts w:ascii="Arial" w:cs="Arial" w:eastAsia="Arial" w:hAnsi="Arial"/>
                <w:sz w:val="10"/>
                <w:szCs w:val="10"/>
                <w:color w:val="auto"/>
              </w:rPr>
              <w:t>Of Fannie Mae (includes $235 and $256, respectively, at fair value)</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168,731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127,289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220"/>
              <w:spacing w:after="0"/>
              <w:rPr>
                <w:sz w:val="20"/>
                <w:szCs w:val="20"/>
                <w:color w:val="auto"/>
              </w:rPr>
            </w:pPr>
            <w:r>
              <w:rPr>
                <w:rFonts w:ascii="Arial" w:cs="Arial" w:eastAsia="Arial" w:hAnsi="Arial"/>
                <w:sz w:val="10"/>
                <w:szCs w:val="10"/>
                <w:color w:val="auto"/>
              </w:rPr>
              <w:t>Of consolidated trusts (includes $14,728 and $15,060, respectively, at fair value)</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4,000,518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4,053,140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842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liabilities (includes $1,717 and $1,719, respectively, related to consolidated trusts)</w:t>
            </w:r>
          </w:p>
        </w:tc>
        <w:tc>
          <w:tcPr>
            <w:tcW w:w="8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16,408</w:t>
            </w:r>
          </w:p>
        </w:tc>
        <w:tc>
          <w:tcPr>
            <w:tcW w:w="4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16,062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42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Total liabilities</w:t>
            </w:r>
          </w:p>
        </w:tc>
        <w:tc>
          <w:tcPr>
            <w:tcW w:w="8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4,198,250</w:t>
            </w:r>
          </w:p>
        </w:tc>
        <w:tc>
          <w:tcPr>
            <w:tcW w:w="4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4,208,526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Commitments and contingencies (Note 14)</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8500" w:type="dxa"/>
            <w:vAlign w:val="bottom"/>
            <w:gridSpan w:val="2"/>
          </w:tcPr>
          <w:p>
            <w:pPr>
              <w:ind w:left="20"/>
              <w:spacing w:after="0"/>
              <w:rPr>
                <w:sz w:val="20"/>
                <w:szCs w:val="20"/>
                <w:color w:val="auto"/>
              </w:rPr>
            </w:pPr>
            <w:r>
              <w:rPr>
                <w:rFonts w:ascii="Arial" w:cs="Arial" w:eastAsia="Arial" w:hAnsi="Arial"/>
                <w:sz w:val="10"/>
                <w:szCs w:val="10"/>
                <w:color w:val="auto"/>
              </w:rPr>
              <w:t>Fannie Mae stockholders’ equity: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Senior preferred stock (liquidation preference of $237,996 and $226,984, respectively)</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120,836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120,836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Preferred stock, 700,000,000 shares are authorized—555,374,922 shares issued and outstanding</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19,130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19,130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Common stock, no par value, no maximum authorization—1,308,762,703 shares issued and 1,158,087,567 shares outstanding</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687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Accumulated deficit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(12,382)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(24,261)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Accumulated other comprehensive income (loss)</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(1,234)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842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Treasury stock, at cost, 150,675,136 shares</w:t>
            </w:r>
          </w:p>
        </w:tc>
        <w:tc>
          <w:tcPr>
            <w:tcW w:w="8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(7,400)</w:t>
            </w:r>
          </w:p>
        </w:tc>
        <w:tc>
          <w:tcPr>
            <w:tcW w:w="40" w:type="dxa"/>
            <w:vAlign w:val="bottom"/>
            <w:tcBorders>
              <w:bottom w:val="single" w:sz="8" w:color="5587A6"/>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(7,400)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842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Total stockholders’ equity</w:t>
            </w:r>
          </w:p>
        </w:tc>
        <w:tc>
          <w:tcPr>
            <w:tcW w:w="80" w:type="dxa"/>
            <w:vAlign w:val="bottom"/>
          </w:tcPr>
          <w:p>
            <w:pPr>
              <w:spacing w:after="0"/>
              <w:rPr>
                <w:sz w:val="13"/>
                <w:szCs w:val="13"/>
                <w:color w:val="auto"/>
              </w:rPr>
            </w:pPr>
          </w:p>
        </w:tc>
        <w:tc>
          <w:tcPr>
            <w:tcW w:w="80" w:type="dxa"/>
            <w:vAlign w:val="bottom"/>
            <w:tcBorders>
              <w:bottom w:val="single" w:sz="8" w:color="5587A6"/>
            </w:tcBorders>
          </w:tcPr>
          <w:p>
            <w:pPr>
              <w:spacing w:after="0"/>
              <w:rPr>
                <w:sz w:val="13"/>
                <w:szCs w:val="13"/>
                <w:color w:val="auto"/>
              </w:rPr>
            </w:pPr>
          </w:p>
        </w:tc>
        <w:tc>
          <w:tcPr>
            <w:tcW w:w="96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119,637</w:t>
            </w:r>
          </w:p>
        </w:tc>
        <w:tc>
          <w:tcPr>
            <w:tcW w:w="40" w:type="dxa"/>
            <w:vAlign w:val="bottom"/>
            <w:tcBorders>
              <w:bottom w:val="single" w:sz="8" w:color="5587A6"/>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5587A6"/>
            </w:tcBorders>
          </w:tcPr>
          <w:p>
            <w:pPr>
              <w:spacing w:after="0"/>
              <w:rPr>
                <w:sz w:val="13"/>
                <w:szCs w:val="13"/>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109,012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500" w:type="dxa"/>
            <w:vAlign w:val="bottom"/>
            <w:gridSpan w:val="2"/>
          </w:tcPr>
          <w:p>
            <w:pPr>
              <w:ind w:left="120"/>
              <w:spacing w:after="0"/>
              <w:rPr>
                <w:sz w:val="20"/>
                <w:szCs w:val="20"/>
                <w:color w:val="auto"/>
              </w:rPr>
            </w:pPr>
            <w:r>
              <w:rPr>
                <w:rFonts w:ascii="Arial" w:cs="Arial" w:eastAsia="Arial" w:hAnsi="Arial"/>
                <w:sz w:val="10"/>
                <w:szCs w:val="10"/>
                <w:color w:val="auto"/>
              </w:rPr>
              <w:t>Total liabilities and equity</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4,317,887</w:t>
            </w:r>
          </w:p>
        </w:tc>
        <w:tc>
          <w:tcPr>
            <w:tcW w:w="320" w:type="dxa"/>
            <w:vAlign w:val="bottom"/>
            <w:gridSpan w:val="5"/>
          </w:tcPr>
          <w:p>
            <w:pPr>
              <w:jc w:val="right"/>
              <w:ind w:right="20"/>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4,317,538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4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5587A6"/>
              <w:bottom w:val="single" w:sz="8" w:color="5587A6"/>
            </w:tcBorders>
          </w:tcPr>
          <w:p>
            <w:pPr>
              <w:spacing w:after="0" w:line="20" w:lineRule="exact"/>
              <w:rPr>
                <w:sz w:val="1"/>
                <w:szCs w:val="1"/>
                <w:color w:val="auto"/>
              </w:rPr>
            </w:pPr>
          </w:p>
        </w:tc>
        <w:tc>
          <w:tcPr>
            <w:tcW w:w="960" w:type="dxa"/>
            <w:vAlign w:val="bottom"/>
            <w:tcBorders>
              <w:top w:val="single" w:sz="8" w:color="5587A6"/>
              <w:bottom w:val="single" w:sz="8" w:color="5587A6"/>
            </w:tcBorders>
          </w:tcPr>
          <w:p>
            <w:pPr>
              <w:spacing w:after="0" w:line="20" w:lineRule="exact"/>
              <w:rPr>
                <w:sz w:val="1"/>
                <w:szCs w:val="1"/>
                <w:color w:val="auto"/>
              </w:rPr>
            </w:pPr>
          </w:p>
        </w:tc>
        <w:tc>
          <w:tcPr>
            <w:tcW w:w="4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5587A6"/>
              <w:bottom w:val="single" w:sz="8" w:color="5587A6"/>
            </w:tcBorders>
          </w:tcPr>
          <w:p>
            <w:pPr>
              <w:spacing w:after="0" w:line="20" w:lineRule="exact"/>
              <w:rPr>
                <w:sz w:val="1"/>
                <w:szCs w:val="1"/>
                <w:color w:val="auto"/>
              </w:rPr>
            </w:pPr>
          </w:p>
        </w:tc>
        <w:tc>
          <w:tcPr>
            <w:tcW w:w="9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40" w:type="dxa"/>
            <w:vAlign w:val="bottom"/>
            <w:tcBorders>
              <w:bottom w:val="single" w:sz="8" w:color="05314D"/>
            </w:tcBorders>
          </w:tcPr>
          <w:p>
            <w:pPr>
              <w:spacing w:after="0"/>
              <w:rPr>
                <w:sz w:val="24"/>
                <w:szCs w:val="24"/>
                <w:color w:val="auto"/>
              </w:rPr>
            </w:pPr>
          </w:p>
        </w:tc>
        <w:tc>
          <w:tcPr>
            <w:tcW w:w="8500" w:type="dxa"/>
            <w:vAlign w:val="bottom"/>
            <w:tcBorders>
              <w:bottom w:val="single" w:sz="8" w:color="05314D"/>
            </w:tcBorders>
            <w:gridSpan w:val="2"/>
          </w:tcPr>
          <w:p>
            <w:pPr>
              <w:ind w:left="3320"/>
              <w:spacing w:after="0"/>
              <w:rPr>
                <w:sz w:val="20"/>
                <w:szCs w:val="20"/>
                <w:color w:val="auto"/>
              </w:rPr>
            </w:pPr>
            <w:r>
              <w:rPr>
                <w:rFonts w:ascii="Arial" w:cs="Arial" w:eastAsia="Arial" w:hAnsi="Arial"/>
                <w:sz w:val="10"/>
                <w:szCs w:val="10"/>
                <w:color w:val="auto"/>
              </w:rPr>
              <w:t>See Notes to Condensed Consolidated Financial Statements in the Third Quarter 2026 Form 10-Q</w:t>
            </w:r>
          </w:p>
        </w:tc>
        <w:tc>
          <w:tcPr>
            <w:tcW w:w="80" w:type="dxa"/>
            <w:vAlign w:val="bottom"/>
            <w:tcBorders>
              <w:bottom w:val="single" w:sz="8" w:color="05314D"/>
            </w:tcBorders>
          </w:tcPr>
          <w:p>
            <w:pPr>
              <w:spacing w:after="0"/>
              <w:rPr>
                <w:sz w:val="24"/>
                <w:szCs w:val="24"/>
                <w:color w:val="auto"/>
              </w:rPr>
            </w:pPr>
          </w:p>
        </w:tc>
        <w:tc>
          <w:tcPr>
            <w:tcW w:w="960" w:type="dxa"/>
            <w:vAlign w:val="bottom"/>
            <w:tcBorders>
              <w:bottom w:val="single" w:sz="8" w:color="05314D"/>
            </w:tcBorders>
          </w:tcPr>
          <w:p>
            <w:pPr>
              <w:spacing w:after="0"/>
              <w:rPr>
                <w:sz w:val="24"/>
                <w:szCs w:val="24"/>
                <w:color w:val="auto"/>
              </w:rPr>
            </w:pPr>
          </w:p>
        </w:tc>
        <w:tc>
          <w:tcPr>
            <w:tcW w:w="4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98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40" w:type="dxa"/>
            <w:vAlign w:val="bottom"/>
            <w:tcBorders>
              <w:bottom w:val="single" w:sz="8" w:color="05314D"/>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740" w:type="dxa"/>
            <w:vAlign w:val="bottom"/>
            <w:gridSpan w:val="3"/>
          </w:tcPr>
          <w:p>
            <w:pPr>
              <w:spacing w:after="0"/>
              <w:rPr>
                <w:sz w:val="20"/>
                <w:szCs w:val="20"/>
                <w:color w:val="auto"/>
              </w:rPr>
            </w:pPr>
            <w:r>
              <w:rPr>
                <w:rFonts w:ascii="Arial" w:cs="Arial" w:eastAsia="Arial" w:hAnsi="Arial"/>
                <w:sz w:val="11"/>
                <w:szCs w:val="11"/>
                <w:color w:val="auto"/>
              </w:rPr>
              <w:t>Third Quarter 2026</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ectPr>
          <w:pgSz w:w="11900" w:h="16838" w:orient="portrait"/>
          <w:cols w:equalWidth="0" w:num="1">
            <w:col w:w="11300"/>
          </w:cols>
          <w:pgMar w:left="300" w:top="895" w:right="29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627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27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27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2026-10-28T06:18:47Z</dcterms:created>
  <dcterms:modified xsi:type="dcterms:W3CDTF">2026-10-28T06:18:47Z</dcterms:modified>
</cp:coreProperties>
</file>