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205105</wp:posOffset>
            </wp:positionH>
            <wp:positionV relativeFrom="page">
              <wp:posOffset>727710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686435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 SECURITIES AND EXCHANGE COMMISSION</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2"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quarterly period ended March 31, 2025</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2" w:lineRule="exact"/>
        <w:rPr>
          <w:sz w:val="24"/>
          <w:szCs w:val="24"/>
          <w:color w:val="auto"/>
        </w:rPr>
      </w:pPr>
    </w:p>
    <w:p>
      <w:pPr>
        <w:ind w:left="620"/>
        <w:spacing w:after="0"/>
        <w:tabs>
          <w:tab w:leader="none" w:pos="3160" w:val="left"/>
        </w:tabs>
        <w:rPr>
          <w:sz w:val="20"/>
          <w:szCs w:val="20"/>
          <w:color w:val="auto"/>
        </w:rPr>
      </w:pPr>
      <w:r>
        <w:rPr>
          <w:rFonts w:ascii="Arial" w:cs="Arial" w:eastAsia="Arial" w:hAnsi="Arial"/>
          <w:sz w:val="16"/>
          <w:szCs w:val="16"/>
          <w:b w:val="1"/>
          <w:bCs w:val="1"/>
          <w:color w:val="auto"/>
        </w:rPr>
        <w:t>For the transition period from</w:t>
        <w:tab/>
        <w:t>to</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0-50231</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Federal National Mortgage Association</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Fannie Mae</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20" w:type="dxa"/>
            <w:vAlign w:val="bottom"/>
          </w:tcPr>
          <w:p>
            <w:pPr>
              <w:spacing w:after="0"/>
              <w:rPr>
                <w:sz w:val="19"/>
                <w:szCs w:val="19"/>
                <w:color w:val="auto"/>
              </w:rPr>
            </w:pPr>
          </w:p>
        </w:tc>
        <w:tc>
          <w:tcPr>
            <w:tcW w:w="2920" w:type="dxa"/>
            <w:vAlign w:val="bottom"/>
            <w:tcBorders>
              <w:top w:val="single" w:sz="8" w:color="auto"/>
            </w:tcBorders>
            <w:gridSpan w:val="3"/>
          </w:tcPr>
          <w:p>
            <w:pPr>
              <w:jc w:val="center"/>
              <w:ind w:left="6"/>
              <w:spacing w:after="0"/>
              <w:rPr>
                <w:sz w:val="20"/>
                <w:szCs w:val="20"/>
                <w:color w:val="auto"/>
              </w:rPr>
            </w:pPr>
            <w:r>
              <w:rPr>
                <w:rFonts w:ascii="Arial" w:cs="Arial" w:eastAsia="Arial" w:hAnsi="Arial"/>
                <w:sz w:val="15"/>
                <w:szCs w:val="15"/>
                <w:b w:val="1"/>
                <w:bCs w:val="1"/>
                <w:color w:val="auto"/>
              </w:rPr>
              <w:t>Federally chartered corporation</w:t>
            </w:r>
          </w:p>
        </w:tc>
        <w:tc>
          <w:tcPr>
            <w:tcW w:w="1620" w:type="dxa"/>
            <w:vAlign w:val="bottom"/>
            <w:tcBorders>
              <w:top w:val="single" w:sz="8" w:color="auto"/>
            </w:tcBorders>
          </w:tcPr>
          <w:p>
            <w:pPr>
              <w:jc w:val="center"/>
              <w:ind w:left="107"/>
              <w:spacing w:after="0"/>
              <w:rPr>
                <w:sz w:val="20"/>
                <w:szCs w:val="20"/>
                <w:color w:val="auto"/>
              </w:rPr>
            </w:pPr>
            <w:r>
              <w:rPr>
                <w:rFonts w:ascii="Arial" w:cs="Arial" w:eastAsia="Arial" w:hAnsi="Arial"/>
                <w:sz w:val="15"/>
                <w:szCs w:val="15"/>
                <w:b w:val="1"/>
                <w:bCs w:val="1"/>
                <w:color w:val="auto"/>
              </w:rPr>
              <w:t>52-0883107</w:t>
            </w:r>
          </w:p>
        </w:tc>
        <w:tc>
          <w:tcPr>
            <w:tcW w:w="2940" w:type="dxa"/>
            <w:vAlign w:val="bottom"/>
            <w:tcBorders>
              <w:top w:val="single" w:sz="8" w:color="auto"/>
            </w:tcBorders>
          </w:tcPr>
          <w:p>
            <w:pPr>
              <w:jc w:val="center"/>
              <w:ind w:left="306"/>
              <w:spacing w:after="0"/>
              <w:rPr>
                <w:sz w:val="20"/>
                <w:szCs w:val="20"/>
                <w:color w:val="auto"/>
              </w:rPr>
            </w:pPr>
            <w:r>
              <w:rPr>
                <w:rFonts w:ascii="Arial" w:cs="Arial" w:eastAsia="Arial" w:hAnsi="Arial"/>
                <w:sz w:val="15"/>
                <w:szCs w:val="15"/>
                <w:b w:val="1"/>
                <w:bCs w:val="1"/>
                <w:color w:val="auto"/>
              </w:rPr>
              <w:t>1100 15th Street, NW</w:t>
            </w:r>
          </w:p>
        </w:tc>
        <w:tc>
          <w:tcPr>
            <w:tcW w:w="3140" w:type="dxa"/>
            <w:vAlign w:val="bottom"/>
            <w:tcBorders>
              <w:top w:val="single" w:sz="8" w:color="auto"/>
            </w:tcBorders>
          </w:tcPr>
          <w:p>
            <w:pPr>
              <w:jc w:val="right"/>
              <w:ind w:right="847"/>
              <w:spacing w:after="0"/>
              <w:rPr>
                <w:sz w:val="20"/>
                <w:szCs w:val="20"/>
                <w:color w:val="auto"/>
              </w:rPr>
            </w:pPr>
            <w:r>
              <w:rPr>
                <w:rFonts w:ascii="Arial" w:cs="Arial" w:eastAsia="Arial" w:hAnsi="Arial"/>
                <w:sz w:val="15"/>
                <w:szCs w:val="15"/>
                <w:b w:val="1"/>
                <w:bCs w:val="1"/>
                <w:color w:val="auto"/>
              </w:rPr>
              <w:t>800  232-6643</w:t>
            </w:r>
          </w:p>
        </w:tc>
        <w:tc>
          <w:tcPr>
            <w:tcW w:w="320" w:type="dxa"/>
            <w:vAlign w:val="bottom"/>
          </w:tcPr>
          <w:p>
            <w:pPr>
              <w:spacing w:after="0"/>
              <w:rPr>
                <w:sz w:val="19"/>
                <w:szCs w:val="19"/>
                <w:color w:val="auto"/>
              </w:rPr>
            </w:pPr>
          </w:p>
        </w:tc>
      </w:tr>
      <w:tr>
        <w:trPr>
          <w:trHeight w:val="668"/>
        </w:trPr>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940" w:type="dxa"/>
            <w:vAlign w:val="bottom"/>
          </w:tcPr>
          <w:p>
            <w:pPr>
              <w:jc w:val="center"/>
              <w:ind w:left="306"/>
              <w:spacing w:after="0"/>
              <w:rPr>
                <w:sz w:val="20"/>
                <w:szCs w:val="20"/>
                <w:color w:val="auto"/>
              </w:rPr>
            </w:pPr>
            <w:r>
              <w:rPr>
                <w:rFonts w:ascii="Arial" w:cs="Arial" w:eastAsia="Arial" w:hAnsi="Arial"/>
                <w:sz w:val="15"/>
                <w:szCs w:val="15"/>
                <w:b w:val="1"/>
                <w:bCs w:val="1"/>
                <w:color w:val="auto"/>
              </w:rPr>
              <w:t>Washington,  DC  20005</w:t>
            </w:r>
          </w:p>
        </w:tc>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2"/>
        </w:trPr>
        <w:tc>
          <w:tcPr>
            <w:tcW w:w="320" w:type="dxa"/>
            <w:vAlign w:val="bottom"/>
          </w:tcPr>
          <w:p>
            <w:pPr>
              <w:spacing w:after="0"/>
              <w:rPr>
                <w:sz w:val="12"/>
                <w:szCs w:val="12"/>
                <w:color w:val="auto"/>
              </w:rPr>
            </w:pPr>
          </w:p>
        </w:tc>
        <w:tc>
          <w:tcPr>
            <w:tcW w:w="2520" w:type="dxa"/>
            <w:vAlign w:val="bottom"/>
            <w:gridSpan w:val="2"/>
          </w:tcPr>
          <w:p>
            <w:pPr>
              <w:jc w:val="center"/>
              <w:ind w:left="406"/>
              <w:spacing w:after="0" w:line="142" w:lineRule="exact"/>
              <w:rPr>
                <w:sz w:val="20"/>
                <w:szCs w:val="20"/>
                <w:color w:val="auto"/>
              </w:rPr>
            </w:pPr>
            <w:r>
              <w:rPr>
                <w:rFonts w:ascii="Arial" w:cs="Arial" w:eastAsia="Arial" w:hAnsi="Arial"/>
                <w:sz w:val="14"/>
                <w:szCs w:val="14"/>
                <w:i w:val="1"/>
                <w:iCs w:val="1"/>
                <w:color w:val="auto"/>
                <w:w w:val="98"/>
              </w:rPr>
              <w:t>(State or other jurisdiction of</w:t>
            </w:r>
          </w:p>
        </w:tc>
        <w:tc>
          <w:tcPr>
            <w:tcW w:w="400" w:type="dxa"/>
            <w:vAlign w:val="bottom"/>
          </w:tcPr>
          <w:p>
            <w:pPr>
              <w:spacing w:after="0"/>
              <w:rPr>
                <w:sz w:val="12"/>
                <w:szCs w:val="12"/>
                <w:color w:val="auto"/>
              </w:rPr>
            </w:pPr>
          </w:p>
        </w:tc>
        <w:tc>
          <w:tcPr>
            <w:tcW w:w="1620" w:type="dxa"/>
            <w:vAlign w:val="bottom"/>
          </w:tcPr>
          <w:p>
            <w:pPr>
              <w:jc w:val="center"/>
              <w:ind w:left="107"/>
              <w:spacing w:after="0" w:line="142" w:lineRule="exact"/>
              <w:rPr>
                <w:sz w:val="20"/>
                <w:szCs w:val="20"/>
                <w:color w:val="auto"/>
              </w:rPr>
            </w:pPr>
            <w:r>
              <w:rPr>
                <w:rFonts w:ascii="Arial" w:cs="Arial" w:eastAsia="Arial" w:hAnsi="Arial"/>
                <w:sz w:val="14"/>
                <w:szCs w:val="14"/>
                <w:i w:val="1"/>
                <w:iCs w:val="1"/>
                <w:color w:val="auto"/>
                <w:w w:val="97"/>
              </w:rPr>
              <w:t>(I.R.S. Employer</w:t>
            </w:r>
          </w:p>
        </w:tc>
        <w:tc>
          <w:tcPr>
            <w:tcW w:w="2940" w:type="dxa"/>
            <w:vAlign w:val="bottom"/>
          </w:tcPr>
          <w:p>
            <w:pPr>
              <w:jc w:val="center"/>
              <w:ind w:left="326"/>
              <w:spacing w:after="0" w:line="142" w:lineRule="exact"/>
              <w:rPr>
                <w:sz w:val="20"/>
                <w:szCs w:val="20"/>
                <w:color w:val="auto"/>
              </w:rPr>
            </w:pPr>
            <w:r>
              <w:rPr>
                <w:rFonts w:ascii="Arial" w:cs="Arial" w:eastAsia="Arial" w:hAnsi="Arial"/>
                <w:sz w:val="14"/>
                <w:szCs w:val="14"/>
                <w:i w:val="1"/>
                <w:iCs w:val="1"/>
                <w:color w:val="auto"/>
                <w:w w:val="97"/>
              </w:rPr>
              <w:t>(Address of principal executive offices,</w:t>
            </w:r>
          </w:p>
        </w:tc>
        <w:tc>
          <w:tcPr>
            <w:tcW w:w="3140" w:type="dxa"/>
            <w:vAlign w:val="bottom"/>
          </w:tcPr>
          <w:p>
            <w:pPr>
              <w:jc w:val="center"/>
              <w:ind w:left="267"/>
              <w:spacing w:after="0" w:line="142" w:lineRule="exact"/>
              <w:rPr>
                <w:sz w:val="20"/>
                <w:szCs w:val="20"/>
                <w:color w:val="auto"/>
              </w:rPr>
            </w:pPr>
            <w:r>
              <w:rPr>
                <w:rFonts w:ascii="Arial" w:cs="Arial" w:eastAsia="Arial" w:hAnsi="Arial"/>
                <w:sz w:val="14"/>
                <w:szCs w:val="14"/>
                <w:i w:val="1"/>
                <w:iCs w:val="1"/>
                <w:color w:val="auto"/>
                <w:w w:val="97"/>
              </w:rPr>
              <w:t>(Registrant’s telephone number, including</w:t>
            </w:r>
          </w:p>
        </w:tc>
        <w:tc>
          <w:tcPr>
            <w:tcW w:w="320" w:type="dxa"/>
            <w:vAlign w:val="bottom"/>
          </w:tcPr>
          <w:p>
            <w:pPr>
              <w:spacing w:after="0"/>
              <w:rPr>
                <w:sz w:val="12"/>
                <w:szCs w:val="12"/>
                <w:color w:val="auto"/>
              </w:rPr>
            </w:pPr>
          </w:p>
        </w:tc>
      </w:tr>
      <w:tr>
        <w:trPr>
          <w:trHeight w:val="175"/>
        </w:trPr>
        <w:tc>
          <w:tcPr>
            <w:tcW w:w="320" w:type="dxa"/>
            <w:vAlign w:val="bottom"/>
          </w:tcPr>
          <w:p>
            <w:pPr>
              <w:spacing w:after="0"/>
              <w:rPr>
                <w:sz w:val="15"/>
                <w:szCs w:val="15"/>
                <w:color w:val="auto"/>
              </w:rPr>
            </w:pPr>
          </w:p>
        </w:tc>
        <w:tc>
          <w:tcPr>
            <w:tcW w:w="2520" w:type="dxa"/>
            <w:vAlign w:val="bottom"/>
            <w:tcBorders>
              <w:bottom w:val="single" w:sz="8" w:color="auto"/>
            </w:tcBorders>
            <w:gridSpan w:val="2"/>
          </w:tcPr>
          <w:p>
            <w:pPr>
              <w:jc w:val="center"/>
              <w:ind w:left="406"/>
              <w:spacing w:after="0"/>
              <w:rPr>
                <w:sz w:val="20"/>
                <w:szCs w:val="20"/>
                <w:color w:val="auto"/>
              </w:rPr>
            </w:pPr>
            <w:r>
              <w:rPr>
                <w:rFonts w:ascii="Arial" w:cs="Arial" w:eastAsia="Arial" w:hAnsi="Arial"/>
                <w:sz w:val="14"/>
                <w:szCs w:val="14"/>
                <w:i w:val="1"/>
                <w:iCs w:val="1"/>
                <w:color w:val="auto"/>
                <w:w w:val="98"/>
              </w:rPr>
              <w:t>incorporation or organization)</w:t>
            </w: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left="107"/>
              <w:spacing w:after="0"/>
              <w:rPr>
                <w:sz w:val="20"/>
                <w:szCs w:val="20"/>
                <w:color w:val="auto"/>
              </w:rPr>
            </w:pPr>
            <w:r>
              <w:rPr>
                <w:rFonts w:ascii="Arial" w:cs="Arial" w:eastAsia="Arial" w:hAnsi="Arial"/>
                <w:sz w:val="14"/>
                <w:szCs w:val="14"/>
                <w:i w:val="1"/>
                <w:iCs w:val="1"/>
                <w:color w:val="auto"/>
                <w:w w:val="99"/>
              </w:rPr>
              <w:t>Identification No.)</w:t>
            </w:r>
          </w:p>
        </w:tc>
        <w:tc>
          <w:tcPr>
            <w:tcW w:w="2940" w:type="dxa"/>
            <w:vAlign w:val="bottom"/>
            <w:tcBorders>
              <w:bottom w:val="single" w:sz="8" w:color="auto"/>
            </w:tcBorders>
          </w:tcPr>
          <w:p>
            <w:pPr>
              <w:jc w:val="center"/>
              <w:ind w:left="326"/>
              <w:spacing w:after="0"/>
              <w:rPr>
                <w:sz w:val="20"/>
                <w:szCs w:val="20"/>
                <w:color w:val="auto"/>
              </w:rPr>
            </w:pPr>
            <w:r>
              <w:rPr>
                <w:rFonts w:ascii="Arial" w:cs="Arial" w:eastAsia="Arial" w:hAnsi="Arial"/>
                <w:sz w:val="14"/>
                <w:szCs w:val="14"/>
                <w:i w:val="1"/>
                <w:iCs w:val="1"/>
                <w:color w:val="auto"/>
                <w:w w:val="98"/>
              </w:rPr>
              <w:t>including zip code)</w:t>
            </w:r>
          </w:p>
        </w:tc>
        <w:tc>
          <w:tcPr>
            <w:tcW w:w="3140" w:type="dxa"/>
            <w:vAlign w:val="bottom"/>
            <w:tcBorders>
              <w:bottom w:val="single" w:sz="8" w:color="auto"/>
            </w:tcBorders>
          </w:tcPr>
          <w:p>
            <w:pPr>
              <w:jc w:val="center"/>
              <w:ind w:left="287"/>
              <w:spacing w:after="0"/>
              <w:rPr>
                <w:sz w:val="20"/>
                <w:szCs w:val="20"/>
                <w:color w:val="auto"/>
              </w:rPr>
            </w:pPr>
            <w:r>
              <w:rPr>
                <w:rFonts w:ascii="Arial" w:cs="Arial" w:eastAsia="Arial" w:hAnsi="Arial"/>
                <w:sz w:val="14"/>
                <w:szCs w:val="14"/>
                <w:i w:val="1"/>
                <w:iCs w:val="1"/>
                <w:color w:val="auto"/>
                <w:w w:val="98"/>
              </w:rPr>
              <w:t>area code)</w:t>
            </w:r>
          </w:p>
        </w:tc>
        <w:tc>
          <w:tcPr>
            <w:tcW w:w="320" w:type="dxa"/>
            <w:vAlign w:val="bottom"/>
          </w:tcPr>
          <w:p>
            <w:pPr>
              <w:spacing w:after="0"/>
              <w:rPr>
                <w:sz w:val="15"/>
                <w:szCs w:val="15"/>
                <w:color w:val="auto"/>
              </w:rPr>
            </w:pPr>
          </w:p>
        </w:tc>
      </w:tr>
      <w:tr>
        <w:trPr>
          <w:trHeight w:val="393"/>
        </w:trPr>
        <w:tc>
          <w:tcPr>
            <w:tcW w:w="4860" w:type="dxa"/>
            <w:vAlign w:val="bottom"/>
            <w:gridSpan w:val="5"/>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1"/>
        </w:trPr>
        <w:tc>
          <w:tcPr>
            <w:tcW w:w="3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2"/>
          </w:tcPr>
          <w:p>
            <w:pPr>
              <w:spacing w:after="0"/>
              <w:rPr>
                <w:sz w:val="12"/>
                <w:szCs w:val="12"/>
                <w:color w:val="auto"/>
              </w:rPr>
            </w:pPr>
          </w:p>
        </w:tc>
        <w:tc>
          <w:tcPr>
            <w:tcW w:w="6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99"/>
        </w:trPr>
        <w:tc>
          <w:tcPr>
            <w:tcW w:w="320" w:type="dxa"/>
            <w:vAlign w:val="bottom"/>
            <w:tcBorders>
              <w:left w:val="single" w:sz="8" w:color="auto"/>
              <w:bottom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jc w:val="center"/>
              <w:ind w:right="246"/>
              <w:spacing w:after="0"/>
              <w:rPr>
                <w:sz w:val="20"/>
                <w:szCs w:val="20"/>
                <w:color w:val="auto"/>
              </w:rPr>
            </w:pPr>
            <w:r>
              <w:rPr>
                <w:rFonts w:ascii="Arial" w:cs="Arial" w:eastAsia="Arial" w:hAnsi="Arial"/>
                <w:sz w:val="15"/>
                <w:szCs w:val="15"/>
                <w:b w:val="1"/>
                <w:bCs w:val="1"/>
                <w:color w:val="auto"/>
              </w:rPr>
              <w:t>Title of each class</w:t>
            </w:r>
          </w:p>
        </w:tc>
        <w:tc>
          <w:tcPr>
            <w:tcW w:w="400" w:type="dxa"/>
            <w:vAlign w:val="bottom"/>
            <w:tcBorders>
              <w:bottom w:val="single" w:sz="8" w:color="auto"/>
            </w:tcBorders>
          </w:tcPr>
          <w:p>
            <w:pPr>
              <w:spacing w:after="0"/>
              <w:rPr>
                <w:sz w:val="17"/>
                <w:szCs w:val="17"/>
                <w:color w:val="auto"/>
              </w:rPr>
            </w:pPr>
          </w:p>
        </w:tc>
        <w:tc>
          <w:tcPr>
            <w:tcW w:w="2020" w:type="dxa"/>
            <w:vAlign w:val="bottom"/>
            <w:tcBorders>
              <w:bottom w:val="single" w:sz="8" w:color="auto"/>
              <w:right w:val="single" w:sz="8" w:color="auto"/>
            </w:tcBorders>
            <w:gridSpan w:val="2"/>
          </w:tcPr>
          <w:p>
            <w:pPr>
              <w:jc w:val="center"/>
              <w:ind w:right="347"/>
              <w:spacing w:after="0"/>
              <w:rPr>
                <w:sz w:val="20"/>
                <w:szCs w:val="20"/>
                <w:color w:val="auto"/>
              </w:rPr>
            </w:pPr>
            <w:r>
              <w:rPr>
                <w:rFonts w:ascii="Arial" w:cs="Arial" w:eastAsia="Arial" w:hAnsi="Arial"/>
                <w:sz w:val="15"/>
                <w:szCs w:val="15"/>
                <w:b w:val="1"/>
                <w:bCs w:val="1"/>
                <w:color w:val="auto"/>
              </w:rPr>
              <w:t>Trading Symbol(s)</w:t>
            </w:r>
          </w:p>
        </w:tc>
        <w:tc>
          <w:tcPr>
            <w:tcW w:w="6080" w:type="dxa"/>
            <w:vAlign w:val="bottom"/>
            <w:tcBorders>
              <w:bottom w:val="single" w:sz="8" w:color="auto"/>
            </w:tcBorders>
            <w:gridSpan w:val="2"/>
          </w:tcPr>
          <w:p>
            <w:pPr>
              <w:jc w:val="center"/>
              <w:ind w:left="226"/>
              <w:spacing w:after="0"/>
              <w:rPr>
                <w:sz w:val="20"/>
                <w:szCs w:val="20"/>
                <w:color w:val="auto"/>
              </w:rPr>
            </w:pPr>
            <w:r>
              <w:rPr>
                <w:rFonts w:ascii="Arial" w:cs="Arial" w:eastAsia="Arial" w:hAnsi="Arial"/>
                <w:sz w:val="15"/>
                <w:szCs w:val="15"/>
                <w:b w:val="1"/>
                <w:bCs w:val="1"/>
                <w:color w:val="auto"/>
              </w:rPr>
              <w:t>Name of each exchange on which registered</w:t>
            </w:r>
          </w:p>
        </w:tc>
        <w:tc>
          <w:tcPr>
            <w:tcW w:w="320" w:type="dxa"/>
            <w:vAlign w:val="bottom"/>
            <w:tcBorders>
              <w:bottom w:val="single" w:sz="8" w:color="auto"/>
              <w:right w:val="single" w:sz="8" w:color="auto"/>
            </w:tcBorders>
          </w:tcPr>
          <w:p>
            <w:pPr>
              <w:spacing w:after="0"/>
              <w:rPr>
                <w:sz w:val="17"/>
                <w:szCs w:val="17"/>
                <w:color w:val="auto"/>
              </w:rPr>
            </w:pPr>
          </w:p>
        </w:tc>
      </w:tr>
      <w:tr>
        <w:trPr>
          <w:trHeight w:val="198"/>
        </w:trPr>
        <w:tc>
          <w:tcPr>
            <w:tcW w:w="320" w:type="dxa"/>
            <w:vAlign w:val="bottom"/>
            <w:tcBorders>
              <w:left w:val="single" w:sz="8" w:color="auto"/>
              <w:bottom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jc w:val="center"/>
              <w:ind w:right="246"/>
              <w:spacing w:after="0"/>
              <w:rPr>
                <w:sz w:val="20"/>
                <w:szCs w:val="20"/>
                <w:color w:val="auto"/>
              </w:rPr>
            </w:pPr>
            <w:r>
              <w:rPr>
                <w:rFonts w:ascii="Arial" w:cs="Arial" w:eastAsia="Arial" w:hAnsi="Arial"/>
                <w:sz w:val="15"/>
                <w:szCs w:val="15"/>
                <w:color w:val="auto"/>
              </w:rPr>
              <w:t>None</w:t>
            </w: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ind w:right="767"/>
              <w:spacing w:after="0"/>
              <w:rPr>
                <w:sz w:val="20"/>
                <w:szCs w:val="20"/>
                <w:color w:val="auto"/>
              </w:rPr>
            </w:pPr>
            <w:r>
              <w:rPr>
                <w:rFonts w:ascii="Arial" w:cs="Arial" w:eastAsia="Arial" w:hAnsi="Arial"/>
                <w:sz w:val="15"/>
                <w:szCs w:val="15"/>
                <w:color w:val="auto"/>
              </w:rPr>
              <w:t>N/A</w:t>
            </w:r>
          </w:p>
        </w:tc>
        <w:tc>
          <w:tcPr>
            <w:tcW w:w="29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jc w:val="center"/>
              <w:ind w:right="2567"/>
              <w:spacing w:after="0"/>
              <w:rPr>
                <w:sz w:val="20"/>
                <w:szCs w:val="20"/>
                <w:color w:val="auto"/>
              </w:rPr>
            </w:pPr>
            <w:r>
              <w:rPr>
                <w:rFonts w:ascii="Arial" w:cs="Arial" w:eastAsia="Arial" w:hAnsi="Arial"/>
                <w:sz w:val="15"/>
                <w:szCs w:val="15"/>
                <w:color w:val="auto"/>
              </w:rPr>
              <w:t>N/A</w:t>
            </w:r>
          </w:p>
        </w:tc>
        <w:tc>
          <w:tcPr>
            <w:tcW w:w="320" w:type="dxa"/>
            <w:vAlign w:val="bottom"/>
            <w:tcBorders>
              <w:bottom w:val="single" w:sz="8" w:color="auto"/>
              <w:right w:val="single" w:sz="8" w:color="auto"/>
            </w:tcBorders>
          </w:tcPr>
          <w:p>
            <w:pPr>
              <w:spacing w:after="0"/>
              <w:rPr>
                <w:sz w:val="17"/>
                <w:szCs w:val="17"/>
                <w:color w:val="auto"/>
              </w:rPr>
            </w:pPr>
          </w:p>
        </w:tc>
      </w:tr>
    </w:tbl>
    <w:p>
      <w:pPr>
        <w:spacing w:after="0" w:line="133" w:lineRule="exact"/>
        <w:rPr>
          <w:sz w:val="24"/>
          <w:szCs w:val="24"/>
          <w:color w:val="auto"/>
        </w:rPr>
      </w:pPr>
    </w:p>
    <w:p>
      <w:pPr>
        <w:jc w:val="both"/>
        <w:ind w:right="40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2"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right="140"/>
        <w:spacing w:after="0" w:line="27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360" w:type="dxa"/>
        <w:tblCellMar>
          <w:top w:w="0" w:type="dxa"/>
          <w:left w:w="0" w:type="dxa"/>
          <w:bottom w:w="0" w:type="dxa"/>
          <w:right w:w="0" w:type="dxa"/>
        </w:tblCellMar>
      </w:tblPr>
      <w:tr>
        <w:trPr>
          <w:trHeight w:val="229"/>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2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18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860" w:type="dxa"/>
            <w:vAlign w:val="bottom"/>
          </w:tcPr>
          <w:p>
            <w:pPr>
              <w:ind w:left="262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14" w:lineRule="exact"/>
        <w:rPr>
          <w:sz w:val="24"/>
          <w:szCs w:val="24"/>
          <w:color w:val="auto"/>
        </w:rPr>
      </w:pPr>
    </w:p>
    <w:p>
      <w:pPr>
        <w:ind w:right="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200"/>
        <w:spacing w:after="0" w:line="300"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11, 2025, there were 1,158,087,567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707390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139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39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wp:posOffset>
            </wp:positionV>
            <wp:extent cx="7113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60"/>
          </w:cols>
          <w:pgMar w:left="320" w:top="1285"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b w:val="1"/>
          <w:bCs w:val="1"/>
          <w:color w:val="05314D"/>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Borders>
              <w:top w:val="single" w:sz="8" w:color="2C6937"/>
              <w:bottom w:val="single" w:sz="8" w:color="2C6937"/>
            </w:tcBorders>
            <w:gridSpan w:val="2"/>
            <w:vMerge w:val="restart"/>
          </w:tcPr>
          <w:p>
            <w:pPr>
              <w:ind w:left="20"/>
              <w:spacing w:after="0"/>
              <w:rPr>
                <w:sz w:val="20"/>
                <w:szCs w:val="20"/>
                <w:color w:val="auto"/>
              </w:rPr>
            </w:pPr>
            <w:r>
              <w:rPr>
                <w:rFonts w:ascii="Arial" w:cs="Arial" w:eastAsia="Arial" w:hAnsi="Arial"/>
                <w:sz w:val="15"/>
                <w:szCs w:val="15"/>
                <w:b w:val="1"/>
                <w:bCs w:val="1"/>
                <w:color w:val="auto"/>
              </w:rPr>
              <w:t>PART I—Financial Information</w:t>
            </w:r>
          </w:p>
        </w:tc>
        <w:tc>
          <w:tcPr>
            <w:tcW w:w="1580" w:type="dxa"/>
            <w:vAlign w:val="bottom"/>
            <w:tcBorders>
              <w:top w:val="single" w:sz="8" w:color="2C6937"/>
            </w:tcBorders>
          </w:tcPr>
          <w:p>
            <w:pPr>
              <w:spacing w:after="0"/>
              <w:rPr>
                <w:sz w:val="15"/>
                <w:szCs w:val="15"/>
                <w:color w:val="auto"/>
              </w:rPr>
            </w:pPr>
          </w:p>
        </w:tc>
        <w:tc>
          <w:tcPr>
            <w:tcW w:w="420" w:type="dxa"/>
            <w:vAlign w:val="bottom"/>
            <w:tcBorders>
              <w:top w:val="single" w:sz="8" w:color="2C6937"/>
              <w:bottom w:val="single" w:sz="8" w:color="auto"/>
            </w:tcBorders>
          </w:tcPr>
          <w:p>
            <w:pPr>
              <w:spacing w:after="0"/>
              <w:rPr>
                <w:sz w:val="20"/>
                <w:szCs w:val="20"/>
                <w:color w:val="auto"/>
              </w:rPr>
            </w:pPr>
            <w:r>
              <w:rPr>
                <w:rFonts w:ascii="Arial" w:cs="Arial" w:eastAsia="Arial" w:hAnsi="Arial"/>
                <w:sz w:val="15"/>
                <w:szCs w:val="15"/>
                <w:b w:val="1"/>
                <w:bCs w:val="1"/>
                <w:color w:val="auto"/>
              </w:rPr>
              <w:t>Page</w:t>
            </w:r>
          </w:p>
        </w:tc>
        <w:tc>
          <w:tcPr>
            <w:tcW w:w="120" w:type="dxa"/>
            <w:vAlign w:val="bottom"/>
            <w:tcBorders>
              <w:top w:val="single" w:sz="8" w:color="2C6937"/>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100" w:type="dxa"/>
            <w:vAlign w:val="bottom"/>
            <w:gridSpan w:val="2"/>
            <w:vMerge w:val="continue"/>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 w:type="dxa"/>
            <w:vAlign w:val="bottom"/>
          </w:tcPr>
          <w:p>
            <w:pPr>
              <w:ind w:left="20"/>
              <w:spacing w:after="0"/>
              <w:rPr>
                <w:sz w:val="20"/>
                <w:szCs w:val="20"/>
                <w:color w:val="auto"/>
              </w:rPr>
            </w:pPr>
            <w:r>
              <w:rPr>
                <w:rFonts w:ascii="Arial" w:cs="Arial" w:eastAsia="Arial" w:hAnsi="Arial"/>
                <w:sz w:val="15"/>
                <w:szCs w:val="15"/>
                <w:color w:val="auto"/>
              </w:rPr>
              <w:t>Item 1.</w:t>
            </w: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Statements</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8340" w:type="dxa"/>
            <w:vAlign w:val="bottom"/>
          </w:tcPr>
          <w:p>
            <w:pPr>
              <w:ind w:left="280"/>
              <w:spacing w:after="0" w:line="169" w:lineRule="exact"/>
              <w:rPr>
                <w:sz w:val="20"/>
                <w:szCs w:val="20"/>
                <w:color w:val="auto"/>
              </w:rPr>
            </w:pPr>
            <w:r>
              <w:rPr>
                <w:rFonts w:ascii="Arial" w:cs="Arial" w:eastAsia="Arial" w:hAnsi="Arial"/>
                <w:sz w:val="15"/>
                <w:szCs w:val="15"/>
                <w:color w:val="auto"/>
              </w:rPr>
              <w:t>Condensed Consolidated Balance Sheets</w:t>
            </w:r>
          </w:p>
        </w:tc>
        <w:tc>
          <w:tcPr>
            <w:tcW w:w="2000" w:type="dxa"/>
            <w:vAlign w:val="bottom"/>
            <w:gridSpan w:val="2"/>
          </w:tcPr>
          <w:p>
            <w:pPr>
              <w:spacing w:after="0"/>
              <w:rPr>
                <w:sz w:val="14"/>
                <w:szCs w:val="1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Operations and Comprehensive Income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Cash Flows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Changes in Equity</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1—Summary of Significant Accounting Policies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2—Conservatorship, Senior Preferred Stock Purchase Agreement and Related Matters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3—Consolidations and Transfers of Financial Assets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4—Mortgage Loans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5—Allowance for Loan Losses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6—Investments in Securities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7—Financial Guarantees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8—Short-Term and Long-Term Debt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9—Derivative Instruments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10—Segment Reporting</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11—Concentrations of Credit Risk</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12—Netting Arrangements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13—Fair Value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14—Commitments and Contingencies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15—Regulatory Capital Requirements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2.</w:t>
            </w:r>
          </w:p>
        </w:tc>
        <w:tc>
          <w:tcPr>
            <w:tcW w:w="8340" w:type="dxa"/>
            <w:vAlign w:val="bottom"/>
          </w:tcPr>
          <w:p>
            <w:pPr>
              <w:ind w:left="2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2000" w:type="dxa"/>
            <w:vAlign w:val="bottom"/>
            <w:gridSpan w:val="2"/>
          </w:tcPr>
          <w:p>
            <w:pPr>
              <w:spacing w:after="0"/>
              <w:rPr>
                <w:sz w:val="16"/>
                <w:szCs w:val="16"/>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About Fannie Mae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Results Summary</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Legislation and Regulation</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Key Market Economic Indicators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Results of Operations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Balance Sheet Analysis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Retained Mortgage Portfolio</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Guaranty Book of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Business Segment Financial Results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Single-Family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Market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Mortgage-Related Securities Issuances Share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Business Metrics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Multifamily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Market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Business Metrics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Credit Ratios and Select Credit Information</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Liquidity and Capital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Institutional Counterparty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Market Risk Management, including Interest-Rate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Critical Accounting Estimates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Impact of Future Adoption of New Accounting Guidance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Forward-Looking Statements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3.</w:t>
            </w:r>
          </w:p>
        </w:tc>
        <w:tc>
          <w:tcPr>
            <w:tcW w:w="8340" w:type="dxa"/>
            <w:vAlign w:val="bottom"/>
          </w:tcPr>
          <w:p>
            <w:pPr>
              <w:ind w:left="280"/>
              <w:spacing w:after="0"/>
              <w:rPr>
                <w:sz w:val="20"/>
                <w:szCs w:val="20"/>
                <w:color w:val="auto"/>
              </w:rPr>
            </w:pPr>
            <w:r>
              <w:rPr>
                <w:rFonts w:ascii="Arial" w:cs="Arial" w:eastAsia="Arial" w:hAnsi="Arial"/>
                <w:sz w:val="15"/>
                <w:szCs w:val="15"/>
                <w:color w:val="auto"/>
              </w:rPr>
              <w:t>Quantitative and Qualitative Disclosures about Market Risk</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4.</w:t>
            </w:r>
          </w:p>
        </w:tc>
        <w:tc>
          <w:tcPr>
            <w:tcW w:w="8340" w:type="dxa"/>
            <w:vAlign w:val="bottom"/>
          </w:tcPr>
          <w:p>
            <w:pPr>
              <w:ind w:left="280"/>
              <w:spacing w:after="0"/>
              <w:rPr>
                <w:sz w:val="20"/>
                <w:szCs w:val="20"/>
                <w:color w:val="auto"/>
              </w:rPr>
            </w:pPr>
            <w:r>
              <w:rPr>
                <w:rFonts w:ascii="Arial" w:cs="Arial" w:eastAsia="Arial" w:hAnsi="Arial"/>
                <w:sz w:val="15"/>
                <w:szCs w:val="15"/>
                <w:color w:val="auto"/>
              </w:rPr>
              <w:t>Controls and Procedures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474980</wp:posOffset>
            </wp:positionV>
            <wp:extent cx="7007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
        <w:spacing w:after="0"/>
        <w:tabs>
          <w:tab w:leader="none" w:pos="11060" w:val="left"/>
        </w:tabs>
        <w:rPr>
          <w:sz w:val="20"/>
          <w:szCs w:val="20"/>
          <w:color w:val="auto"/>
        </w:rPr>
      </w:pPr>
      <w:r>
        <w:rPr>
          <w:rFonts w:ascii="Arial" w:cs="Arial" w:eastAsia="Arial" w:hAnsi="Arial"/>
          <w:sz w:val="14"/>
          <w:szCs w:val="14"/>
          <w:color w:val="05314D"/>
        </w:rPr>
        <w:t>Fannie Mae First Quarter 2025 Form 10-Q</w:t>
      </w:r>
      <w:r>
        <w:rPr>
          <w:sz w:val="20"/>
          <w:szCs w:val="20"/>
          <w:color w:val="auto"/>
        </w:rPr>
        <w:tab/>
      </w:r>
      <w:r>
        <w:rPr>
          <w:rFonts w:ascii="Arial" w:cs="Arial" w:eastAsia="Arial" w:hAnsi="Arial"/>
          <w:sz w:val="9"/>
          <w:szCs w:val="9"/>
          <w:color w:val="05314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127000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3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10920" w:type="dxa"/>
            <w:vAlign w:val="bottom"/>
            <w:gridSpan w:val="2"/>
          </w:tcPr>
          <w:p>
            <w:pPr>
              <w:spacing w:after="0"/>
              <w:rPr>
                <w:sz w:val="20"/>
                <w:szCs w:val="20"/>
                <w:color w:val="auto"/>
              </w:rPr>
            </w:pPr>
            <w:r>
              <w:rPr>
                <w:rFonts w:ascii="Arial" w:cs="Arial" w:eastAsia="Arial" w:hAnsi="Arial"/>
                <w:sz w:val="15"/>
                <w:szCs w:val="15"/>
                <w:b w:val="1"/>
                <w:bCs w:val="1"/>
                <w:color w:val="auto"/>
              </w:rPr>
              <w:t>PART II—Other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105</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w:t>
            </w:r>
          </w:p>
        </w:tc>
        <w:tc>
          <w:tcPr>
            <w:tcW w:w="10120" w:type="dxa"/>
            <w:vAlign w:val="bottom"/>
          </w:tcPr>
          <w:p>
            <w:pPr>
              <w:ind w:left="220"/>
              <w:spacing w:after="0"/>
              <w:rPr>
                <w:sz w:val="20"/>
                <w:szCs w:val="20"/>
                <w:color w:val="auto"/>
              </w:rPr>
            </w:pPr>
            <w:r>
              <w:rPr>
                <w:rFonts w:ascii="Arial" w:cs="Arial" w:eastAsia="Arial" w:hAnsi="Arial"/>
                <w:sz w:val="15"/>
                <w:szCs w:val="15"/>
                <w:color w:val="auto"/>
              </w:rPr>
              <w:t>Legal Proceedings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105</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1A.</w:t>
            </w:r>
          </w:p>
        </w:tc>
        <w:tc>
          <w:tcPr>
            <w:tcW w:w="10120" w:type="dxa"/>
            <w:vAlign w:val="bottom"/>
          </w:tcPr>
          <w:p>
            <w:pPr>
              <w:ind w:left="220"/>
              <w:spacing w:after="0"/>
              <w:rPr>
                <w:sz w:val="20"/>
                <w:szCs w:val="20"/>
                <w:color w:val="auto"/>
              </w:rPr>
            </w:pPr>
            <w:r>
              <w:rPr>
                <w:rFonts w:ascii="Arial" w:cs="Arial" w:eastAsia="Arial" w:hAnsi="Arial"/>
                <w:sz w:val="15"/>
                <w:szCs w:val="15"/>
                <w:color w:val="auto"/>
              </w:rPr>
              <w:t>Risk Factors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106</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2.</w:t>
            </w:r>
          </w:p>
        </w:tc>
        <w:tc>
          <w:tcPr>
            <w:tcW w:w="10120" w:type="dxa"/>
            <w:vAlign w:val="bottom"/>
          </w:tcPr>
          <w:p>
            <w:pPr>
              <w:ind w:left="220"/>
              <w:spacing w:after="0"/>
              <w:rPr>
                <w:sz w:val="20"/>
                <w:szCs w:val="20"/>
                <w:color w:val="auto"/>
              </w:rPr>
            </w:pPr>
            <w:r>
              <w:rPr>
                <w:rFonts w:ascii="Arial" w:cs="Arial" w:eastAsia="Arial" w:hAnsi="Arial"/>
                <w:sz w:val="15"/>
                <w:szCs w:val="15"/>
                <w:color w:val="auto"/>
              </w:rPr>
              <w:t>Unregistered Sales of Equity Securities and Use of Proceeds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106</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Defaults Upon Senior Securities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108</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Mine Safety Disclosures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108</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5.</w:t>
            </w:r>
          </w:p>
        </w:tc>
        <w:tc>
          <w:tcPr>
            <w:tcW w:w="10120" w:type="dxa"/>
            <w:vAlign w:val="bottom"/>
          </w:tcPr>
          <w:p>
            <w:pPr>
              <w:ind w:left="220"/>
              <w:spacing w:after="0"/>
              <w:rPr>
                <w:sz w:val="20"/>
                <w:szCs w:val="20"/>
                <w:color w:val="auto"/>
              </w:rPr>
            </w:pPr>
            <w:r>
              <w:rPr>
                <w:rFonts w:ascii="Arial" w:cs="Arial" w:eastAsia="Arial" w:hAnsi="Arial"/>
                <w:sz w:val="15"/>
                <w:szCs w:val="15"/>
                <w:color w:val="auto"/>
              </w:rPr>
              <w:t>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108</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6.</w:t>
            </w:r>
          </w:p>
        </w:tc>
        <w:tc>
          <w:tcPr>
            <w:tcW w:w="10120" w:type="dxa"/>
            <w:vAlign w:val="bottom"/>
          </w:tcPr>
          <w:p>
            <w:pPr>
              <w:ind w:left="220"/>
              <w:spacing w:after="0"/>
              <w:rPr>
                <w:sz w:val="20"/>
                <w:szCs w:val="20"/>
                <w:color w:val="auto"/>
              </w:rPr>
            </w:pPr>
            <w:r>
              <w:rPr>
                <w:rFonts w:ascii="Arial" w:cs="Arial" w:eastAsia="Arial" w:hAnsi="Arial"/>
                <w:sz w:val="15"/>
                <w:szCs w:val="15"/>
                <w:color w:val="auto"/>
              </w:rPr>
              <w:t>Exhibits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474980</wp:posOffset>
            </wp:positionV>
            <wp:extent cx="700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11000" w:val="left"/>
        </w:tabs>
        <w:rPr>
          <w:sz w:val="20"/>
          <w:szCs w:val="20"/>
          <w:color w:val="auto"/>
        </w:rPr>
      </w:pPr>
      <w:r>
        <w:rPr>
          <w:rFonts w:ascii="Arial" w:cs="Arial" w:eastAsia="Arial" w:hAnsi="Arial"/>
          <w:sz w:val="14"/>
          <w:szCs w:val="14"/>
          <w:color w:val="05314D"/>
        </w:rPr>
        <w:t>Fannie Mae First Quarter 2025 Form 10-Q</w:t>
      </w:r>
      <w:r>
        <w:rPr>
          <w:sz w:val="20"/>
          <w:szCs w:val="20"/>
          <w:color w:val="auto"/>
        </w:rPr>
        <w:tab/>
      </w:r>
      <w:r>
        <w:rPr>
          <w:rFonts w:ascii="Arial" w:cs="Arial" w:eastAsia="Arial" w:hAnsi="Arial"/>
          <w:sz w:val="13"/>
          <w:szCs w:val="13"/>
          <w:color w:val="05314D"/>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127000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1398" w:right="359" w:bottom="1440" w:gutter="0" w:footer="0" w:header="0"/>
        </w:sectPr>
      </w:pPr>
    </w:p>
    <w:bookmarkStart w:id="3" w:name="page4"/>
    <w:bookmarkEnd w:id="3"/>
    <w:p>
      <w:pPr>
        <w:ind w:left="9480"/>
        <w:spacing w:after="0"/>
        <w:rPr>
          <w:sz w:val="20"/>
          <w:szCs w:val="20"/>
          <w:color w:val="auto"/>
        </w:rPr>
      </w:pPr>
      <w:r>
        <w:rPr>
          <w:rFonts w:ascii="Arial" w:cs="Arial" w:eastAsia="Arial" w:hAnsi="Arial"/>
          <w:sz w:val="14"/>
          <w:szCs w:val="14"/>
          <w:color w:val="001543"/>
        </w:rPr>
        <w:t>MD&amp;A | 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PART I—FINANCIAL INFORMATION</w:t>
      </w:r>
    </w:p>
    <w:p>
      <w:pPr>
        <w:spacing w:after="0" w:line="185" w:lineRule="exact"/>
        <w:rPr>
          <w:sz w:val="20"/>
          <w:szCs w:val="20"/>
          <w:color w:val="auto"/>
        </w:rPr>
      </w:pPr>
    </w:p>
    <w:p>
      <w:pPr>
        <w:ind w:right="720"/>
        <w:spacing w:after="0" w:line="254" w:lineRule="auto"/>
        <w:rPr>
          <w:sz w:val="20"/>
          <w:szCs w:val="20"/>
          <w:color w:val="auto"/>
        </w:rPr>
      </w:pPr>
      <w:r>
        <w:rPr>
          <w:rFonts w:ascii="Georgia" w:cs="Georgia" w:eastAsia="Georgia" w:hAnsi="Georgia"/>
          <w:sz w:val="27"/>
          <w:szCs w:val="27"/>
          <w:b w:val="1"/>
          <w:bCs w:val="1"/>
          <w:color w:val="05314D"/>
        </w:rPr>
        <w:t>Item 2. Management’s Discussion and Analysis of Financial Condition and Results of Operations</w:t>
      </w:r>
    </w:p>
    <w:p>
      <w:pPr>
        <w:spacing w:after="0" w:line="6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i w:val="1"/>
          <w:iCs w:val="1"/>
          <w:color w:val="auto"/>
        </w:rPr>
        <w:t>You should read this Management’s Discussion and Analysis of Financial Condition and Results of Operations (“MD&amp;A”) in conjunction with our unaudited condensed consolidated financial statements and related notes in this report and the more detailed information in our annual report on Form 10-K for the year ended December 31, 2024 (“2024 Form 10-K”). You can find a “Glossary of Terms Used in This Report” in MD&amp;A in our 2024 Form 10-K.</w:t>
      </w:r>
    </w:p>
    <w:p>
      <w:pPr>
        <w:spacing w:after="0" w:line="47"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i w:val="1"/>
          <w:iCs w:val="1"/>
          <w:color w:val="auto"/>
        </w:rPr>
        <w:t>This report includes forward-looking statements based on management’s current expectations that are subject to significant uncertainties. Future events and our results may differ materially from those reflected in our forward-looking statements due to a variety of factors, including those discussed in “Forward-Looking Statements,” “Risk Factors” and elsewhere in this report and in our 2024 Form 10-K.</w:t>
      </w:r>
    </w:p>
    <w:p>
      <w:pPr>
        <w:spacing w:after="0" w:line="10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3"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auto"/>
        </w:rPr>
        <w:t>Fannie Mae is a leading source of financing for residential mortgages in the United States. We provided $76.1 billion in liquidity to the mortgage market in the first quarter of 2025, which enabled the financing of approximately 287,000 home purchases, refinancings, and rental units.</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or “Fannie Mae MBS”) that global investors buy from us. We do not originate mortgage loans or lend money directly to borrowers.</w:t>
      </w:r>
    </w:p>
    <w:p>
      <w:pPr>
        <w:spacing w:after="0" w:line="4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provide a guaranty on the MBS that we issue. If a borrower fails to make a payment on a mortgage loan that is included in a Fannie Mae MBS, we pay the shortfall amount to the MBS investor. In exchange for providing this guaranty, we receive a guaranty fee. Guaranty fees are the primary source of our revenues.</w:t>
      </w:r>
    </w:p>
    <w:p>
      <w:pPr>
        <w:spacing w:after="0" w:line="3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Because we assume the credit risk for mortgage loans in our MBS, our earnings are affected by the credit performance of these loans. Credit risk management is therefore key to our business and financial results. To help manage our mortgage credit risk exposure, and in response to capital and other requirements, we transfer some of our credit risk exposure to third parties through credit risk transfer and mortgage insurance. For a discussion of how we manage credit risk, see “MD&amp;A—Single-Family Business—Single-Family Mortgage Credit Risk Management” and “MD&amp;A—Multifamily Business— Multifamily Mortgage Credit Risk Management” in this report and in our 2024 Form 10-K.</w:t>
      </w:r>
    </w:p>
    <w:p>
      <w:pPr>
        <w:spacing w:after="0" w:line="38" w:lineRule="exact"/>
        <w:rPr>
          <w:sz w:val="20"/>
          <w:szCs w:val="20"/>
          <w:color w:val="auto"/>
        </w:rPr>
      </w:pPr>
    </w:p>
    <w:p>
      <w:pPr>
        <w:ind w:right="420"/>
        <w:spacing w:after="0" w:line="271" w:lineRule="auto"/>
        <w:rPr>
          <w:sz w:val="20"/>
          <w:szCs w:val="20"/>
          <w:color w:val="auto"/>
        </w:rPr>
      </w:pPr>
      <w:r>
        <w:rPr>
          <w:rFonts w:ascii="Arial" w:cs="Arial" w:eastAsia="Arial" w:hAnsi="Arial"/>
          <w:sz w:val="16"/>
          <w:szCs w:val="16"/>
          <w:color w:val="auto"/>
        </w:rPr>
        <w:t>We support both single-family and multifamily housing. Our Single-Family business provides financing for properties that have four or fewer residential units. Our Multifamily business provides financing for residential buildings with five or more units. As of December 31, 2024 (the latest date for which information is available), Fannie Mae owned or guaranteed an estimated 25% of single-family mortgage debt outstanding and an estimated 21% of multifamily mortgage debt outstanding in the United States.</w:t>
      </w:r>
    </w:p>
    <w:p>
      <w:pPr>
        <w:spacing w:after="0" w:line="3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have been in conservatorship since 2008. The Federal Housing Finance Agency (“FHFA”) is our conservator. During conservatorship, our Board has no fiduciary duties to the company or its stockholders, as they owe their fiduciary duties of care and loyalty solely to FHFA as conservator. Since March 17, 2025, the FHFA Director has served as the Chairman of our Board, and FHFA’s General Counsel has also served as a member of our Board. Conservatorship and our agreements with the U.S. Department of the Treasury (“Treasury”) significantly restrict our business activities and stockholder rights. For more information about the impact of conservatorship and these agreements on our business, stockholders, and our uncertain future, see “Business—Conservatorship and Treasury Agreements” and “Risk Factors—GSE and Conservatorship Risk” in our 2024 Form 10-K.</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 w:name="page5"/>
    <w:bookmarkEnd w:id="4"/>
    <w:p>
      <w:pPr>
        <w:ind w:left="9380"/>
        <w:spacing w:after="0"/>
        <w:rPr>
          <w:sz w:val="20"/>
          <w:szCs w:val="20"/>
          <w:color w:val="auto"/>
        </w:rPr>
      </w:pPr>
      <w:r>
        <w:rPr>
          <w:rFonts w:ascii="Arial" w:cs="Arial" w:eastAsia="Arial" w:hAnsi="Arial"/>
          <w:sz w:val="14"/>
          <w:szCs w:val="14"/>
          <w:color w:val="001543"/>
        </w:rPr>
        <w:t>MD&amp;A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Financial Results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Please read this summary together with our MD&amp;A, our condensed consolidated financial statements as of March 31, 2025 and the accompanying notes.</w:t>
      </w:r>
    </w:p>
    <w:p>
      <w:pPr>
        <w:spacing w:after="0" w:line="13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 of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53975</wp:posOffset>
            </wp:positionV>
            <wp:extent cx="5419090" cy="2357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90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Summary of Financial Results</w:t>
      </w:r>
    </w:p>
    <w:p>
      <w:pPr>
        <w:spacing w:after="0" w:line="63" w:lineRule="exact"/>
        <w:rPr>
          <w:sz w:val="20"/>
          <w:szCs w:val="20"/>
          <w:color w:val="auto"/>
        </w:rPr>
      </w:pPr>
    </w:p>
    <w:p>
      <w:pPr>
        <w:ind w:left="620" w:right="260" w:hanging="307"/>
        <w:spacing w:after="0" w:line="293"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remained flat at $7.1 billion in the first quarter of 2025 compared with the first quarter of 2024. Net revenues consist of net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and fee and other income.</w:t>
      </w:r>
    </w:p>
    <w:p>
      <w:pPr>
        <w:spacing w:after="0" w:line="27" w:lineRule="exact"/>
        <w:rPr>
          <w:rFonts w:ascii="Arial" w:cs="Arial" w:eastAsia="Arial" w:hAnsi="Arial"/>
          <w:sz w:val="16"/>
          <w:szCs w:val="16"/>
          <w:color w:val="auto"/>
        </w:rPr>
      </w:pPr>
    </w:p>
    <w:p>
      <w:pPr>
        <w:ind w:left="620" w:right="240" w:hanging="307"/>
        <w:spacing w:after="0" w:line="293"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Provision for credit losses </w:t>
      </w:r>
      <w:r>
        <w:rPr>
          <w:rFonts w:ascii="Arial" w:cs="Arial" w:eastAsia="Arial" w:hAnsi="Arial"/>
          <w:sz w:val="16"/>
          <w:szCs w:val="16"/>
          <w:color w:val="auto"/>
        </w:rPr>
        <w:t>of $24 million for the first quarter of 2025 related to our Single-Family business segment, which reflected the impact of</w:t>
      </w:r>
      <w:r>
        <w:rPr>
          <w:rFonts w:ascii="Arial" w:cs="Arial" w:eastAsia="Arial" w:hAnsi="Arial"/>
          <w:sz w:val="16"/>
          <w:szCs w:val="16"/>
          <w:i w:val="1"/>
          <w:iCs w:val="1"/>
          <w:color w:val="auto"/>
        </w:rPr>
        <w:t xml:space="preserve"> </w:t>
      </w:r>
      <w:r>
        <w:rPr>
          <w:rFonts w:ascii="Arial" w:cs="Arial" w:eastAsia="Arial" w:hAnsi="Arial"/>
          <w:sz w:val="16"/>
          <w:szCs w:val="16"/>
          <w:color w:val="auto"/>
        </w:rPr>
        <w:t>recent economic uncertainty and improvements in actual and forecasted home price growth.</w:t>
      </w:r>
    </w:p>
    <w:p>
      <w:pPr>
        <w:spacing w:after="0" w:line="14" w:lineRule="exact"/>
        <w:rPr>
          <w:rFonts w:ascii="Arial" w:cs="Arial" w:eastAsia="Arial" w:hAnsi="Arial"/>
          <w:sz w:val="16"/>
          <w:szCs w:val="16"/>
          <w:color w:val="auto"/>
        </w:rPr>
      </w:pPr>
    </w:p>
    <w:p>
      <w:pPr>
        <w:ind w:left="620" w:right="560" w:hanging="307"/>
        <w:spacing w:after="0" w:line="293" w:lineRule="auto"/>
        <w:tabs>
          <w:tab w:leader="none" w:pos="612"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of $3.7 billion in the first quarter of 2025 decreased by $659 million compared with the first quarter of 2024, primarily driven by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fair value gains and a shift from benefit for credit losses to provision for credit losses.</w:t>
      </w:r>
    </w:p>
    <w:p>
      <w:pPr>
        <w:spacing w:after="0" w:line="14" w:lineRule="exact"/>
        <w:rPr>
          <w:rFonts w:ascii="Arial" w:cs="Arial" w:eastAsia="Arial" w:hAnsi="Arial"/>
          <w:sz w:val="16"/>
          <w:szCs w:val="16"/>
          <w:i w:val="1"/>
          <w:iCs w:val="1"/>
          <w:color w:val="auto"/>
        </w:rPr>
      </w:pP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worth </w:t>
      </w:r>
      <w:r>
        <w:rPr>
          <w:rFonts w:ascii="Arial" w:cs="Arial" w:eastAsia="Arial" w:hAnsi="Arial"/>
          <w:sz w:val="16"/>
          <w:szCs w:val="16"/>
          <w:color w:val="auto"/>
        </w:rPr>
        <w:t>increased by $3.7 billion in the first quarter of 2025 to $98.3 billion as of March 31, 2025.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the drivers of our financial results, see “Consolidated Results of Operations.”</w:t>
      </w:r>
    </w:p>
    <w:p>
      <w:pPr>
        <w:spacing w:after="0" w:line="18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This section updates and supplements information regarding legislative, regulatory, conservatorship and other matters affecting our business set forth in “Business—Conservatorship and Treasury Agreements” and “Business—Legislation and Regulation” in our 2024 Form 10-K. Also see “Risk Factors” in our 2024 Form 10-K for discussions of risks relating to legislative and regulatory matters.</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Withdrawal of Prior Guidance, Policies, Regulatory Requirements, and Directives</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new FHFA Director, who was sworn in on March 14, 2025, has rescinded, waived, suspended, or otherwise withdrawn certain guidance, policies, regulatory requirements, and directives affecting Fannie Mae and Freddie Mac, including the multifamily residential lease standards policy, some requirements relating to FHFA’s fair lending rule, and certain corporate governance requirements. These actions were effective immediately. See “Conservatorship and Treasury Agreements—Conservatorship” and “Risk Factors—GSE and Conservatorship Risk” in our 2024 Form 10-K for a discussion of FHFA’s authority as our conservator and how FHFA, as our conservator, controls our business activities.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 w:name="page6"/>
    <w:bookmarkEnd w:id="5"/>
    <w:p>
      <w:pPr>
        <w:ind w:left="9000"/>
        <w:spacing w:after="0"/>
        <w:rPr>
          <w:sz w:val="20"/>
          <w:szCs w:val="20"/>
          <w:color w:val="auto"/>
        </w:rPr>
      </w:pPr>
      <w:r>
        <w:rPr>
          <w:rFonts w:ascii="Arial" w:cs="Arial" w:eastAsia="Arial" w:hAnsi="Arial"/>
          <w:sz w:val="14"/>
          <w:szCs w:val="14"/>
          <w:color w:val="001543"/>
        </w:rPr>
        <w:t>MD&amp;A | 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Fannie Mae Board of Directors and Committees</w:t>
      </w:r>
    </w:p>
    <w:p>
      <w:pPr>
        <w:spacing w:after="0" w:line="8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of April 29, 2025, the members of our Board of Directors are FHFA Director and Board Chairman William J. Pulte, FHFA General Counsel Clinton Jones, Fannie Mae President and Chief Executive Officer Priscilla Almodovar, Omeed Malik, and the following directors, each of whom has been determined by the Board to be independent: Renée L. Glover, Karin J. Kimbrough, Manuel “Manolo” Sánchez Rodriguez, Scott D. Stowell and Vice Chair Michael Stucky. As of April 29, 2025, our Board committees are as follows:</w:t>
      </w:r>
    </w:p>
    <w:p>
      <w:pPr>
        <w:spacing w:after="0" w:line="33"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Audit Committee – Renée Glover, Manolo Sánchez (Chair) and Michael Stucky;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Compensation and Human Capital Committee – Clinton Jones, Scott Stowell and Michael Stucky (Chair);</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Nominating and Corporate Governance Committee – Renée Glover, Karin Kimbrough, William Pulte (Chair) and Scott Stowell; and</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 Policy and Capital Committee – Clinton Jones, Karin Kimbrough (Chair) and Manolo Sánchez.</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has not yet considered the independence of or committee assignments for Mr. Malik, who joined the Board on April 14,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 w:name="page7"/>
    <w:bookmarkEnd w:id="6"/>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6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“MD&amp;A—Key Market Economic Indicators” in our 2024 Form 10-K, we discuss how varying macroeconomic conditions can influence our financial results across different business and economic environments, and we provide forecasts and expectations with respect to some of these macroeconomic conditions. Below we provide an update to these forecasts and expectations, as well as updates to certain macroeconomic information. Our forecasts and expectations are based on many assumptions, subject to many uncertainties and may change, perhaps substantially, from our current forecasts and expectations. See “Risk Factors” and “Forward-Looking Statements” in our 2024 Form 10-K and in this report for a discussion of factors that could cause actual results to differ materially from our current forecasts and expectations.</w:t>
      </w:r>
    </w:p>
    <w:p>
      <w:pPr>
        <w:spacing w:after="0" w:line="8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Interest Rates</w:t>
      </w:r>
    </w:p>
    <w:p>
      <w:pPr>
        <w:spacing w:after="0" w:line="11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Selected Market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7620</wp:posOffset>
            </wp:positionV>
            <wp:extent cx="5501005" cy="2160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100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0" w:right="180" w:hanging="237"/>
        <w:spacing w:after="0" w:line="229" w:lineRule="auto"/>
        <w:tabs>
          <w:tab w:leader="none" w:pos="233"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Refers to the U.S. weekly average fixed-rate mortgage rate according to Freddie Mac’s Primary Mortgage Market Survey</w:t>
      </w:r>
      <w:r>
        <w:rPr>
          <w:rFonts w:ascii="Arial" w:cs="Arial" w:eastAsia="Arial" w:hAnsi="Arial"/>
          <w:sz w:val="17"/>
          <w:szCs w:val="17"/>
          <w:color w:val="auto"/>
          <w:vertAlign w:val="superscript"/>
        </w:rPr>
        <w:t>®</w:t>
      </w:r>
      <w:r>
        <w:rPr>
          <w:rFonts w:ascii="Arial" w:cs="Arial" w:eastAsia="Arial" w:hAnsi="Arial"/>
          <w:sz w:val="14"/>
          <w:szCs w:val="14"/>
          <w:color w:val="auto"/>
        </w:rPr>
        <w:t>. These rates are reported using the latest available data for a given period.</w:t>
      </w:r>
    </w:p>
    <w:p>
      <w:pPr>
        <w:spacing w:after="0" w:line="13"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5"/>
        </w:numPr>
        <w:rPr>
          <w:rFonts w:ascii="Arial" w:cs="Arial" w:eastAsia="Arial" w:hAnsi="Arial"/>
          <w:sz w:val="9"/>
          <w:szCs w:val="9"/>
          <w:color w:val="auto"/>
        </w:rPr>
      </w:pPr>
      <w:r>
        <w:rPr>
          <w:rFonts w:ascii="Arial" w:cs="Arial" w:eastAsia="Arial" w:hAnsi="Arial"/>
          <w:sz w:val="14"/>
          <w:szCs w:val="14"/>
          <w:color w:val="auto"/>
        </w:rPr>
        <w:t>According to Bloomberg.</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5"/>
        </w:numPr>
        <w:rPr>
          <w:rFonts w:ascii="Arial" w:cs="Arial" w:eastAsia="Arial" w:hAnsi="Arial"/>
          <w:sz w:val="9"/>
          <w:szCs w:val="9"/>
          <w:color w:val="auto"/>
        </w:rPr>
      </w:pPr>
      <w:r>
        <w:rPr>
          <w:rFonts w:ascii="Arial" w:cs="Arial" w:eastAsia="Arial" w:hAnsi="Arial"/>
          <w:sz w:val="14"/>
          <w:szCs w:val="14"/>
          <w:color w:val="auto"/>
        </w:rPr>
        <w:t>Refers to the daily rate per the Federal Reserve Bank of New York.</w:t>
      </w:r>
    </w:p>
    <w:p>
      <w:pPr>
        <w:spacing w:after="0" w:line="9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U.S. weekly average 30-year fixed-rate mortgage rate decreased to 6.65% at the end of the first quarter of 2025, compared to 6.85% at the end of the fourth quarter of 2024.</w:t>
      </w:r>
    </w:p>
    <w:p>
      <w:pPr>
        <w:spacing w:after="0" w:line="7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Home Prices</w:t>
      </w:r>
    </w:p>
    <w:p>
      <w:pPr>
        <w:spacing w:after="0" w:line="217"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Quarterly Home Price Growth (Decline) Rate</w:t>
      </w:r>
      <w:r>
        <w:rPr>
          <w:rFonts w:ascii="Georgia" w:cs="Georgia" w:eastAsia="Georgia" w:hAnsi="Georgia"/>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111125</wp:posOffset>
            </wp:positionV>
            <wp:extent cx="5501005" cy="1137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1005" cy="113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right="200" w:hanging="237"/>
        <w:spacing w:after="0" w:line="233" w:lineRule="auto"/>
        <w:tabs>
          <w:tab w:leader="none" w:pos="233"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Calculated internally using property data on loans purchased by Fannie Mae, Freddie Mac and other third-party home sales data. Fannie Mae’s home price index is a weighted repeat-transactions index, measuring average price changes in repeat sales on the same properties. Fannie Mae’s home price index excludes prices on properties sold in foreclosure. Fannie Mae’s home price growth rates represent estimates based on non-seasonally adjusted preliminary data and are subject to change as additional data becomes available.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Home prices on a national basis grew by an estimated 1.4% in the first quarter of 2025. We expect home price growth of 4.1% on a national basis in 2025.</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also expect regional variation in the timing and rate of home price changes.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8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 w:name="page8"/>
    <w:bookmarkEnd w:id="7"/>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Economic Activity</w:t>
      </w:r>
    </w:p>
    <w:p>
      <w:pPr>
        <w:spacing w:after="0" w:line="15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GDP and Unemployment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501005" cy="14897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01005" cy="148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hanging="217"/>
        <w:spacing w:after="0"/>
        <w:tabs>
          <w:tab w:leader="none" w:pos="220" w:val="left"/>
        </w:tabs>
        <w:numPr>
          <w:ilvl w:val="0"/>
          <w:numId w:val="7"/>
        </w:numPr>
        <w:rPr>
          <w:rFonts w:ascii="Arial" w:cs="Arial" w:eastAsia="Arial" w:hAnsi="Arial"/>
          <w:sz w:val="9"/>
          <w:szCs w:val="9"/>
          <w:color w:val="auto"/>
        </w:rPr>
      </w:pPr>
      <w:r>
        <w:rPr>
          <w:rFonts w:ascii="Arial" w:cs="Arial" w:eastAsia="Arial" w:hAnsi="Arial"/>
          <w:sz w:val="14"/>
          <w:szCs w:val="14"/>
          <w:color w:val="auto"/>
        </w:rPr>
        <w:t>Real GDP growth is based on the quarterly series calculated by the Bureau of Economic Analysis and is subject to revision.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7"/>
        </w:numPr>
        <w:rPr>
          <w:rFonts w:ascii="Arial" w:cs="Arial" w:eastAsia="Arial" w:hAnsi="Arial"/>
          <w:sz w:val="9"/>
          <w:szCs w:val="9"/>
          <w:color w:val="auto"/>
        </w:rPr>
      </w:pPr>
      <w:r>
        <w:rPr>
          <w:rFonts w:ascii="Arial" w:cs="Arial" w:eastAsia="Arial" w:hAnsi="Arial"/>
          <w:sz w:val="14"/>
          <w:szCs w:val="14"/>
          <w:color w:val="auto"/>
        </w:rPr>
        <w:t>According to the U.S. Bureau of Labor Statistics and subject to revision.</w:t>
      </w:r>
    </w:p>
    <w:p>
      <w:pPr>
        <w:spacing w:after="0" w:line="9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U.S. gross domestic product (“GDP”) increased in 2024. Bureau of Economic Analysis GDP data for the first quarter of 2025 was not available at the time of filing this report. We expect GDP will continue to grow for the full year of 2025, but at a slower pace than 2024. The unemployment rate increased to 4.2% in the first quarter of 2025 as compared to 4.1% in the fourth quarter of 2024. We expect the unemployment rate to continue to increase modestly in the remainder of 2025.</w:t>
      </w:r>
    </w:p>
    <w:p>
      <w:pPr>
        <w:spacing w:after="0" w:line="3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impact of trade, fiscal, regulatory and immigration policies is uncertain and could materially impact our outlook for interest rates, home price growth and economic growth. See “Risk Factors—Market and Industry Risk” and “Risk Factors—Credit Risk” in our 2024 Form 10-K for further discussion of risks to our business and financial results associated with these factors.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8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 w:name="page9"/>
    <w:bookmarkEnd w:id="8"/>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section discusses our condensed consolidated results of operations and should be read together with our condensed consolidated financial statements and the accompanying notes.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7"/>
        </w:trPr>
        <w:tc>
          <w:tcPr>
            <w:tcW w:w="7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8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5"/>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rPr>
              <w:t>Variance</w:t>
            </w:r>
          </w:p>
        </w:tc>
      </w:tr>
      <w:tr>
        <w:trPr>
          <w:trHeight w:val="173"/>
        </w:trPr>
        <w:tc>
          <w:tcPr>
            <w:tcW w:w="7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6"/>
        </w:trPr>
        <w:tc>
          <w:tcPr>
            <w:tcW w:w="808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Net interest income</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7,001</w:t>
            </w:r>
          </w:p>
        </w:tc>
        <w:tc>
          <w:tcPr>
            <w:tcW w:w="80" w:type="dxa"/>
            <w:vAlign w:val="bottom"/>
          </w:tcPr>
          <w:p>
            <w:pPr>
              <w:spacing w:after="0"/>
              <w:rPr>
                <w:sz w:val="17"/>
                <w:szCs w:val="17"/>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7,023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8"/>
        </w:trPr>
        <w:tc>
          <w:tcPr>
            <w:tcW w:w="79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84</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w:t>
            </w:r>
          </w:p>
        </w:tc>
      </w:tr>
      <w:tr>
        <w:trPr>
          <w:trHeight w:val="198"/>
        </w:trPr>
        <w:tc>
          <w:tcPr>
            <w:tcW w:w="808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7,085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7,095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(204)</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(357)</w:t>
            </w:r>
          </w:p>
        </w:tc>
      </w:tr>
      <w:tr>
        <w:trPr>
          <w:trHeight w:val="208"/>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4"/>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808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Administrative expenses</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(992)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(103)</w:t>
            </w:r>
          </w:p>
        </w:tc>
      </w:tr>
      <w:tr>
        <w:trPr>
          <w:trHeight w:val="206"/>
        </w:trPr>
        <w:tc>
          <w:tcPr>
            <w:tcW w:w="808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Legislative assessments</w:t>
            </w:r>
            <w:r>
              <w:rPr>
                <w:rFonts w:ascii="Arial" w:cs="Arial" w:eastAsia="Arial" w:hAnsi="Arial"/>
                <w:sz w:val="20"/>
                <w:szCs w:val="20"/>
                <w:color w:val="auto"/>
                <w:vertAlign w:val="superscript"/>
              </w:rPr>
              <w:t>(3)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6"/>
        </w:trPr>
        <w:tc>
          <w:tcPr>
            <w:tcW w:w="808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(479)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08"/>
        </w:trPr>
        <w:tc>
          <w:tcPr>
            <w:tcW w:w="7900" w:type="dxa"/>
            <w:vAlign w:val="bottom"/>
            <w:tcBorders>
              <w:bottom w:val="single" w:sz="8" w:color="2C6937"/>
            </w:tcBorders>
          </w:tcPr>
          <w:p>
            <w:pPr>
              <w:ind w:left="120"/>
              <w:spacing w:after="0" w:line="207"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20"/>
                <w:szCs w:val="20"/>
                <w:color w:val="auto"/>
                <w:vertAlign w:val="superscript"/>
              </w:rPr>
              <w:t>(5)</w:t>
            </w:r>
          </w:p>
        </w:tc>
        <w:tc>
          <w:tcPr>
            <w:tcW w:w="1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(198)</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(92)</w:t>
            </w:r>
          </w:p>
        </w:tc>
      </w:tr>
      <w:tr>
        <w:trPr>
          <w:trHeight w:val="199"/>
        </w:trPr>
        <w:tc>
          <w:tcPr>
            <w:tcW w:w="79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8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(2,600)</w:t>
            </w:r>
          </w:p>
        </w:tc>
        <w:tc>
          <w:tcPr>
            <w:tcW w:w="8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(2,344)</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(256)</w:t>
            </w:r>
          </w:p>
        </w:tc>
      </w:tr>
      <w:tr>
        <w:trPr>
          <w:trHeight w:val="198"/>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4,584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5,433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(849)</w:t>
            </w:r>
          </w:p>
        </w:tc>
      </w:tr>
      <w:tr>
        <w:trPr>
          <w:trHeight w:val="208"/>
        </w:trPr>
        <w:tc>
          <w:tcPr>
            <w:tcW w:w="79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(923)</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(1,113)</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190</w:t>
            </w:r>
          </w:p>
        </w:tc>
      </w:tr>
      <w:tr>
        <w:trPr>
          <w:trHeight w:val="199"/>
        </w:trPr>
        <w:tc>
          <w:tcPr>
            <w:tcW w:w="808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3,661</w:t>
            </w:r>
          </w:p>
        </w:tc>
        <w:tc>
          <w:tcPr>
            <w:tcW w:w="80" w:type="dxa"/>
            <w:vAlign w:val="bottom"/>
          </w:tcPr>
          <w:p>
            <w:pPr>
              <w:spacing w:after="0"/>
              <w:rPr>
                <w:sz w:val="17"/>
                <w:szCs w:val="17"/>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4,320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(659)</w:t>
            </w:r>
          </w:p>
        </w:tc>
      </w:tr>
      <w:tr>
        <w:trPr>
          <w:trHeight w:val="20"/>
        </w:trPr>
        <w:tc>
          <w:tcPr>
            <w:tcW w:w="79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3,655</w:t>
            </w:r>
          </w:p>
        </w:tc>
        <w:tc>
          <w:tcPr>
            <w:tcW w:w="80" w:type="dxa"/>
            <w:vAlign w:val="bottom"/>
          </w:tcPr>
          <w:p>
            <w:pPr>
              <w:spacing w:after="0"/>
              <w:rPr>
                <w:sz w:val="17"/>
                <w:szCs w:val="17"/>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4,324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(669)</w:t>
            </w:r>
          </w:p>
        </w:tc>
      </w:tr>
    </w:tbl>
    <w:p>
      <w:pPr>
        <w:spacing w:after="0" w:line="114" w:lineRule="exact"/>
        <w:rPr>
          <w:sz w:val="20"/>
          <w:szCs w:val="20"/>
          <w:color w:val="auto"/>
        </w:rPr>
      </w:pPr>
    </w:p>
    <w:p>
      <w:pPr>
        <w:ind w:left="240" w:right="180" w:hanging="237"/>
        <w:spacing w:after="0" w:line="244" w:lineRule="auto"/>
        <w:tabs>
          <w:tab w:leader="none" w:pos="233"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Includes net interest income generated by the 10 basis point guaranty fee increase we implemented pursuant to the Temporary Payroll Tax Cut Continuation Act of 2011 (“TCCA”), and as extended by the Infrastructure Investment and Jobs Act, which is paid to Treasury and not retained by us. We refer to this as TCCA fees, or income related to TCCA.</w:t>
      </w:r>
    </w:p>
    <w:p>
      <w:pPr>
        <w:ind w:left="220" w:hanging="217"/>
        <w:spacing w:after="0"/>
        <w:tabs>
          <w:tab w:leader="none" w:pos="2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Consists of TCCA fees, affordable housing allocations and FHFA assessments.</w:t>
      </w:r>
    </w:p>
    <w:p>
      <w:pPr>
        <w:spacing w:after="0" w:line="25" w:lineRule="exact"/>
        <w:rPr>
          <w:rFonts w:ascii="Arial" w:cs="Arial" w:eastAsia="Arial" w:hAnsi="Arial"/>
          <w:sz w:val="18"/>
          <w:szCs w:val="18"/>
          <w:color w:val="auto"/>
          <w:vertAlign w:val="superscript"/>
        </w:rPr>
      </w:pPr>
    </w:p>
    <w:p>
      <w:pPr>
        <w:ind w:left="240" w:right="20" w:hanging="237"/>
        <w:spacing w:after="0" w:line="260" w:lineRule="auto"/>
        <w:tabs>
          <w:tab w:leader="none" w:pos="233" w:val="left"/>
        </w:tabs>
        <w:numPr>
          <w:ilvl w:val="0"/>
          <w:numId w:val="8"/>
        </w:numPr>
        <w:rPr>
          <w:rFonts w:ascii="Arial" w:cs="Arial" w:eastAsia="Arial" w:hAnsi="Arial"/>
          <w:sz w:val="9"/>
          <w:szCs w:val="9"/>
          <w:color w:val="auto"/>
        </w:rPr>
      </w:pPr>
      <w:r>
        <w:rPr>
          <w:rFonts w:ascii="Arial" w:cs="Arial" w:eastAsia="Arial" w:hAnsi="Arial"/>
          <w:sz w:val="13"/>
          <w:szCs w:val="13"/>
          <w:color w:val="auto"/>
        </w:rPr>
        <w:t>Single-family credit enhancement expense consists of costs associated with our freestanding credit enhancements, which primarily include our Connecticut Avenue Securities</w:t>
      </w:r>
      <w:r>
        <w:rPr>
          <w:rFonts w:ascii="Arial" w:cs="Arial" w:eastAsia="Arial" w:hAnsi="Arial"/>
          <w:sz w:val="8"/>
          <w:szCs w:val="8"/>
          <w:color w:val="auto"/>
        </w:rPr>
        <w:t>®</w:t>
      </w:r>
      <w:r>
        <w:rPr>
          <w:rFonts w:ascii="Arial" w:cs="Arial" w:eastAsia="Arial" w:hAnsi="Arial"/>
          <w:sz w:val="13"/>
          <w:szCs w:val="13"/>
          <w:color w:val="auto"/>
        </w:rPr>
        <w:t xml:space="preserve"> (“CAS”) and Credit Insurance Risk Transfer™ (“CIRT</w:t>
      </w:r>
      <w:r>
        <w:rPr>
          <w:rFonts w:ascii="Arial" w:cs="Arial" w:eastAsia="Arial" w:hAnsi="Arial"/>
          <w:sz w:val="8"/>
          <w:szCs w:val="8"/>
          <w:color w:val="auto"/>
        </w:rPr>
        <w:t>TM</w:t>
      </w:r>
      <w:r>
        <w:rPr>
          <w:rFonts w:ascii="Arial" w:cs="Arial" w:eastAsia="Arial" w:hAnsi="Arial"/>
          <w:sz w:val="13"/>
          <w:szCs w:val="13"/>
          <w:color w:val="auto"/>
        </w:rPr>
        <w:t>”) programs, enterprise-paid mortgage insurance (“EPMI”) and certain lender risk-sharing programs. Multifamily credit enhancement expense primarily consists of costs associated with our Multifamily CIRT</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(“MCIRT</w:t>
      </w:r>
      <w:r>
        <w:rPr>
          <w:rFonts w:ascii="Arial" w:cs="Arial" w:eastAsia="Arial" w:hAnsi="Arial"/>
          <w:sz w:val="16"/>
          <w:szCs w:val="16"/>
          <w:color w:val="auto"/>
          <w:vertAlign w:val="superscript"/>
        </w:rPr>
        <w:t>TM</w:t>
      </w:r>
      <w:r>
        <w:rPr>
          <w:rFonts w:ascii="Arial" w:cs="Arial" w:eastAsia="Arial" w:hAnsi="Arial"/>
          <w:sz w:val="13"/>
          <w:szCs w:val="13"/>
          <w:color w:val="auto"/>
        </w:rPr>
        <w:t>”) and Multifamily CAS (“MCAS</w:t>
      </w:r>
      <w:r>
        <w:rPr>
          <w:rFonts w:ascii="Arial" w:cs="Arial" w:eastAsia="Arial" w:hAnsi="Arial"/>
          <w:sz w:val="16"/>
          <w:szCs w:val="16"/>
          <w:color w:val="auto"/>
          <w:vertAlign w:val="superscript"/>
        </w:rPr>
        <w:t>TM</w:t>
      </w:r>
      <w:r>
        <w:rPr>
          <w:rFonts w:ascii="Arial" w:cs="Arial" w:eastAsia="Arial" w:hAnsi="Arial"/>
          <w:sz w:val="13"/>
          <w:szCs w:val="13"/>
          <w:color w:val="auto"/>
        </w:rPr>
        <w:t>”) programs as well as amortization expense for certain lender risk-sharing programs. Excludes CAS transactions accounted for as debt instruments and credit risk transfer programs accounted for as derivative instruments.</w:t>
      </w:r>
    </w:p>
    <w:p>
      <w:pPr>
        <w:spacing w:after="0" w:line="11" w:lineRule="exact"/>
        <w:rPr>
          <w:rFonts w:ascii="Arial" w:cs="Arial" w:eastAsia="Arial" w:hAnsi="Arial"/>
          <w:sz w:val="9"/>
          <w:szCs w:val="9"/>
          <w:color w:val="auto"/>
        </w:rPr>
      </w:pPr>
    </w:p>
    <w:p>
      <w:pPr>
        <w:ind w:left="240" w:right="360" w:hanging="237"/>
        <w:spacing w:after="0" w:line="218" w:lineRule="auto"/>
        <w:tabs>
          <w:tab w:leader="none" w:pos="233"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Primarily consists of foreclosed property income (expense), change in the expected benefits from our freestanding credit enhancements, and gains and losses from partnership investments.</w:t>
      </w:r>
    </w:p>
    <w:p>
      <w:pPr>
        <w:spacing w:after="0" w:line="9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Net Interest Income</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Overview</w:t>
      </w:r>
    </w:p>
    <w:p>
      <w:pPr>
        <w:spacing w:after="0" w:line="10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primary source of net interest income is guaranty fees we receive for assuming the credit risk on mortgage loans underlying Fannie Mae MBS held by third parties in our guaranty book of business. We also recognize net interest income on the difference between interest income earned on the assets in our retained mortgage portfolio and our corporate liquidity portfolio (collectively, our “portfolios”) and the interest expense associated with our funding debt. In addition, income or expense from hedge accounting is a component of our net interest income. See “MD&amp;A—Consolidated Results of Operations—Net Interest Income” in our 2024 Form 10-K for information about the sources of our net interest income.</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 w:name="page10"/>
    <w:bookmarkEnd w:id="9"/>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Components of Net Interest Income</w:t>
      </w:r>
    </w:p>
    <w:p>
      <w:pPr>
        <w:spacing w:after="0" w:line="106"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The table below displays the components of our net interest income from our guaranty book of business, from our portfolios, as well as from hedge accounting.</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Net Interest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40" w:type="dxa"/>
            <w:vAlign w:val="bottom"/>
            <w:tcBorders>
              <w:top w:val="single" w:sz="8" w:color="2C6937"/>
            </w:tcBorders>
          </w:tcPr>
          <w:p>
            <w:pPr>
              <w:spacing w:after="0"/>
              <w:rPr>
                <w:sz w:val="20"/>
                <w:szCs w:val="20"/>
                <w:color w:val="auto"/>
              </w:rPr>
            </w:pPr>
          </w:p>
        </w:tc>
        <w:tc>
          <w:tcPr>
            <w:tcW w:w="80" w:type="dxa"/>
            <w:vAlign w:val="bottom"/>
            <w:tcBorders>
              <w:top w:val="single" w:sz="8" w:color="2C6937"/>
            </w:tcBorders>
          </w:tcPr>
          <w:p>
            <w:pPr>
              <w:spacing w:after="0"/>
              <w:rPr>
                <w:sz w:val="20"/>
                <w:szCs w:val="20"/>
                <w:color w:val="auto"/>
              </w:rPr>
            </w:pPr>
          </w:p>
        </w:tc>
        <w:tc>
          <w:tcPr>
            <w:tcW w:w="3560" w:type="dxa"/>
            <w:vAlign w:val="bottom"/>
            <w:tcBorders>
              <w:top w:val="single" w:sz="8" w:color="2C6937"/>
            </w:tcBorders>
            <w:gridSpan w:val="6"/>
          </w:tcPr>
          <w:p>
            <w:pPr>
              <w:ind w:left="300"/>
              <w:spacing w:after="0"/>
              <w:rPr>
                <w:sz w:val="20"/>
                <w:szCs w:val="20"/>
                <w:color w:val="auto"/>
              </w:rPr>
            </w:pPr>
            <w:r>
              <w:rPr>
                <w:rFonts w:ascii="Arial" w:cs="Arial" w:eastAsia="Arial" w:hAnsi="Arial"/>
                <w:sz w:val="15"/>
                <w:szCs w:val="15"/>
                <w:b w:val="1"/>
                <w:bCs w:val="1"/>
                <w:color w:val="auto"/>
              </w:rPr>
              <w:t>For the Three Months Ended March 31,</w:t>
            </w:r>
          </w:p>
        </w:tc>
        <w:tc>
          <w:tcPr>
            <w:tcW w:w="320" w:type="dxa"/>
            <w:vAlign w:val="bottom"/>
            <w:tcBorders>
              <w:top w:val="single" w:sz="8" w:color="2C6937"/>
            </w:tcBorders>
          </w:tcPr>
          <w:p>
            <w:pPr>
              <w:spacing w:after="0"/>
              <w:rPr>
                <w:sz w:val="20"/>
                <w:szCs w:val="20"/>
                <w:color w:val="auto"/>
              </w:rPr>
            </w:pPr>
          </w:p>
        </w:tc>
        <w:tc>
          <w:tcPr>
            <w:tcW w:w="1340" w:type="dxa"/>
            <w:vAlign w:val="bottom"/>
            <w:tcBorders>
              <w:top w:val="single" w:sz="8" w:color="2C6937"/>
            </w:tcBorders>
          </w:tcPr>
          <w:p>
            <w:pPr>
              <w:spacing w:after="0"/>
              <w:rPr>
                <w:sz w:val="20"/>
                <w:szCs w:val="20"/>
                <w:color w:val="auto"/>
              </w:rPr>
            </w:pPr>
          </w:p>
        </w:tc>
      </w:tr>
      <w:tr>
        <w:trPr>
          <w:trHeight w:val="199"/>
        </w:trPr>
        <w:tc>
          <w:tcPr>
            <w:tcW w:w="5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rPr>
              <w:t>2025</w:t>
            </w:r>
          </w:p>
        </w:tc>
        <w:tc>
          <w:tcPr>
            <w:tcW w:w="56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120" w:type="dxa"/>
            <w:vAlign w:val="bottom"/>
            <w:tcBorders>
              <w:top w:val="single" w:sz="8" w:color="2C6937"/>
              <w:bottom w:val="single" w:sz="8" w:color="2C6937"/>
            </w:tcBorders>
          </w:tcPr>
          <w:p>
            <w:pPr>
              <w:spacing w:after="0"/>
              <w:rPr>
                <w:sz w:val="17"/>
                <w:szCs w:val="17"/>
                <w:color w:val="auto"/>
              </w:rPr>
            </w:pPr>
          </w:p>
        </w:tc>
        <w:tc>
          <w:tcPr>
            <w:tcW w:w="1560" w:type="dxa"/>
            <w:vAlign w:val="bottom"/>
            <w:tcBorders>
              <w:top w:val="single" w:sz="8" w:color="2C6937"/>
              <w:bottom w:val="single" w:sz="8" w:color="2C6937"/>
            </w:tcBorders>
          </w:tcPr>
          <w:p>
            <w:pPr>
              <w:jc w:val="right"/>
              <w:ind w:right="58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jc w:val="right"/>
              <w:ind w:right="423"/>
              <w:spacing w:after="0"/>
              <w:rPr>
                <w:sz w:val="20"/>
                <w:szCs w:val="20"/>
                <w:color w:val="auto"/>
              </w:rPr>
            </w:pPr>
            <w:r>
              <w:rPr>
                <w:rFonts w:ascii="Arial" w:cs="Arial" w:eastAsia="Arial" w:hAnsi="Arial"/>
                <w:sz w:val="15"/>
                <w:szCs w:val="15"/>
                <w:b w:val="1"/>
                <w:bCs w:val="1"/>
                <w:color w:val="auto"/>
              </w:rPr>
              <w:t>Variance</w:t>
            </w:r>
          </w:p>
        </w:tc>
      </w:tr>
      <w:tr>
        <w:trPr>
          <w:trHeight w:val="296"/>
        </w:trPr>
        <w:tc>
          <w:tcPr>
            <w:tcW w:w="5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5"/>
                <w:szCs w:val="15"/>
                <w:b w:val="1"/>
                <w:bCs w:val="1"/>
                <w:color w:val="auto"/>
              </w:rPr>
              <w:t>(Dollars in millions)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9"/>
        </w:trPr>
        <w:tc>
          <w:tcPr>
            <w:tcW w:w="602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interest income from guaranty book of business:</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5"/>
        </w:trPr>
        <w:tc>
          <w:tcPr>
            <w:tcW w:w="602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excluding TCCA</w:t>
            </w:r>
          </w:p>
        </w:tc>
        <w:tc>
          <w:tcPr>
            <w:tcW w:w="1120" w:type="dxa"/>
            <w:vAlign w:val="bottom"/>
          </w:tcPr>
          <w:p>
            <w:pPr>
              <w:jc w:val="right"/>
              <w:ind w:right="943"/>
              <w:spacing w:after="0"/>
              <w:rPr>
                <w:sz w:val="20"/>
                <w:szCs w:val="20"/>
                <w:color w:val="auto"/>
              </w:rPr>
            </w:pPr>
            <w:r>
              <w:rPr>
                <w:rFonts w:ascii="Arial" w:cs="Arial" w:eastAsia="Arial" w:hAnsi="Arial"/>
                <w:sz w:val="15"/>
                <w:szCs w:val="15"/>
                <w:b w:val="1"/>
                <w:bCs w:val="1"/>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4,202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4,090</w:t>
            </w:r>
          </w:p>
        </w:tc>
        <w:tc>
          <w:tcPr>
            <w:tcW w:w="100" w:type="dxa"/>
            <w:vAlign w:val="bottom"/>
          </w:tcPr>
          <w:p>
            <w:pPr>
              <w:spacing w:after="0"/>
              <w:rPr>
                <w:sz w:val="21"/>
                <w:szCs w:val="21"/>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112</w:t>
            </w:r>
          </w:p>
        </w:tc>
      </w:tr>
      <w:tr>
        <w:trPr>
          <w:trHeight w:val="224"/>
        </w:trPr>
        <w:tc>
          <w:tcPr>
            <w:tcW w:w="602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related to TCCA</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859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59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deferred guaranty fee income</w:t>
            </w:r>
          </w:p>
        </w:tc>
        <w:tc>
          <w:tcPr>
            <w:tcW w:w="80" w:type="dxa"/>
            <w:vAlign w:val="bottom"/>
          </w:tcPr>
          <w:p>
            <w:pPr>
              <w:spacing w:after="0"/>
              <w:rPr>
                <w:sz w:val="18"/>
                <w:szCs w:val="18"/>
                <w:color w:val="auto"/>
              </w:rPr>
            </w:pPr>
          </w:p>
        </w:tc>
        <w:tc>
          <w:tcPr>
            <w:tcW w:w="112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796</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777</w:t>
            </w: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r>
      <w:tr>
        <w:trPr>
          <w:trHeight w:val="309"/>
        </w:trPr>
        <w:tc>
          <w:tcPr>
            <w:tcW w:w="6020" w:type="dxa"/>
            <w:vAlign w:val="bottom"/>
            <w:gridSpan w:val="2"/>
          </w:tcPr>
          <w:p>
            <w:pPr>
              <w:ind w:left="320"/>
              <w:spacing w:after="0"/>
              <w:rPr>
                <w:sz w:val="20"/>
                <w:szCs w:val="20"/>
                <w:color w:val="auto"/>
              </w:rPr>
            </w:pPr>
            <w:r>
              <w:rPr>
                <w:rFonts w:ascii="Arial" w:cs="Arial" w:eastAsia="Arial" w:hAnsi="Arial"/>
                <w:sz w:val="15"/>
                <w:szCs w:val="15"/>
                <w:color w:val="auto"/>
              </w:rPr>
              <w:t>Total net interest income from guaranty book of business</w:t>
            </w:r>
          </w:p>
        </w:tc>
        <w:tc>
          <w:tcPr>
            <w:tcW w:w="1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5,857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5,727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130</w:t>
            </w:r>
          </w:p>
        </w:tc>
      </w:tr>
      <w:tr>
        <w:trPr>
          <w:trHeight w:val="317"/>
        </w:trPr>
        <w:tc>
          <w:tcPr>
            <w:tcW w:w="602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portfolios</w:t>
            </w:r>
            <w:r>
              <w:rPr>
                <w:rFonts w:ascii="Arial" w:cs="Arial" w:eastAsia="Arial" w:hAnsi="Arial"/>
                <w:sz w:val="20"/>
                <w:szCs w:val="20"/>
                <w:color w:val="auto"/>
                <w:vertAlign w:val="superscript"/>
              </w:rPr>
              <w:t>(1)</w:t>
            </w:r>
          </w:p>
        </w:tc>
        <w:tc>
          <w:tcPr>
            <w:tcW w:w="1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1,322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1,547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(225)</w:t>
            </w:r>
          </w:p>
        </w:tc>
      </w:tr>
      <w:tr>
        <w:trPr>
          <w:trHeight w:val="218"/>
        </w:trPr>
        <w:tc>
          <w:tcPr>
            <w:tcW w:w="5940" w:type="dxa"/>
            <w:vAlign w:val="bottom"/>
            <w:tcBorders>
              <w:bottom w:val="single" w:sz="8" w:color="2C6937"/>
            </w:tcBorders>
          </w:tcPr>
          <w:p>
            <w:pPr>
              <w:ind w:left="20"/>
              <w:spacing w:after="0" w:line="218" w:lineRule="exact"/>
              <w:rPr>
                <w:sz w:val="20"/>
                <w:szCs w:val="20"/>
                <w:color w:val="auto"/>
              </w:rPr>
            </w:pPr>
            <w:r>
              <w:rPr>
                <w:rFonts w:ascii="Arial" w:cs="Arial" w:eastAsia="Arial" w:hAnsi="Arial"/>
                <w:sz w:val="15"/>
                <w:szCs w:val="15"/>
                <w:color w:val="auto"/>
              </w:rPr>
              <w:t>Income (expense) from hedge accounting</w:t>
            </w:r>
            <w:r>
              <w:rPr>
                <w:rFonts w:ascii="Arial" w:cs="Arial" w:eastAsia="Arial" w:hAnsi="Arial"/>
                <w:sz w:val="20"/>
                <w:szCs w:val="20"/>
                <w:color w:val="auto"/>
                <w:vertAlign w:val="superscript"/>
              </w:rPr>
              <w:t>(2)</w:t>
            </w:r>
          </w:p>
        </w:tc>
        <w:tc>
          <w:tcPr>
            <w:tcW w:w="80" w:type="dxa"/>
            <w:vAlign w:val="bottom"/>
          </w:tcPr>
          <w:p>
            <w:pPr>
              <w:spacing w:after="0"/>
              <w:rPr>
                <w:sz w:val="18"/>
                <w:szCs w:val="18"/>
                <w:color w:val="auto"/>
              </w:rPr>
            </w:pPr>
          </w:p>
        </w:tc>
        <w:tc>
          <w:tcPr>
            <w:tcW w:w="112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(178)</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(251)</w:t>
            </w: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w:t>
            </w:r>
          </w:p>
        </w:tc>
      </w:tr>
      <w:tr>
        <w:trPr>
          <w:trHeight w:val="277"/>
        </w:trPr>
        <w:tc>
          <w:tcPr>
            <w:tcW w:w="6020" w:type="dxa"/>
            <w:vAlign w:val="bottom"/>
            <w:gridSpan w:val="2"/>
          </w:tcPr>
          <w:p>
            <w:pPr>
              <w:ind w:left="20"/>
              <w:spacing w:after="0"/>
              <w:rPr>
                <w:sz w:val="20"/>
                <w:szCs w:val="20"/>
                <w:color w:val="auto"/>
              </w:rPr>
            </w:pPr>
            <w:r>
              <w:rPr>
                <w:rFonts w:ascii="Arial" w:cs="Arial" w:eastAsia="Arial" w:hAnsi="Arial"/>
                <w:sz w:val="15"/>
                <w:szCs w:val="15"/>
                <w:color w:val="auto"/>
              </w:rPr>
              <w:t>Total net interest income</w:t>
            </w:r>
          </w:p>
        </w:tc>
        <w:tc>
          <w:tcPr>
            <w:tcW w:w="1120" w:type="dxa"/>
            <w:vAlign w:val="bottom"/>
          </w:tcPr>
          <w:p>
            <w:pPr>
              <w:jc w:val="right"/>
              <w:ind w:right="943"/>
              <w:spacing w:after="0"/>
              <w:rPr>
                <w:sz w:val="20"/>
                <w:szCs w:val="20"/>
                <w:color w:val="auto"/>
              </w:rPr>
            </w:pPr>
            <w:r>
              <w:rPr>
                <w:rFonts w:ascii="Arial" w:cs="Arial" w:eastAsia="Arial" w:hAnsi="Arial"/>
                <w:sz w:val="15"/>
                <w:szCs w:val="15"/>
                <w:b w:val="1"/>
                <w:bCs w:val="1"/>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7,001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7,023</w:t>
            </w:r>
          </w:p>
        </w:tc>
        <w:tc>
          <w:tcPr>
            <w:tcW w:w="1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
        </w:trPr>
        <w:tc>
          <w:tcPr>
            <w:tcW w:w="59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40" w:hanging="237"/>
        <w:spacing w:after="0" w:line="218" w:lineRule="auto"/>
        <w:tabs>
          <w:tab w:leader="none" w:pos="23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interest income from assets held in our retained mortgage portfolio and our corporate liquidity portfolio, as well as other assets used to support lender liquidity. Also includes interest expense on our funding debt, including outstanding CAS debt.</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9"/>
        </w:numPr>
        <w:rPr>
          <w:rFonts w:ascii="Arial" w:cs="Arial" w:eastAsia="Arial" w:hAnsi="Arial"/>
          <w:sz w:val="9"/>
          <w:szCs w:val="9"/>
          <w:color w:val="auto"/>
        </w:rPr>
      </w:pPr>
      <w:r>
        <w:rPr>
          <w:rFonts w:ascii="Arial" w:cs="Arial" w:eastAsia="Arial" w:hAnsi="Arial"/>
          <w:sz w:val="14"/>
          <w:szCs w:val="14"/>
          <w:color w:val="auto"/>
        </w:rPr>
        <w:t>For more information about our hedge accounting program, see “Note 9, Derivative Instruments.”</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Net interest income remained relatively flat in the first quarter of 2025 compared with the first quarter of 2024. Lower net interest income from portfolios was largely offset by higher income from base guaranty fees and lower expense from hedge accounting.</w:t>
      </w:r>
    </w:p>
    <w:p>
      <w:pPr>
        <w:spacing w:after="0" w:line="15" w:lineRule="exact"/>
        <w:rPr>
          <w:sz w:val="20"/>
          <w:szCs w:val="20"/>
          <w:color w:val="auto"/>
        </w:rPr>
      </w:pPr>
    </w:p>
    <w:p>
      <w:pPr>
        <w:ind w:left="620" w:right="300" w:hanging="307"/>
        <w:spacing w:after="0" w:line="310" w:lineRule="auto"/>
        <w:tabs>
          <w:tab w:leader="none" w:pos="612"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Lower net interest income from portfolios</w:t>
      </w:r>
      <w:r>
        <w:rPr>
          <w:rFonts w:ascii="Arial" w:cs="Arial" w:eastAsia="Arial" w:hAnsi="Arial"/>
          <w:sz w:val="16"/>
          <w:szCs w:val="16"/>
          <w:color w:val="auto"/>
        </w:rPr>
        <w:t>. Lower net interest income from portfolios in the first quarter of 2025 compared with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2024 was primarily driven by a higher average balance and higher average rates of our long-term funding debt.</w:t>
      </w:r>
    </w:p>
    <w:p>
      <w:pPr>
        <w:spacing w:after="0" w:line="1" w:lineRule="exact"/>
        <w:rPr>
          <w:rFonts w:ascii="Arial" w:cs="Arial" w:eastAsia="Arial" w:hAnsi="Arial"/>
          <w:sz w:val="16"/>
          <w:szCs w:val="16"/>
          <w:i w:val="1"/>
          <w:iCs w:val="1"/>
          <w:color w:val="auto"/>
        </w:rPr>
      </w:pPr>
    </w:p>
    <w:p>
      <w:pPr>
        <w:ind w:left="620" w:right="440" w:hanging="307"/>
        <w:spacing w:after="0" w:line="293" w:lineRule="auto"/>
        <w:tabs>
          <w:tab w:leader="none" w:pos="612"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Higher base guaranty fee income. </w:t>
      </w:r>
      <w:r>
        <w:rPr>
          <w:rFonts w:ascii="Arial" w:cs="Arial" w:eastAsia="Arial" w:hAnsi="Arial"/>
          <w:sz w:val="16"/>
          <w:szCs w:val="16"/>
          <w:color w:val="auto"/>
        </w:rPr>
        <w:t>Higher base guaranty income was primarily driven by higher average guaranty fees on recent single-family</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w:t>
      </w:r>
    </w:p>
    <w:p>
      <w:pPr>
        <w:spacing w:after="0" w:line="14" w:lineRule="exact"/>
        <w:rPr>
          <w:rFonts w:ascii="Arial" w:cs="Arial" w:eastAsia="Arial" w:hAnsi="Arial"/>
          <w:sz w:val="16"/>
          <w:szCs w:val="16"/>
          <w:color w:val="auto"/>
        </w:rPr>
      </w:pPr>
    </w:p>
    <w:p>
      <w:pPr>
        <w:ind w:left="620" w:right="20" w:hanging="307"/>
        <w:spacing w:after="0" w:line="293" w:lineRule="auto"/>
        <w:tabs>
          <w:tab w:leader="none" w:pos="612"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Lower expense from hedge accounting</w:t>
      </w:r>
      <w:r>
        <w:rPr>
          <w:rFonts w:ascii="Arial" w:cs="Arial" w:eastAsia="Arial" w:hAnsi="Arial"/>
          <w:sz w:val="16"/>
          <w:szCs w:val="16"/>
          <w:color w:val="auto"/>
        </w:rPr>
        <w:t>. We had lower expense from hedge accounting in the first quarter of 2025 compared with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2024, primarily driven by lower interest expense on derivatives in hedging relationships.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 w:name="page11"/>
    <w:bookmarkEnd w:id="10"/>
    <w:p>
      <w:pPr>
        <w:ind w:left="8440"/>
        <w:spacing w:after="0"/>
        <w:rPr>
          <w:sz w:val="20"/>
          <w:szCs w:val="20"/>
          <w:color w:val="auto"/>
        </w:rPr>
      </w:pPr>
      <w:r>
        <w:rPr>
          <w:rFonts w:ascii="Arial" w:cs="Arial" w:eastAsia="Arial" w:hAnsi="Arial"/>
          <w:sz w:val="13"/>
          <w:szCs w:val="13"/>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Unamortized Deferred Guaranty Fees</w:t>
      </w:r>
    </w:p>
    <w:p>
      <w:pPr>
        <w:spacing w:after="0" w:line="80"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auto"/>
        </w:rPr>
        <w:t>The following charts present information about the interest rates of the loans in our single-family conventional guaranty book of business as well as information about our deferred guaranty fees.</w:t>
      </w:r>
    </w:p>
    <w:p>
      <w:pPr>
        <w:spacing w:after="0" w:line="1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As shown in the chart below (on the left), most of our single-family conventional guaranty book of business as of March 31, 2025 had an interest rate lower than the U.S. weekly average 30-year fixed-rate mortgage rate. Per Freddie Mac’s Primary Mortgage Market Survey</w:t>
      </w:r>
      <w:r>
        <w:rPr>
          <w:rFonts w:ascii="Arial" w:cs="Arial" w:eastAsia="Arial" w:hAnsi="Arial"/>
          <w:sz w:val="21"/>
          <w:szCs w:val="21"/>
          <w:b w:val="1"/>
          <w:bCs w:val="1"/>
          <w:color w:val="auto"/>
          <w:vertAlign w:val="superscript"/>
        </w:rPr>
        <w:t>®</w:t>
      </w:r>
      <w:r>
        <w:rPr>
          <w:rFonts w:ascii="Arial" w:cs="Arial" w:eastAsia="Arial" w:hAnsi="Arial"/>
          <w:sz w:val="16"/>
          <w:szCs w:val="16"/>
          <w:color w:val="auto"/>
        </w:rPr>
        <w:t>, as of March 27, 2025, the U.S. weekly average interest rate for a single-family 30-year fixed-rate mortgage was 6.65%. Accordingly, even if interest rates decline meaningfully, most of the borrowers whose mortgage loans are in our single-family conventional guaranty book of business still would not be incentivized to refinance.</w:t>
      </w:r>
    </w:p>
    <w:p>
      <w:pPr>
        <w:spacing w:after="0" w:line="5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The other chart below (on the right) presents guaranty fees that will be amortized into deferred guaranty fee income in future periods, which we refer to as “unamortized deferred guaranty fees,” as described in “MD&amp;A—Consolidated Results of Operations—Net Interest Income—Analysis of Unamortized Deferred Guaranty Fees” in our 2024 Form 10-K.</w:t>
      </w:r>
    </w:p>
    <w:p>
      <w:pPr>
        <w:spacing w:after="0" w:line="12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880" w:type="dxa"/>
            <w:vAlign w:val="bottom"/>
          </w:tcPr>
          <w:p>
            <w:pPr>
              <w:jc w:val="center"/>
              <w:ind w:right="466"/>
              <w:spacing w:after="0"/>
              <w:rPr>
                <w:sz w:val="20"/>
                <w:szCs w:val="20"/>
                <w:color w:val="auto"/>
              </w:rPr>
            </w:pPr>
            <w:r>
              <w:rPr>
                <w:rFonts w:ascii="Georgia" w:cs="Georgia" w:eastAsia="Georgia" w:hAnsi="Georgia"/>
                <w:sz w:val="19"/>
                <w:szCs w:val="19"/>
                <w:b w:val="1"/>
                <w:bCs w:val="1"/>
                <w:color w:val="001543"/>
                <w:w w:val="99"/>
              </w:rPr>
              <w:t>Interest Rates of Single-Family Conventional Guaranty</w:t>
            </w:r>
          </w:p>
        </w:tc>
        <w:tc>
          <w:tcPr>
            <w:tcW w:w="4220" w:type="dxa"/>
            <w:vAlign w:val="bottom"/>
          </w:tcPr>
          <w:p>
            <w:pPr>
              <w:spacing w:after="0"/>
              <w:rPr>
                <w:sz w:val="18"/>
                <w:szCs w:val="18"/>
                <w:color w:val="auto"/>
              </w:rPr>
            </w:pPr>
          </w:p>
        </w:tc>
      </w:tr>
      <w:tr>
        <w:trPr>
          <w:trHeight w:val="232"/>
        </w:trPr>
        <w:tc>
          <w:tcPr>
            <w:tcW w:w="5880" w:type="dxa"/>
            <w:vAlign w:val="bottom"/>
          </w:tcPr>
          <w:p>
            <w:pPr>
              <w:jc w:val="center"/>
              <w:ind w:right="486"/>
              <w:spacing w:after="0"/>
              <w:rPr>
                <w:sz w:val="20"/>
                <w:szCs w:val="20"/>
                <w:color w:val="auto"/>
              </w:rPr>
            </w:pPr>
            <w:r>
              <w:rPr>
                <w:rFonts w:ascii="Georgia" w:cs="Georgia" w:eastAsia="Georgia" w:hAnsi="Georgia"/>
                <w:sz w:val="19"/>
                <w:szCs w:val="19"/>
                <w:b w:val="1"/>
                <w:bCs w:val="1"/>
                <w:color w:val="001543"/>
                <w:w w:val="99"/>
              </w:rPr>
              <w:t>Book of Business Compared with the U.S. Weekly</w:t>
            </w:r>
          </w:p>
        </w:tc>
        <w:tc>
          <w:tcPr>
            <w:tcW w:w="4220" w:type="dxa"/>
            <w:vAlign w:val="bottom"/>
          </w:tcPr>
          <w:p>
            <w:pPr>
              <w:spacing w:after="0"/>
              <w:rPr>
                <w:sz w:val="20"/>
                <w:szCs w:val="20"/>
                <w:color w:val="auto"/>
              </w:rPr>
            </w:pPr>
          </w:p>
        </w:tc>
      </w:tr>
      <w:tr>
        <w:trPr>
          <w:trHeight w:val="219"/>
        </w:trPr>
        <w:tc>
          <w:tcPr>
            <w:tcW w:w="5880" w:type="dxa"/>
            <w:vAlign w:val="bottom"/>
          </w:tcPr>
          <w:p>
            <w:pPr>
              <w:jc w:val="center"/>
              <w:ind w:right="486"/>
              <w:spacing w:after="0"/>
              <w:rPr>
                <w:sz w:val="20"/>
                <w:szCs w:val="20"/>
                <w:color w:val="auto"/>
              </w:rPr>
            </w:pPr>
            <w:r>
              <w:rPr>
                <w:rFonts w:ascii="Georgia" w:cs="Georgia" w:eastAsia="Georgia" w:hAnsi="Georgia"/>
                <w:sz w:val="19"/>
                <w:szCs w:val="19"/>
                <w:b w:val="1"/>
                <w:bCs w:val="1"/>
                <w:color w:val="001543"/>
                <w:w w:val="99"/>
              </w:rPr>
              <w:t>Average 30-Year Fixed-Rate Mortgage Rate</w:t>
            </w:r>
          </w:p>
        </w:tc>
        <w:tc>
          <w:tcPr>
            <w:tcW w:w="4220" w:type="dxa"/>
            <w:vAlign w:val="bottom"/>
          </w:tcPr>
          <w:p>
            <w:pPr>
              <w:jc w:val="center"/>
              <w:ind w:left="466"/>
              <w:spacing w:after="0"/>
              <w:rPr>
                <w:sz w:val="20"/>
                <w:szCs w:val="20"/>
                <w:color w:val="auto"/>
              </w:rPr>
            </w:pPr>
            <w:r>
              <w:rPr>
                <w:rFonts w:ascii="Georgia" w:cs="Georgia" w:eastAsia="Georgia" w:hAnsi="Georgia"/>
                <w:sz w:val="19"/>
                <w:szCs w:val="19"/>
                <w:b w:val="1"/>
                <w:bCs w:val="1"/>
                <w:color w:val="05314D"/>
                <w:w w:val="99"/>
              </w:rPr>
              <w:t>Unamortized Deferred Guaranty Fees</w:t>
            </w:r>
          </w:p>
        </w:tc>
      </w:tr>
      <w:tr>
        <w:trPr>
          <w:trHeight w:val="271"/>
        </w:trPr>
        <w:tc>
          <w:tcPr>
            <w:tcW w:w="5880" w:type="dxa"/>
            <w:vAlign w:val="bottom"/>
          </w:tcPr>
          <w:p>
            <w:pPr>
              <w:jc w:val="center"/>
              <w:ind w:right="486"/>
              <w:spacing w:after="0"/>
              <w:rPr>
                <w:sz w:val="20"/>
                <w:szCs w:val="20"/>
                <w:color w:val="auto"/>
              </w:rPr>
            </w:pPr>
            <w:r>
              <w:rPr>
                <w:rFonts w:ascii="Georgia" w:cs="Georgia" w:eastAsia="Georgia" w:hAnsi="Georgia"/>
                <w:sz w:val="19"/>
                <w:szCs w:val="19"/>
                <w:b w:val="1"/>
                <w:bCs w:val="1"/>
                <w:color w:val="05314D"/>
                <w:w w:val="99"/>
              </w:rPr>
              <w:t>As of March 31, 2025</w:t>
            </w:r>
          </w:p>
        </w:tc>
        <w:tc>
          <w:tcPr>
            <w:tcW w:w="4220" w:type="dxa"/>
            <w:vAlign w:val="bottom"/>
          </w:tcPr>
          <w:p>
            <w:pPr>
              <w:jc w:val="center"/>
              <w:ind w:left="466"/>
              <w:spacing w:after="0"/>
              <w:rPr>
                <w:sz w:val="20"/>
                <w:szCs w:val="20"/>
                <w:color w:val="auto"/>
              </w:rPr>
            </w:pPr>
            <w:r>
              <w:rPr>
                <w:rFonts w:ascii="Georgia" w:cs="Georgia" w:eastAsia="Georgia" w:hAnsi="Georgia"/>
                <w:sz w:val="19"/>
                <w:szCs w:val="19"/>
                <w:b w:val="1"/>
                <w:bCs w:val="1"/>
                <w:color w:val="05314D"/>
                <w:w w:val="98"/>
              </w:rPr>
              <w:t>(Dollars in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121920</wp:posOffset>
            </wp:positionV>
            <wp:extent cx="5403215" cy="2120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03215" cy="2120265"/>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spacing w:after="0"/>
        <w:rPr>
          <w:sz w:val="20"/>
          <w:szCs w:val="20"/>
          <w:color w:val="auto"/>
        </w:rPr>
      </w:pPr>
      <w:r>
        <w:rPr>
          <w:rFonts w:ascii="Arial" w:cs="Arial" w:eastAsia="Arial" w:hAnsi="Arial"/>
          <w:sz w:val="124"/>
          <w:szCs w:val="124"/>
          <w:b w:val="1"/>
          <w:bCs w:val="1"/>
          <w:color w:val="FFB400"/>
        </w:rPr>
        <w:t>—</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24"/>
          <w:szCs w:val="124"/>
          <w:b w:val="1"/>
          <w:bCs w:val="1"/>
          <w:color w:val="05314D"/>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94"/>
        </w:trPr>
        <w:tc>
          <w:tcPr>
            <w:tcW w:w="2920" w:type="dxa"/>
            <w:vAlign w:val="bottom"/>
          </w:tcPr>
          <w:p>
            <w:pPr>
              <w:spacing w:after="0"/>
              <w:rPr>
                <w:sz w:val="20"/>
                <w:szCs w:val="20"/>
                <w:color w:val="auto"/>
              </w:rPr>
            </w:pPr>
            <w:r>
              <w:rPr>
                <w:rFonts w:ascii="Arial" w:cs="Arial" w:eastAsia="Arial" w:hAnsi="Arial"/>
                <w:sz w:val="14"/>
                <w:szCs w:val="14"/>
                <w:color w:val="auto"/>
              </w:rPr>
              <w:t>Represents the U.S. weekly average 30-year</w:t>
            </w:r>
          </w:p>
        </w:tc>
        <w:tc>
          <w:tcPr>
            <w:tcW w:w="1520" w:type="dxa"/>
            <w:vAlign w:val="bottom"/>
            <w:vMerge w:val="restart"/>
          </w:tcPr>
          <w:p>
            <w:pPr>
              <w:ind w:left="180"/>
              <w:spacing w:after="0"/>
              <w:rPr>
                <w:sz w:val="20"/>
                <w:szCs w:val="20"/>
                <w:color w:val="auto"/>
              </w:rPr>
            </w:pPr>
            <w:r>
              <w:rPr>
                <w:rFonts w:ascii="Arial" w:cs="Arial" w:eastAsia="Arial" w:hAnsi="Arial"/>
                <w:sz w:val="124"/>
                <w:szCs w:val="124"/>
                <w:b w:val="1"/>
                <w:bCs w:val="1"/>
                <w:color w:val="2C6937"/>
              </w:rPr>
              <w:t>—</w:t>
            </w:r>
          </w:p>
        </w:tc>
        <w:tc>
          <w:tcPr>
            <w:tcW w:w="2880" w:type="dxa"/>
            <w:vAlign w:val="bottom"/>
          </w:tcPr>
          <w:p>
            <w:pPr>
              <w:ind w:left="80"/>
              <w:spacing w:after="0"/>
              <w:rPr>
                <w:sz w:val="20"/>
                <w:szCs w:val="20"/>
                <w:color w:val="auto"/>
              </w:rPr>
            </w:pPr>
            <w:r>
              <w:rPr>
                <w:rFonts w:ascii="Arial" w:cs="Arial" w:eastAsia="Arial" w:hAnsi="Arial"/>
                <w:sz w:val="14"/>
                <w:szCs w:val="14"/>
                <w:color w:val="auto"/>
              </w:rPr>
              <w:t>Represents the net unamortized cost basis</w:t>
            </w:r>
          </w:p>
        </w:tc>
        <w:tc>
          <w:tcPr>
            <w:tcW w:w="0" w:type="dxa"/>
            <w:vAlign w:val="bottom"/>
          </w:tcPr>
          <w:p>
            <w:pPr>
              <w:spacing w:after="0"/>
              <w:rPr>
                <w:sz w:val="1"/>
                <w:szCs w:val="1"/>
                <w:color w:val="auto"/>
              </w:rPr>
            </w:pPr>
          </w:p>
        </w:tc>
      </w:tr>
      <w:tr>
        <w:trPr>
          <w:trHeight w:val="134"/>
        </w:trPr>
        <w:tc>
          <w:tcPr>
            <w:tcW w:w="2920" w:type="dxa"/>
            <w:vAlign w:val="bottom"/>
          </w:tcPr>
          <w:p>
            <w:pPr>
              <w:spacing w:after="0" w:line="135" w:lineRule="exact"/>
              <w:rPr>
                <w:sz w:val="20"/>
                <w:szCs w:val="20"/>
                <w:color w:val="auto"/>
              </w:rPr>
            </w:pPr>
            <w:r>
              <w:rPr>
                <w:rFonts w:ascii="Arial" w:cs="Arial" w:eastAsia="Arial" w:hAnsi="Arial"/>
                <w:sz w:val="14"/>
                <w:szCs w:val="14"/>
                <w:color w:val="auto"/>
              </w:rPr>
              <w:t>fixed-rate mortgage rate as of March 27,</w:t>
            </w:r>
          </w:p>
        </w:tc>
        <w:tc>
          <w:tcPr>
            <w:tcW w:w="1520" w:type="dxa"/>
            <w:vAlign w:val="bottom"/>
            <w:vMerge w:val="continue"/>
          </w:tcPr>
          <w:p>
            <w:pPr>
              <w:spacing w:after="0"/>
              <w:rPr>
                <w:sz w:val="11"/>
                <w:szCs w:val="11"/>
                <w:color w:val="auto"/>
              </w:rPr>
            </w:pPr>
          </w:p>
        </w:tc>
        <w:tc>
          <w:tcPr>
            <w:tcW w:w="2880" w:type="dxa"/>
            <w:vAlign w:val="bottom"/>
          </w:tcPr>
          <w:p>
            <w:pPr>
              <w:ind w:left="80"/>
              <w:spacing w:after="0" w:line="135" w:lineRule="exact"/>
              <w:rPr>
                <w:sz w:val="20"/>
                <w:szCs w:val="20"/>
                <w:color w:val="auto"/>
              </w:rPr>
            </w:pPr>
            <w:r>
              <w:rPr>
                <w:rFonts w:ascii="Arial" w:cs="Arial" w:eastAsia="Arial" w:hAnsi="Arial"/>
                <w:sz w:val="14"/>
                <w:szCs w:val="14"/>
                <w:color w:val="auto"/>
                <w:w w:val="97"/>
              </w:rPr>
              <w:t>adjustment balance that will be amortized and</w:t>
            </w:r>
          </w:p>
        </w:tc>
        <w:tc>
          <w:tcPr>
            <w:tcW w:w="0" w:type="dxa"/>
            <w:vAlign w:val="bottom"/>
          </w:tcPr>
          <w:p>
            <w:pPr>
              <w:spacing w:after="0"/>
              <w:rPr>
                <w:sz w:val="1"/>
                <w:szCs w:val="1"/>
                <w:color w:val="auto"/>
              </w:rPr>
            </w:pPr>
          </w:p>
        </w:tc>
      </w:tr>
      <w:tr>
        <w:trPr>
          <w:trHeight w:val="142"/>
        </w:trPr>
        <w:tc>
          <w:tcPr>
            <w:tcW w:w="2920" w:type="dxa"/>
            <w:vAlign w:val="bottom"/>
          </w:tcPr>
          <w:p>
            <w:pPr>
              <w:spacing w:after="0" w:line="142" w:lineRule="exact"/>
              <w:rPr>
                <w:sz w:val="20"/>
                <w:szCs w:val="20"/>
                <w:color w:val="auto"/>
              </w:rPr>
            </w:pPr>
            <w:r>
              <w:rPr>
                <w:rFonts w:ascii="Arial" w:cs="Arial" w:eastAsia="Arial" w:hAnsi="Arial"/>
                <w:sz w:val="14"/>
                <w:szCs w:val="14"/>
                <w:color w:val="auto"/>
              </w:rPr>
              <w:t>2025, according to Freddie Mac’s Primary</w:t>
            </w:r>
          </w:p>
        </w:tc>
        <w:tc>
          <w:tcPr>
            <w:tcW w:w="1520" w:type="dxa"/>
            <w:vAlign w:val="bottom"/>
            <w:vMerge w:val="continue"/>
          </w:tcPr>
          <w:p>
            <w:pPr>
              <w:spacing w:after="0"/>
              <w:rPr>
                <w:sz w:val="12"/>
                <w:szCs w:val="12"/>
                <w:color w:val="auto"/>
              </w:rPr>
            </w:pPr>
          </w:p>
        </w:tc>
        <w:tc>
          <w:tcPr>
            <w:tcW w:w="2880" w:type="dxa"/>
            <w:vAlign w:val="bottom"/>
          </w:tcPr>
          <w:p>
            <w:pPr>
              <w:ind w:left="80"/>
              <w:spacing w:after="0" w:line="142" w:lineRule="exact"/>
              <w:rPr>
                <w:sz w:val="20"/>
                <w:szCs w:val="20"/>
                <w:color w:val="auto"/>
              </w:rPr>
            </w:pPr>
            <w:r>
              <w:rPr>
                <w:rFonts w:ascii="Arial" w:cs="Arial" w:eastAsia="Arial" w:hAnsi="Arial"/>
                <w:sz w:val="14"/>
                <w:szCs w:val="14"/>
                <w:color w:val="auto"/>
              </w:rPr>
              <w:t>recognized through deferred guaranty fee</w:t>
            </w: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Mortgage Market Survey</w:t>
            </w:r>
            <w:r>
              <w:rPr>
                <w:rFonts w:ascii="Arial" w:cs="Arial" w:eastAsia="Arial" w:hAnsi="Arial"/>
                <w:sz w:val="8"/>
                <w:szCs w:val="8"/>
                <w:color w:val="auto"/>
              </w:rPr>
              <w:t>®</w:t>
            </w:r>
            <w:r>
              <w:rPr>
                <w:rFonts w:ascii="Arial" w:cs="Arial" w:eastAsia="Arial" w:hAnsi="Arial"/>
                <w:sz w:val="14"/>
                <w:szCs w:val="14"/>
                <w:color w:val="auto"/>
              </w:rPr>
              <w:t>, the last published</w:t>
            </w:r>
          </w:p>
        </w:tc>
        <w:tc>
          <w:tcPr>
            <w:tcW w:w="1520" w:type="dxa"/>
            <w:vAlign w:val="bottom"/>
            <w:vMerge w:val="continue"/>
          </w:tcPr>
          <w:p>
            <w:pPr>
              <w:spacing w:after="0"/>
              <w:rPr>
                <w:sz w:val="12"/>
                <w:szCs w:val="12"/>
                <w:color w:val="auto"/>
              </w:rPr>
            </w:pPr>
          </w:p>
        </w:tc>
        <w:tc>
          <w:tcPr>
            <w:tcW w:w="2880" w:type="dxa"/>
            <w:vAlign w:val="bottom"/>
          </w:tcPr>
          <w:p>
            <w:pPr>
              <w:ind w:left="80"/>
              <w:spacing w:after="0" w:line="149" w:lineRule="exact"/>
              <w:rPr>
                <w:sz w:val="20"/>
                <w:szCs w:val="20"/>
                <w:color w:val="auto"/>
              </w:rPr>
            </w:pPr>
            <w:r>
              <w:rPr>
                <w:rFonts w:ascii="Arial" w:cs="Arial" w:eastAsia="Arial" w:hAnsi="Arial"/>
                <w:sz w:val="14"/>
                <w:szCs w:val="14"/>
                <w:color w:val="auto"/>
              </w:rPr>
              <w:t>income over the remaining contractual life of</w:t>
            </w:r>
          </w:p>
        </w:tc>
        <w:tc>
          <w:tcPr>
            <w:tcW w:w="0" w:type="dxa"/>
            <w:vAlign w:val="bottom"/>
          </w:tcPr>
          <w:p>
            <w:pPr>
              <w:spacing w:after="0"/>
              <w:rPr>
                <w:sz w:val="1"/>
                <w:szCs w:val="1"/>
                <w:color w:val="auto"/>
              </w:rPr>
            </w:pPr>
          </w:p>
        </w:tc>
      </w:tr>
      <w:tr>
        <w:trPr>
          <w:trHeight w:val="168"/>
        </w:trPr>
        <w:tc>
          <w:tcPr>
            <w:tcW w:w="2920" w:type="dxa"/>
            <w:vAlign w:val="bottom"/>
            <w:vMerge w:val="restart"/>
          </w:tcPr>
          <w:p>
            <w:pPr>
              <w:spacing w:after="0"/>
              <w:rPr>
                <w:sz w:val="20"/>
                <w:szCs w:val="20"/>
                <w:color w:val="auto"/>
              </w:rPr>
            </w:pPr>
            <w:r>
              <w:rPr>
                <w:rFonts w:ascii="Arial" w:cs="Arial" w:eastAsia="Arial" w:hAnsi="Arial"/>
                <w:sz w:val="14"/>
                <w:szCs w:val="14"/>
                <w:color w:val="auto"/>
              </w:rPr>
              <w:t>rate for the quarter ending March 31, 2025.</w:t>
            </w:r>
          </w:p>
        </w:tc>
        <w:tc>
          <w:tcPr>
            <w:tcW w:w="1520" w:type="dxa"/>
            <w:vAlign w:val="bottom"/>
            <w:vMerge w:val="continue"/>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the mortgage loans or debt.</w:t>
            </w:r>
          </w:p>
        </w:tc>
        <w:tc>
          <w:tcPr>
            <w:tcW w:w="0" w:type="dxa"/>
            <w:vAlign w:val="bottom"/>
          </w:tcPr>
          <w:p>
            <w:pPr>
              <w:spacing w:after="0"/>
              <w:rPr>
                <w:sz w:val="1"/>
                <w:szCs w:val="1"/>
                <w:color w:val="auto"/>
              </w:rPr>
            </w:pPr>
          </w:p>
        </w:tc>
      </w:tr>
      <w:tr>
        <w:trPr>
          <w:trHeight w:val="425"/>
        </w:trPr>
        <w:tc>
          <w:tcPr>
            <w:tcW w:w="292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920" w:type="dxa"/>
            <w:vAlign w:val="bottom"/>
          </w:tcPr>
          <w:p>
            <w:pPr>
              <w:spacing w:after="0"/>
              <w:rPr>
                <w:sz w:val="20"/>
                <w:szCs w:val="20"/>
                <w:color w:val="auto"/>
              </w:rPr>
            </w:pPr>
            <w:r>
              <w:rPr>
                <w:rFonts w:ascii="Arial" w:cs="Arial" w:eastAsia="Arial" w:hAnsi="Arial"/>
                <w:sz w:val="14"/>
                <w:szCs w:val="14"/>
                <w:color w:val="auto"/>
              </w:rPr>
              <w:t>Represents the percentage of single-family</w:t>
            </w:r>
          </w:p>
        </w:tc>
        <w:tc>
          <w:tcPr>
            <w:tcW w:w="1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4"/>
                <w:szCs w:val="14"/>
                <w:color w:val="auto"/>
              </w:rPr>
              <w:t>conventional guaranty book of business by</w:t>
            </w: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4"/>
                <w:szCs w:val="14"/>
                <w:color w:val="auto"/>
              </w:rPr>
              <w:t>select interest rate band based on the</w:t>
            </w: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20"/>
                <w:szCs w:val="20"/>
                <w:color w:val="auto"/>
              </w:rPr>
            </w:pPr>
            <w:r>
              <w:rPr>
                <w:rFonts w:ascii="Arial" w:cs="Arial" w:eastAsia="Arial" w:hAnsi="Arial"/>
                <w:sz w:val="14"/>
                <w:szCs w:val="14"/>
                <w:color w:val="auto"/>
              </w:rPr>
              <w:t>current interest rate of the mortgage loans.</w:t>
            </w:r>
          </w:p>
        </w:tc>
        <w:tc>
          <w:tcPr>
            <w:tcW w:w="15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78" w:lineRule="exact"/>
        <w:rPr>
          <w:sz w:val="20"/>
          <w:szCs w:val="20"/>
          <w:color w:val="auto"/>
        </w:rPr>
      </w:pPr>
    </w:p>
    <w:p>
      <w:pPr>
        <w:sectPr>
          <w:pgSz w:w="11900" w:h="16838" w:orient="portrait"/>
          <w:cols w:equalWidth="0" w:num="2">
            <w:col w:w="2480" w:space="180"/>
            <w:col w:w="8520"/>
          </w:cols>
          <w:pgMar w:left="320" w:top="248" w:right="399" w:bottom="1440" w:gutter="0" w:footer="0" w:header="0"/>
          <w:type w:val="continuous"/>
        </w:sectPr>
      </w:pPr>
    </w:p>
    <w:p>
      <w:pPr>
        <w:spacing w:after="0" w:line="249" w:lineRule="auto"/>
        <w:rPr>
          <w:sz w:val="20"/>
          <w:szCs w:val="20"/>
          <w:color w:val="auto"/>
        </w:rPr>
      </w:pPr>
      <w:r>
        <w:rPr>
          <w:rFonts w:ascii="Arial" w:cs="Arial" w:eastAsia="Arial" w:hAnsi="Arial"/>
          <w:sz w:val="16"/>
          <w:szCs w:val="16"/>
          <w:color w:val="auto"/>
        </w:rPr>
        <w:t>The amount of deferred guaranty fee income we record can vary and is primarily impacted by: (1) the amount of upfront fees we charge on single-family mortgage loans, (2) changes in interest rates, which affect the premiums and discounts we record on newly acquired mortgage loans and newly created debt of consolidated trusts, and (3) the amount by which premiums and discounts on existing loans and debt of consolidated trust are different compared to newly acquired loans and debt. The balance of our unamortized deferred guaranty fees decreased as of March 31, 2025, compared with December 31, 2024, largely as a result of amortization of existing upfront fees on single-family loans. In addition, interest-rate-driven pricing changes in the first quarter of 2025 resulted in net discounts on newly issued MBS debt as prices declined, which further reduced the balance of unamortized deferred guaranty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692785</wp:posOffset>
            </wp:positionV>
            <wp:extent cx="7007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tabs>
          <w:tab w:leader="none" w:pos="11020" w:val="left"/>
        </w:tabs>
        <w:rPr>
          <w:sz w:val="20"/>
          <w:szCs w:val="20"/>
          <w:color w:val="auto"/>
        </w:rPr>
      </w:pPr>
      <w:r>
        <w:rPr>
          <w:rFonts w:ascii="Arial" w:cs="Arial" w:eastAsia="Arial" w:hAnsi="Arial"/>
          <w:sz w:val="14"/>
          <w:szCs w:val="14"/>
          <w:color w:val="05314D"/>
        </w:rPr>
        <w:t>Fannie Mae First Quarter 2025 Form 10-Q</w:t>
      </w:r>
      <w:r>
        <w:rPr>
          <w:sz w:val="20"/>
          <w:szCs w:val="20"/>
          <w:color w:val="auto"/>
        </w:rPr>
        <w:tab/>
      </w:r>
      <w:r>
        <w:rPr>
          <w:rFonts w:ascii="Arial" w:cs="Arial" w:eastAsia="Arial" w:hAnsi="Arial"/>
          <w:sz w:val="14"/>
          <w:szCs w:val="14"/>
          <w:color w:val="05314D"/>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type w:val="continuous"/>
        </w:sectPr>
      </w:pPr>
    </w:p>
    <w:bookmarkStart w:id="11" w:name="page12"/>
    <w:bookmarkEnd w:id="11"/>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Net Interest Income</w:t>
      </w:r>
    </w:p>
    <w:p>
      <w:pPr>
        <w:spacing w:after="0" w:line="80"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The table below displays an analysis of our net interest income, average balances and related yields earned on assets and incurred on liabilities. For most components of the average balances, we use a daily weighted average of unpaid principal balance net of unamortized cost basis adjustments. When daily average balance information is not available, such as for mortgage loans, we use monthly averages.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Analysis of Net Interest Income and Yield</w:t>
      </w:r>
      <w:r>
        <w:rPr>
          <w:rFonts w:ascii="Arial" w:cs="Arial" w:eastAsia="Arial" w:hAnsi="Arial"/>
          <w:sz w:val="24"/>
          <w:szCs w:val="24"/>
          <w:b w:val="1"/>
          <w:bCs w:val="1"/>
          <w:color w:val="05314D"/>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2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1080" w:type="dxa"/>
            <w:vAlign w:val="bottom"/>
            <w:tcBorders>
              <w:top w:val="single" w:sz="8" w:color="2C6937"/>
              <w:bottom w:val="single" w:sz="8" w:color="2C6937"/>
            </w:tcBorders>
          </w:tcPr>
          <w:p>
            <w:pPr>
              <w:spacing w:after="0"/>
              <w:rPr>
                <w:sz w:val="18"/>
                <w:szCs w:val="18"/>
                <w:color w:val="auto"/>
              </w:rPr>
            </w:pPr>
          </w:p>
        </w:tc>
        <w:tc>
          <w:tcPr>
            <w:tcW w:w="2920" w:type="dxa"/>
            <w:vAlign w:val="bottom"/>
            <w:tcBorders>
              <w:top w:val="single" w:sz="8" w:color="2C6937"/>
              <w:bottom w:val="single" w:sz="8" w:color="2C6937"/>
            </w:tcBorders>
            <w:gridSpan w:val="6"/>
          </w:tcPr>
          <w:p>
            <w:pPr>
              <w:jc w:val="center"/>
              <w:spacing w:after="0"/>
              <w:rPr>
                <w:sz w:val="20"/>
                <w:szCs w:val="20"/>
                <w:color w:val="auto"/>
              </w:rPr>
            </w:pPr>
            <w:r>
              <w:rPr>
                <w:rFonts w:ascii="Arial" w:cs="Arial" w:eastAsia="Arial" w:hAnsi="Arial"/>
                <w:sz w:val="15"/>
                <w:szCs w:val="15"/>
                <w:b w:val="1"/>
                <w:bCs w:val="1"/>
                <w:color w:val="auto"/>
              </w:rPr>
              <w:t>For the Three Months Ended March 31,</w:t>
            </w:r>
          </w:p>
        </w:tc>
        <w:tc>
          <w:tcPr>
            <w:tcW w:w="1060" w:type="dxa"/>
            <w:vAlign w:val="bottom"/>
            <w:tcBorders>
              <w:top w:val="single" w:sz="8" w:color="2C6937"/>
              <w:bottom w:val="single" w:sz="8" w:color="2C6937"/>
            </w:tcBorders>
          </w:tcPr>
          <w:p>
            <w:pPr>
              <w:spacing w:after="0"/>
              <w:rPr>
                <w:sz w:val="18"/>
                <w:szCs w:val="18"/>
                <w:color w:val="auto"/>
              </w:rPr>
            </w:pPr>
          </w:p>
        </w:tc>
        <w:tc>
          <w:tcPr>
            <w:tcW w:w="1360" w:type="dxa"/>
            <w:vAlign w:val="bottom"/>
            <w:tcBorders>
              <w:top w:val="single" w:sz="8" w:color="2C6937"/>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2025</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2024</w:t>
            </w:r>
          </w:p>
        </w:tc>
        <w:tc>
          <w:tcPr>
            <w:tcW w:w="1360" w:type="dxa"/>
            <w:vAlign w:val="bottom"/>
            <w:tcBorders>
              <w:bottom w:val="single" w:sz="8" w:color="2C6937"/>
            </w:tcBorders>
          </w:tcPr>
          <w:p>
            <w:pPr>
              <w:spacing w:after="0"/>
              <w:rPr>
                <w:sz w:val="17"/>
                <w:szCs w:val="17"/>
                <w:color w:val="auto"/>
              </w:rPr>
            </w:pPr>
          </w:p>
        </w:tc>
      </w:tr>
      <w:tr>
        <w:trPr>
          <w:trHeight w:val="198"/>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jc w:val="right"/>
              <w:ind w:right="23"/>
              <w:spacing w:after="0"/>
              <w:rPr>
                <w:sz w:val="20"/>
                <w:szCs w:val="20"/>
                <w:color w:val="auto"/>
              </w:rPr>
            </w:pPr>
            <w:r>
              <w:rPr>
                <w:rFonts w:ascii="Arial" w:cs="Arial" w:eastAsia="Arial" w:hAnsi="Arial"/>
                <w:sz w:val="15"/>
                <w:szCs w:val="15"/>
                <w:b w:val="1"/>
                <w:bCs w:val="1"/>
                <w:color w:val="auto"/>
              </w:rPr>
              <w:t>Average Rates</w:t>
            </w:r>
          </w:p>
        </w:tc>
      </w:tr>
      <w:tr>
        <w:trPr>
          <w:trHeight w:val="217"/>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20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rPr>
              <w:t>Earned/Paid</w:t>
            </w:r>
          </w:p>
        </w:tc>
      </w:tr>
      <w:tr>
        <w:trPr>
          <w:trHeight w:val="222"/>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2"/>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(2)</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49,537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540</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4.36 %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46,013</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621</w:t>
            </w:r>
          </w:p>
        </w:tc>
        <w:tc>
          <w:tcPr>
            <w:tcW w:w="1360" w:type="dxa"/>
            <w:vAlign w:val="bottom"/>
          </w:tcPr>
          <w:p>
            <w:pPr>
              <w:jc w:val="right"/>
              <w:spacing w:after="0"/>
              <w:rPr>
                <w:sz w:val="20"/>
                <w:szCs w:val="20"/>
                <w:color w:val="auto"/>
              </w:rPr>
            </w:pPr>
            <w:r>
              <w:rPr>
                <w:rFonts w:ascii="Arial" w:cs="Arial" w:eastAsia="Arial" w:hAnsi="Arial"/>
                <w:sz w:val="15"/>
                <w:szCs w:val="15"/>
                <w:color w:val="auto"/>
              </w:rPr>
              <w:t>5.40 %</w:t>
            </w:r>
          </w:p>
        </w:tc>
      </w:tr>
      <w:tr>
        <w:trPr>
          <w:trHeight w:val="193"/>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5"/>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457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45,582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622</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5.46</w:t>
            </w:r>
          </w:p>
        </w:tc>
      </w:tr>
      <w:tr>
        <w:trPr>
          <w:trHeight w:val="23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81,509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587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53,887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300</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2.23</w:t>
            </w:r>
          </w:p>
        </w:tc>
      </w:tr>
      <w:tr>
        <w:trPr>
          <w:trHeight w:val="204"/>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3"/>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49,919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499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50,797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567</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4.46</w:t>
            </w:r>
          </w:p>
        </w:tc>
      </w:tr>
      <w:tr>
        <w:trPr>
          <w:trHeight w:val="226"/>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4,094,365</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36,900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3.60</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4,094,013</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34,649</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3.39</w:t>
            </w:r>
          </w:p>
        </w:tc>
      </w:tr>
      <w:tr>
        <w:trPr>
          <w:trHeight w:val="239"/>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4,144,284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37,399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4,144,810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35,216</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3.40</w:t>
            </w:r>
          </w:p>
        </w:tc>
      </w:tr>
      <w:tr>
        <w:trPr>
          <w:trHeight w:val="218"/>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2,376</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5.56</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2,354</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39</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6.63</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4,319,012</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39,016</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3.61 %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4,292,646</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36,798</w:t>
            </w:r>
          </w:p>
        </w:tc>
        <w:tc>
          <w:tcPr>
            <w:tcW w:w="1360" w:type="dxa"/>
            <w:vAlign w:val="bottom"/>
          </w:tcPr>
          <w:p>
            <w:pPr>
              <w:jc w:val="right"/>
              <w:spacing w:after="0"/>
              <w:rPr>
                <w:sz w:val="20"/>
                <w:szCs w:val="20"/>
                <w:color w:val="auto"/>
              </w:rPr>
            </w:pPr>
            <w:r>
              <w:rPr>
                <w:rFonts w:ascii="Arial" w:cs="Arial" w:eastAsia="Arial" w:hAnsi="Arial"/>
                <w:sz w:val="15"/>
                <w:szCs w:val="15"/>
                <w:color w:val="auto"/>
              </w:rPr>
              <w:t>3.43 %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9,837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(105)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4.27 %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14,717</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(195)</w:t>
            </w:r>
          </w:p>
        </w:tc>
        <w:tc>
          <w:tcPr>
            <w:tcW w:w="1360" w:type="dxa"/>
            <w:vAlign w:val="bottom"/>
          </w:tcPr>
          <w:p>
            <w:pPr>
              <w:jc w:val="right"/>
              <w:spacing w:after="0"/>
              <w:rPr>
                <w:sz w:val="20"/>
                <w:szCs w:val="20"/>
                <w:color w:val="auto"/>
              </w:rPr>
            </w:pPr>
            <w:r>
              <w:rPr>
                <w:rFonts w:ascii="Arial" w:cs="Arial" w:eastAsia="Arial" w:hAnsi="Arial"/>
                <w:sz w:val="15"/>
                <w:szCs w:val="15"/>
                <w:color w:val="auto"/>
              </w:rPr>
              <w:t>5.30 %</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123,314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(1,238)</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101,996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(919)</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3.60</w:t>
            </w:r>
          </w:p>
        </w:tc>
      </w:tr>
      <w:tr>
        <w:trPr>
          <w:trHeight w:val="226"/>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10.70</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2,641</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(74)</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11.21</w:t>
            </w:r>
          </w:p>
        </w:tc>
      </w:tr>
      <w:tr>
        <w:trPr>
          <w:trHeight w:val="231"/>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135,169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(1,397)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119,354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(1,188)</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3.98</w:t>
            </w:r>
          </w:p>
        </w:tc>
      </w:tr>
      <w:tr>
        <w:trPr>
          <w:trHeight w:val="20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8"/>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4,080,854</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(30,618)</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3.00</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4,088,684</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(28,587)</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2.80</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4,216,023</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(32,015)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3.04 %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4,208,038</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(29,775)</w:t>
            </w:r>
          </w:p>
        </w:tc>
        <w:tc>
          <w:tcPr>
            <w:tcW w:w="1360" w:type="dxa"/>
            <w:vAlign w:val="bottom"/>
          </w:tcPr>
          <w:p>
            <w:pPr>
              <w:jc w:val="right"/>
              <w:spacing w:after="0"/>
              <w:rPr>
                <w:sz w:val="20"/>
                <w:szCs w:val="20"/>
                <w:color w:val="auto"/>
              </w:rPr>
            </w:pPr>
            <w:r>
              <w:rPr>
                <w:rFonts w:ascii="Arial" w:cs="Arial" w:eastAsia="Arial" w:hAnsi="Arial"/>
                <w:sz w:val="15"/>
                <w:szCs w:val="15"/>
                <w:color w:val="auto"/>
              </w:rPr>
              <w:t>2.83 %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106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17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7,001</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7,023</w:t>
            </w:r>
          </w:p>
        </w:tc>
        <w:tc>
          <w:tcPr>
            <w:tcW w:w="1360" w:type="dxa"/>
            <w:vAlign w:val="bottom"/>
          </w:tcPr>
          <w:p>
            <w:pPr>
              <w:jc w:val="right"/>
              <w:spacing w:after="0"/>
              <w:rPr>
                <w:sz w:val="20"/>
                <w:szCs w:val="20"/>
                <w:color w:val="auto"/>
              </w:rPr>
            </w:pPr>
            <w:r>
              <w:rPr>
                <w:rFonts w:ascii="Arial" w:cs="Arial" w:eastAsia="Arial" w:hAnsi="Arial"/>
                <w:sz w:val="15"/>
                <w:szCs w:val="15"/>
                <w:color w:val="auto"/>
              </w:rPr>
              <w:t>0.65 %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 including basis adjustments related to hedge accounting.</w:t>
      </w:r>
    </w:p>
    <w:p>
      <w:pPr>
        <w:spacing w:after="0" w:line="37" w:lineRule="exact"/>
        <w:rPr>
          <w:rFonts w:ascii="Arial" w:cs="Arial" w:eastAsia="Arial" w:hAnsi="Arial"/>
          <w:sz w:val="18"/>
          <w:szCs w:val="18"/>
          <w:color w:val="auto"/>
          <w:vertAlign w:val="superscript"/>
        </w:rPr>
      </w:pPr>
    </w:p>
    <w:p>
      <w:pPr>
        <w:ind w:left="260" w:hanging="257"/>
        <w:spacing w:after="0" w:line="195" w:lineRule="auto"/>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Cash equivalents are composed of overnight reverse repurchase agreements and U.S. Treasuries, if any, that have a maturity at the date of acquisition of three months or less.</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Consists of U.S. Treasuries not classified as cash equivalents and mortgage-related securities.</w:t>
      </w:r>
    </w:p>
    <w:p>
      <w:pPr>
        <w:spacing w:after="0" w:line="25" w:lineRule="exact"/>
        <w:rPr>
          <w:rFonts w:ascii="Arial" w:cs="Arial" w:eastAsia="Arial" w:hAnsi="Arial"/>
          <w:sz w:val="18"/>
          <w:szCs w:val="18"/>
          <w:color w:val="auto"/>
          <w:vertAlign w:val="superscript"/>
        </w:rPr>
      </w:pPr>
    </w:p>
    <w:p>
      <w:pPr>
        <w:ind w:left="240" w:hanging="237"/>
        <w:spacing w:after="0" w:line="255" w:lineRule="auto"/>
        <w:tabs>
          <w:tab w:leader="none" w:pos="216" w:val="left"/>
        </w:tabs>
        <w:numPr>
          <w:ilvl w:val="0"/>
          <w:numId w:val="11"/>
        </w:numPr>
        <w:rPr>
          <w:rFonts w:ascii="Arial" w:cs="Arial" w:eastAsia="Arial" w:hAnsi="Arial"/>
          <w:sz w:val="9"/>
          <w:szCs w:val="9"/>
          <w:color w:val="auto"/>
        </w:rPr>
      </w:pPr>
      <w:r>
        <w:rPr>
          <w:rFonts w:ascii="Arial" w:cs="Arial" w:eastAsia="Arial" w:hAnsi="Arial"/>
          <w:sz w:val="14"/>
          <w:szCs w:val="14"/>
          <w:color w:val="auto"/>
        </w:rPr>
        <w:t>Average balance includes mortgage loans on nonaccrual status. Interest income includes loan fees of $645 million for the first quarter of 2025, compared with $669 million for the first quarter of 2024. Loan fees primarily consist of yield maintenance revenue we recognized on the prepayment of multifamily mortgage loans and the amortization of upfront cash fees exchanged when we acquire the mortgage loan.</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 w:name="page13"/>
    <w:bookmarkEnd w:id="12"/>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(Provision) Benefit for Credit Losses</w:t>
      </w:r>
    </w:p>
    <w:p>
      <w:pPr>
        <w:spacing w:after="0" w:line="6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table below presents our single-family and multifamily benefit or provision for credit losses and the change in expected credit enhancement recoveries. The benefit or provision for credit losses includes our benefit or provision for loan losses, accrued interest receivable losses, our guaranty loss reserves, and credit losses on our available-for-sale (“AFS”) debt securities.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5314D"/>
        </w:rPr>
        <w:t>(Provision) Benefit for Credit Losses and Change in Expected Credit Enhancement Recoveries by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40" w:type="dxa"/>
            <w:vAlign w:val="bottom"/>
            <w:tcBorders>
              <w:top w:val="single" w:sz="8" w:color="2C6937"/>
            </w:tcBorders>
          </w:tcPr>
          <w:p>
            <w:pPr>
              <w:spacing w:after="0"/>
              <w:rPr>
                <w:sz w:val="20"/>
                <w:szCs w:val="20"/>
                <w:color w:val="auto"/>
              </w:rPr>
            </w:pPr>
          </w:p>
        </w:tc>
        <w:tc>
          <w:tcPr>
            <w:tcW w:w="100" w:type="dxa"/>
            <w:vAlign w:val="bottom"/>
            <w:tcBorders>
              <w:top w:val="single" w:sz="8" w:color="2C6937"/>
            </w:tcBorders>
          </w:tcPr>
          <w:p>
            <w:pPr>
              <w:spacing w:after="0"/>
              <w:rPr>
                <w:sz w:val="20"/>
                <w:szCs w:val="20"/>
                <w:color w:val="auto"/>
              </w:rPr>
            </w:pPr>
          </w:p>
        </w:tc>
        <w:tc>
          <w:tcPr>
            <w:tcW w:w="3900" w:type="dxa"/>
            <w:vAlign w:val="bottom"/>
            <w:tcBorders>
              <w:top w:val="single" w:sz="8" w:color="2C6937"/>
              <w:bottom w:val="single" w:sz="8" w:color="2C6937"/>
            </w:tcBorders>
            <w:gridSpan w:val="4"/>
          </w:tcPr>
          <w:p>
            <w:pPr>
              <w:jc w:val="right"/>
              <w:ind w:right="143"/>
              <w:spacing w:after="0"/>
              <w:rPr>
                <w:sz w:val="20"/>
                <w:szCs w:val="20"/>
                <w:color w:val="auto"/>
              </w:rPr>
            </w:pPr>
            <w:r>
              <w:rPr>
                <w:rFonts w:ascii="Arial" w:cs="Arial" w:eastAsia="Arial" w:hAnsi="Arial"/>
                <w:sz w:val="15"/>
                <w:szCs w:val="15"/>
                <w:b w:val="1"/>
                <w:bCs w:val="1"/>
                <w:color w:val="auto"/>
              </w:rPr>
              <w:t>For the Three Months Ended March 31,</w:t>
            </w:r>
          </w:p>
        </w:tc>
        <w:tc>
          <w:tcPr>
            <w:tcW w:w="600" w:type="dxa"/>
            <w:vAlign w:val="bottom"/>
            <w:tcBorders>
              <w:top w:val="single" w:sz="8" w:color="2C6937"/>
              <w:bottom w:val="single" w:sz="8" w:color="2C6937"/>
            </w:tcBorders>
          </w:tcPr>
          <w:p>
            <w:pPr>
              <w:spacing w:after="0"/>
              <w:rPr>
                <w:sz w:val="20"/>
                <w:szCs w:val="20"/>
                <w:color w:val="auto"/>
              </w:rPr>
            </w:pPr>
          </w:p>
        </w:tc>
      </w:tr>
      <w:tr>
        <w:trPr>
          <w:trHeight w:val="229"/>
        </w:trPr>
        <w:tc>
          <w:tcPr>
            <w:tcW w:w="6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2C6937"/>
            </w:tcBorders>
          </w:tcPr>
          <w:p>
            <w:pPr>
              <w:jc w:val="right"/>
              <w:ind w:right="43"/>
              <w:spacing w:after="0"/>
              <w:rPr>
                <w:sz w:val="20"/>
                <w:szCs w:val="20"/>
                <w:color w:val="auto"/>
              </w:rPr>
            </w:pPr>
            <w:r>
              <w:rPr>
                <w:rFonts w:ascii="Arial" w:cs="Arial" w:eastAsia="Arial" w:hAnsi="Arial"/>
                <w:sz w:val="15"/>
                <w:szCs w:val="15"/>
                <w:b w:val="1"/>
                <w:bCs w:val="1"/>
                <w:color w:val="auto"/>
              </w:rPr>
              <w:t>2025</w:t>
            </w:r>
          </w:p>
        </w:tc>
        <w:tc>
          <w:tcPr>
            <w:tcW w:w="8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6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2024</w:t>
            </w:r>
          </w:p>
        </w:tc>
        <w:tc>
          <w:tcPr>
            <w:tcW w:w="600" w:type="dxa"/>
            <w:vAlign w:val="bottom"/>
            <w:tcBorders>
              <w:bottom w:val="single" w:sz="8" w:color="2C6937"/>
            </w:tcBorders>
          </w:tcPr>
          <w:p>
            <w:pPr>
              <w:spacing w:after="0"/>
              <w:rPr>
                <w:sz w:val="19"/>
                <w:szCs w:val="19"/>
                <w:color w:val="auto"/>
              </w:rPr>
            </w:pPr>
          </w:p>
        </w:tc>
      </w:tr>
      <w:tr>
        <w:trPr>
          <w:trHeight w:val="299"/>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00" w:type="dxa"/>
            <w:vAlign w:val="bottom"/>
            <w:gridSpan w:val="3"/>
          </w:tcPr>
          <w:p>
            <w:pPr>
              <w:jc w:val="right"/>
              <w:ind w:right="843"/>
              <w:spacing w:after="0"/>
              <w:rPr>
                <w:sz w:val="20"/>
                <w:szCs w:val="20"/>
                <w:color w:val="auto"/>
              </w:rPr>
            </w:pPr>
            <w:r>
              <w:rPr>
                <w:rFonts w:ascii="Arial" w:cs="Arial" w:eastAsia="Arial" w:hAnsi="Arial"/>
                <w:sz w:val="15"/>
                <w:szCs w:val="15"/>
                <w:b w:val="1"/>
                <w:bCs w:val="1"/>
                <w:color w:val="auto"/>
              </w:rPr>
              <w:t>(Dollars in millions)</w:t>
            </w:r>
          </w:p>
        </w:tc>
        <w:tc>
          <w:tcPr>
            <w:tcW w:w="600" w:type="dxa"/>
            <w:vAlign w:val="bottom"/>
          </w:tcPr>
          <w:p>
            <w:pPr>
              <w:spacing w:after="0"/>
              <w:rPr>
                <w:sz w:val="24"/>
                <w:szCs w:val="24"/>
                <w:color w:val="auto"/>
              </w:rPr>
            </w:pPr>
          </w:p>
        </w:tc>
      </w:tr>
      <w:tr>
        <w:trPr>
          <w:trHeight w:val="309"/>
        </w:trPr>
        <w:tc>
          <w:tcPr>
            <w:tcW w:w="6740" w:type="dxa"/>
            <w:vAlign w:val="bottom"/>
            <w:gridSpan w:val="2"/>
          </w:tcPr>
          <w:p>
            <w:pPr>
              <w:ind w:left="20"/>
              <w:spacing w:after="0"/>
              <w:rPr>
                <w:sz w:val="20"/>
                <w:szCs w:val="20"/>
                <w:color w:val="auto"/>
              </w:rPr>
            </w:pPr>
            <w:r>
              <w:rPr>
                <w:rFonts w:ascii="Arial" w:cs="Arial" w:eastAsia="Arial" w:hAnsi="Arial"/>
                <w:sz w:val="15"/>
                <w:szCs w:val="15"/>
                <w:b w:val="1"/>
                <w:bCs w:val="1"/>
                <w:color w:val="auto"/>
              </w:rPr>
              <w:t>(Provision) benefit for credit losses:</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9"/>
        </w:trPr>
        <w:tc>
          <w:tcPr>
            <w:tcW w:w="6740" w:type="dxa"/>
            <w:vAlign w:val="bottom"/>
            <w:gridSpan w:val="2"/>
          </w:tcPr>
          <w:p>
            <w:pPr>
              <w:ind w:left="20"/>
              <w:spacing w:after="0"/>
              <w:rPr>
                <w:sz w:val="20"/>
                <w:szCs w:val="20"/>
                <w:color w:val="auto"/>
              </w:rPr>
            </w:pPr>
            <w:r>
              <w:rPr>
                <w:rFonts w:ascii="Arial" w:cs="Arial" w:eastAsia="Arial" w:hAnsi="Arial"/>
                <w:sz w:val="15"/>
                <w:szCs w:val="15"/>
                <w:color w:val="auto"/>
              </w:rPr>
              <w:t>Single-family (provision) benefit for credit losses</w:t>
            </w:r>
          </w:p>
        </w:tc>
        <w:tc>
          <w:tcPr>
            <w:tcW w:w="1400" w:type="dxa"/>
            <w:vAlign w:val="bottom"/>
          </w:tcPr>
          <w:p>
            <w:pPr>
              <w:jc w:val="right"/>
              <w:ind w:right="122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19"/>
                <w:szCs w:val="19"/>
                <w:color w:val="auto"/>
              </w:rPr>
            </w:pPr>
          </w:p>
        </w:tc>
        <w:tc>
          <w:tcPr>
            <w:tcW w:w="1600" w:type="dxa"/>
            <w:vAlign w:val="bottom"/>
          </w:tcPr>
          <w:p>
            <w:pPr>
              <w:jc w:val="right"/>
              <w:ind w:right="142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335</w:t>
            </w:r>
          </w:p>
        </w:tc>
      </w:tr>
      <w:tr>
        <w:trPr>
          <w:trHeight w:val="303"/>
        </w:trPr>
        <w:tc>
          <w:tcPr>
            <w:tcW w:w="664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Multifamily (provision) benefit for credit losses</w:t>
            </w:r>
          </w:p>
        </w:tc>
        <w:tc>
          <w:tcPr>
            <w:tcW w:w="100" w:type="dxa"/>
            <w:vAlign w:val="bottom"/>
          </w:tcPr>
          <w:p>
            <w:pPr>
              <w:spacing w:after="0"/>
              <w:rPr>
                <w:sz w:val="24"/>
                <w:szCs w:val="24"/>
                <w:color w:val="auto"/>
              </w:rPr>
            </w:pPr>
          </w:p>
        </w:tc>
        <w:tc>
          <w:tcPr>
            <w:tcW w:w="1400" w:type="dxa"/>
            <w:vAlign w:val="bottom"/>
            <w:tcBorders>
              <w:bottom w:val="single" w:sz="8" w:color="216C2B"/>
            </w:tcBorders>
          </w:tcPr>
          <w:p>
            <w:pPr>
              <w:spacing w:after="0"/>
              <w:rPr>
                <w:sz w:val="24"/>
                <w:szCs w:val="24"/>
                <w:color w:val="auto"/>
              </w:rPr>
            </w:pPr>
          </w:p>
        </w:tc>
        <w:tc>
          <w:tcPr>
            <w:tcW w:w="800" w:type="dxa"/>
            <w:vAlign w:val="bottom"/>
            <w:tcBorders>
              <w:bottom w:val="single" w:sz="8" w:color="216C2B"/>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1600" w:type="dxa"/>
            <w:vAlign w:val="bottom"/>
            <w:tcBorders>
              <w:bottom w:val="single" w:sz="8" w:color="216C2B"/>
            </w:tcBorders>
          </w:tcPr>
          <w:p>
            <w:pPr>
              <w:spacing w:after="0"/>
              <w:rPr>
                <w:sz w:val="24"/>
                <w:szCs w:val="24"/>
                <w:color w:val="auto"/>
              </w:rPr>
            </w:pPr>
          </w:p>
        </w:tc>
        <w:tc>
          <w:tcPr>
            <w:tcW w:w="60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(155)</w:t>
            </w:r>
          </w:p>
        </w:tc>
      </w:tr>
      <w:tr>
        <w:trPr>
          <w:trHeight w:val="302"/>
        </w:trPr>
        <w:tc>
          <w:tcPr>
            <w:tcW w:w="66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(provision) benefit for credit losses</w:t>
            </w:r>
          </w:p>
        </w:tc>
        <w:tc>
          <w:tcPr>
            <w:tcW w:w="100" w:type="dxa"/>
            <w:vAlign w:val="bottom"/>
          </w:tcPr>
          <w:p>
            <w:pPr>
              <w:spacing w:after="0"/>
              <w:rPr>
                <w:sz w:val="24"/>
                <w:szCs w:val="24"/>
                <w:color w:val="auto"/>
              </w:rPr>
            </w:pPr>
          </w:p>
        </w:tc>
        <w:tc>
          <w:tcPr>
            <w:tcW w:w="1400" w:type="dxa"/>
            <w:vAlign w:val="bottom"/>
            <w:tcBorders>
              <w:bottom w:val="single" w:sz="8" w:color="2C6937"/>
            </w:tcBorders>
          </w:tcPr>
          <w:p>
            <w:pPr>
              <w:jc w:val="right"/>
              <w:ind w:right="122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24"/>
                <w:szCs w:val="24"/>
                <w:color w:val="auto"/>
              </w:rPr>
            </w:pPr>
          </w:p>
        </w:tc>
        <w:tc>
          <w:tcPr>
            <w:tcW w:w="1600" w:type="dxa"/>
            <w:vAlign w:val="bottom"/>
            <w:tcBorders>
              <w:bottom w:val="single" w:sz="8" w:color="2C6937"/>
            </w:tcBorders>
          </w:tcPr>
          <w:p>
            <w:pPr>
              <w:jc w:val="right"/>
              <w:ind w:right="142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180</w:t>
            </w:r>
          </w:p>
        </w:tc>
      </w:tr>
      <w:tr>
        <w:trPr>
          <w:trHeight w:val="20"/>
        </w:trPr>
        <w:tc>
          <w:tcPr>
            <w:tcW w:w="6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2C6937"/>
            </w:tcBorders>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r>
      <w:tr>
        <w:trPr>
          <w:trHeight w:val="357"/>
        </w:trPr>
        <w:tc>
          <w:tcPr>
            <w:tcW w:w="674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 in expected credit enhancement recoveries:</w:t>
            </w:r>
            <w:r>
              <w:rPr>
                <w:rFonts w:ascii="Arial" w:cs="Arial" w:eastAsia="Arial" w:hAnsi="Arial"/>
                <w:sz w:val="20"/>
                <w:szCs w:val="20"/>
                <w:b w:val="1"/>
                <w:bCs w:val="1"/>
                <w:color w:val="auto"/>
                <w:vertAlign w:val="superscript"/>
              </w:rPr>
              <w:t>(1)</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9"/>
        </w:trPr>
        <w:tc>
          <w:tcPr>
            <w:tcW w:w="6740" w:type="dxa"/>
            <w:vAlign w:val="bottom"/>
            <w:gridSpan w:val="2"/>
          </w:tcPr>
          <w:p>
            <w:pPr>
              <w:ind w:left="180"/>
              <w:spacing w:after="0"/>
              <w:rPr>
                <w:sz w:val="20"/>
                <w:szCs w:val="20"/>
                <w:color w:val="auto"/>
              </w:rPr>
            </w:pPr>
            <w:r>
              <w:rPr>
                <w:rFonts w:ascii="Arial" w:cs="Arial" w:eastAsia="Arial" w:hAnsi="Arial"/>
                <w:sz w:val="15"/>
                <w:szCs w:val="15"/>
                <w:color w:val="auto"/>
              </w:rPr>
              <w:t>Single-family</w:t>
            </w:r>
          </w:p>
        </w:tc>
        <w:tc>
          <w:tcPr>
            <w:tcW w:w="1400" w:type="dxa"/>
            <w:vAlign w:val="bottom"/>
          </w:tcPr>
          <w:p>
            <w:pPr>
              <w:jc w:val="right"/>
              <w:ind w:right="122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(31)</w:t>
            </w:r>
          </w:p>
        </w:tc>
        <w:tc>
          <w:tcPr>
            <w:tcW w:w="100" w:type="dxa"/>
            <w:vAlign w:val="bottom"/>
          </w:tcPr>
          <w:p>
            <w:pPr>
              <w:spacing w:after="0"/>
              <w:rPr>
                <w:sz w:val="22"/>
                <w:szCs w:val="22"/>
                <w:color w:val="auto"/>
              </w:rPr>
            </w:pPr>
          </w:p>
        </w:tc>
        <w:tc>
          <w:tcPr>
            <w:tcW w:w="1600" w:type="dxa"/>
            <w:vAlign w:val="bottom"/>
          </w:tcPr>
          <w:p>
            <w:pPr>
              <w:jc w:val="right"/>
              <w:ind w:right="142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303"/>
        </w:trPr>
        <w:tc>
          <w:tcPr>
            <w:tcW w:w="6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140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24"/>
                <w:szCs w:val="24"/>
                <w:color w:val="auto"/>
              </w:rPr>
            </w:pPr>
          </w:p>
        </w:tc>
        <w:tc>
          <w:tcPr>
            <w:tcW w:w="1600" w:type="dxa"/>
            <w:vAlign w:val="bottom"/>
            <w:tcBorders>
              <w:bottom w:val="single" w:sz="8" w:color="2C6937"/>
            </w:tcBorders>
          </w:tcPr>
          <w:p>
            <w:pPr>
              <w:spacing w:after="0"/>
              <w:rPr>
                <w:sz w:val="24"/>
                <w:szCs w:val="2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105</w:t>
            </w:r>
          </w:p>
        </w:tc>
      </w:tr>
      <w:tr>
        <w:trPr>
          <w:trHeight w:val="302"/>
        </w:trPr>
        <w:tc>
          <w:tcPr>
            <w:tcW w:w="674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w:t>
            </w:r>
          </w:p>
        </w:tc>
        <w:tc>
          <w:tcPr>
            <w:tcW w:w="1400" w:type="dxa"/>
            <w:vAlign w:val="bottom"/>
          </w:tcPr>
          <w:p>
            <w:pPr>
              <w:jc w:val="right"/>
              <w:ind w:right="122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4"/>
                <w:szCs w:val="24"/>
                <w:color w:val="auto"/>
              </w:rPr>
            </w:pPr>
          </w:p>
        </w:tc>
        <w:tc>
          <w:tcPr>
            <w:tcW w:w="1600" w:type="dxa"/>
            <w:vAlign w:val="bottom"/>
          </w:tcPr>
          <w:p>
            <w:pPr>
              <w:jc w:val="right"/>
              <w:ind w:right="142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0"/>
        </w:trPr>
        <w:tc>
          <w:tcPr>
            <w:tcW w:w="664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226600"/>
              <w:bottom w:val="single" w:sz="8" w:color="226600"/>
            </w:tcBorders>
          </w:tcPr>
          <w:p>
            <w:pPr>
              <w:spacing w:after="0" w:line="20" w:lineRule="exact"/>
              <w:rPr>
                <w:sz w:val="1"/>
                <w:szCs w:val="1"/>
                <w:color w:val="auto"/>
              </w:rPr>
            </w:pPr>
          </w:p>
        </w:tc>
        <w:tc>
          <w:tcPr>
            <w:tcW w:w="80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226600"/>
              <w:bottom w:val="single" w:sz="8" w:color="226600"/>
            </w:tcBorders>
          </w:tcPr>
          <w:p>
            <w:pPr>
              <w:spacing w:after="0" w:line="20" w:lineRule="exact"/>
              <w:rPr>
                <w:sz w:val="1"/>
                <w:szCs w:val="1"/>
                <w:color w:val="auto"/>
              </w:rPr>
            </w:pPr>
          </w:p>
        </w:tc>
        <w:tc>
          <w:tcPr>
            <w:tcW w:w="600" w:type="dxa"/>
            <w:vAlign w:val="bottom"/>
            <w:tcBorders>
              <w:top w:val="single" w:sz="8" w:color="226600"/>
              <w:bottom w:val="single" w:sz="8" w:color="226600"/>
            </w:tcBorders>
          </w:tcPr>
          <w:p>
            <w:pPr>
              <w:spacing w:after="0" w:line="20" w:lineRule="exact"/>
              <w:rPr>
                <w:sz w:val="1"/>
                <w:szCs w:val="1"/>
                <w:color w:val="auto"/>
              </w:rPr>
            </w:pPr>
          </w:p>
        </w:tc>
      </w:tr>
    </w:tbl>
    <w:p>
      <w:pPr>
        <w:spacing w:after="0" w:line="83" w:lineRule="exact"/>
        <w:rPr>
          <w:sz w:val="20"/>
          <w:szCs w:val="20"/>
          <w:color w:val="auto"/>
        </w:rPr>
      </w:pPr>
    </w:p>
    <w:p>
      <w:pPr>
        <w:ind w:left="240" w:right="240" w:hanging="237"/>
        <w:spacing w:after="0" w:line="278" w:lineRule="auto"/>
        <w:tabs>
          <w:tab w:leader="none" w:pos="233" w:val="left"/>
        </w:tabs>
        <w:numPr>
          <w:ilvl w:val="0"/>
          <w:numId w:val="12"/>
        </w:numPr>
        <w:rPr>
          <w:rFonts w:ascii="Arial" w:cs="Arial" w:eastAsia="Arial" w:hAnsi="Arial"/>
          <w:sz w:val="9"/>
          <w:szCs w:val="9"/>
          <w:color w:val="auto"/>
        </w:rPr>
      </w:pPr>
      <w:r>
        <w:rPr>
          <w:rFonts w:ascii="Arial" w:cs="Arial" w:eastAsia="Arial" w:hAnsi="Arial"/>
          <w:sz w:val="14"/>
          <w:szCs w:val="14"/>
          <w:color w:val="auto"/>
        </w:rPr>
        <w:t>Consists of estimated changes in benefits from our freestanding credit enhancements, which are recognized as a component of “Other income (expenses), net” in our condensed consolidated statements of operations and comprehensive income.</w:t>
      </w:r>
    </w:p>
    <w:p>
      <w:pPr>
        <w:spacing w:after="0" w:line="6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(Provision) Benefit for Credit Losses</w:t>
      </w:r>
    </w:p>
    <w:p>
      <w:pPr>
        <w:spacing w:after="0" w:line="8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single-family provision for credit losses of $24 million in the first quarter of 2025 reflected the impact of recent economic uncertainty and improvements in actual and forecasted home price growth.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More specifically, the provision from economic uncertainty was offset by a benefit from actual and forecasted home price growth as described below:</w:t>
      </w:r>
    </w:p>
    <w:p>
      <w:pPr>
        <w:spacing w:after="0" w:line="87" w:lineRule="exact"/>
        <w:rPr>
          <w:sz w:val="20"/>
          <w:szCs w:val="20"/>
          <w:color w:val="auto"/>
        </w:rPr>
      </w:pPr>
    </w:p>
    <w:p>
      <w:pPr>
        <w:ind w:left="620" w:right="280" w:hanging="307"/>
        <w:spacing w:after="0" w:line="293" w:lineRule="auto"/>
        <w:tabs>
          <w:tab w:leader="none" w:pos="612"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Provision from economic uncertainty. </w:t>
      </w:r>
      <w:r>
        <w:rPr>
          <w:rFonts w:ascii="Arial" w:cs="Arial" w:eastAsia="Arial" w:hAnsi="Arial"/>
          <w:sz w:val="16"/>
          <w:szCs w:val="16"/>
          <w:color w:val="auto"/>
        </w:rPr>
        <w:t>During the first quarter of 2025, the impact of economic uncertainty associated with recent trade and fiscal</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led to market volatility, which increased our estimate for credit losses and resulted in a provision.</w:t>
      </w:r>
    </w:p>
    <w:p>
      <w:pPr>
        <w:spacing w:after="0" w:line="27" w:lineRule="exact"/>
        <w:rPr>
          <w:rFonts w:ascii="Arial" w:cs="Arial" w:eastAsia="Arial" w:hAnsi="Arial"/>
          <w:sz w:val="16"/>
          <w:szCs w:val="16"/>
          <w:i w:val="1"/>
          <w:iCs w:val="1"/>
          <w:color w:val="auto"/>
        </w:rPr>
      </w:pPr>
    </w:p>
    <w:p>
      <w:pPr>
        <w:ind w:left="620" w:right="160" w:hanging="307"/>
        <w:spacing w:after="0" w:line="266" w:lineRule="auto"/>
        <w:tabs>
          <w:tab w:leader="none" w:pos="612"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first quarter of 2025, actual home prices appreciated more than originally</w:t>
      </w:r>
      <w:r>
        <w:rPr>
          <w:rFonts w:ascii="Arial" w:cs="Arial" w:eastAsia="Arial" w:hAnsi="Arial"/>
          <w:sz w:val="16"/>
          <w:szCs w:val="16"/>
          <w:i w:val="1"/>
          <w:iCs w:val="1"/>
          <w:color w:val="auto"/>
        </w:rPr>
        <w:t xml:space="preserve"> </w:t>
      </w:r>
      <w:r>
        <w:rPr>
          <w:rFonts w:ascii="Arial" w:cs="Arial" w:eastAsia="Arial" w:hAnsi="Arial"/>
          <w:sz w:val="16"/>
          <w:szCs w:val="16"/>
          <w:color w:val="auto"/>
        </w:rPr>
        <w:t>projected and our forecast of future home prices also improved. Higher home prices decrease the likelihood that loans will default and reduce the amount of losses on loans that default, which impacts our estimate of losses and ultimately reduces our loss reserves and provision for credit losses.</w:t>
      </w:r>
    </w:p>
    <w:p>
      <w:pPr>
        <w:spacing w:after="0" w:line="35"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See “Key Market Economic Indicators” in our 2024 Form 10-K for additional information about how home prices affect our credit loss estimates. See “Key Market Economic Indicators” in this report for a discussion of home price growth and our home price forecast. Also see “Critical Accounting Estimates” in this report for more information about our home price and interest rate forecasts and how they can impact our single-family (provision) benefit for credit losses.</w:t>
      </w:r>
    </w:p>
    <w:p>
      <w:pPr>
        <w:spacing w:after="0" w:line="3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single-family benefit for credit losses in the first quarter of 2024 was primarily driven by a benefit from forecasted home price growth, partially offset by a provision from changes in loan activity and a provision from actual and projected interest rates, as described below:</w:t>
      </w:r>
    </w:p>
    <w:p>
      <w:pPr>
        <w:spacing w:after="0" w:line="15" w:lineRule="exact"/>
        <w:rPr>
          <w:sz w:val="20"/>
          <w:szCs w:val="20"/>
          <w:color w:val="auto"/>
        </w:rPr>
      </w:pPr>
    </w:p>
    <w:p>
      <w:pPr>
        <w:ind w:left="620" w:right="40" w:hanging="307"/>
        <w:spacing w:after="0" w:line="310"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first quarter of 2024, we observed stronger-than-expected forecasted home price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w:t>
      </w:r>
    </w:p>
    <w:p>
      <w:pPr>
        <w:spacing w:after="0" w:line="1" w:lineRule="exact"/>
        <w:rPr>
          <w:rFonts w:ascii="Arial" w:cs="Arial" w:eastAsia="Arial" w:hAnsi="Arial"/>
          <w:sz w:val="16"/>
          <w:szCs w:val="16"/>
          <w:color w:val="auto"/>
        </w:rPr>
      </w:pPr>
    </w:p>
    <w:p>
      <w:pPr>
        <w:ind w:left="620" w:right="20" w:hanging="307"/>
        <w:spacing w:after="0" w:line="266"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changes in loan activity. </w:t>
      </w:r>
      <w:r>
        <w:rPr>
          <w:rFonts w:ascii="Arial" w:cs="Arial" w:eastAsia="Arial" w:hAnsi="Arial"/>
          <w:sz w:val="16"/>
          <w:szCs w:val="16"/>
          <w:color w:val="auto"/>
        </w:rPr>
        <w:t>This includes provision on newly acquired loans and was primarily driven by the credit risk profile of our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2024 single-family acquisitions, which primarily consisted of purchase loans. Purchase loans generally have higher original loan-to-value (“LTV”) ratios than refinance loans; therefore, purchase loans have a higher estimated risk of default and loss severity in the allowance than refinance loans and a correspondingly higher credit loss provision at the time of acquisition.</w:t>
      </w:r>
    </w:p>
    <w:p>
      <w:pPr>
        <w:spacing w:after="0" w:line="48" w:lineRule="exact"/>
        <w:rPr>
          <w:rFonts w:ascii="Arial" w:cs="Arial" w:eastAsia="Arial" w:hAnsi="Arial"/>
          <w:sz w:val="16"/>
          <w:szCs w:val="16"/>
          <w:color w:val="auto"/>
        </w:rPr>
      </w:pPr>
    </w:p>
    <w:p>
      <w:pPr>
        <w:ind w:left="620" w:right="100" w:hanging="307"/>
        <w:spacing w:after="0" w:line="293"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actual and projected interest rates. </w:t>
      </w:r>
      <w:r>
        <w:rPr>
          <w:rFonts w:ascii="Arial" w:cs="Arial" w:eastAsia="Arial" w:hAnsi="Arial"/>
          <w:sz w:val="16"/>
          <w:szCs w:val="16"/>
          <w:color w:val="auto"/>
        </w:rPr>
        <w:t>Actual and projected interest rates increased in the first quarter of 2024 compared with our prior</w:t>
      </w:r>
      <w:r>
        <w:rPr>
          <w:rFonts w:ascii="Arial" w:cs="Arial" w:eastAsia="Arial" w:hAnsi="Arial"/>
          <w:sz w:val="16"/>
          <w:szCs w:val="16"/>
          <w:i w:val="1"/>
          <w:iCs w:val="1"/>
          <w:color w:val="auto"/>
        </w:rPr>
        <w:t xml:space="preserve"> </w:t>
      </w:r>
      <w:r>
        <w:rPr>
          <w:rFonts w:ascii="Arial" w:cs="Arial" w:eastAsia="Arial" w:hAnsi="Arial"/>
          <w:sz w:val="16"/>
          <w:szCs w:val="16"/>
          <w:color w:val="auto"/>
        </w:rPr>
        <w:t>forecast. As mortgage rates increase, we expect a decrease in future</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3" w:name="page14"/>
    <w:bookmarkEnd w:id="13"/>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220"/>
        <w:spacing w:after="0" w:line="293" w:lineRule="auto"/>
        <w:rPr>
          <w:sz w:val="20"/>
          <w:szCs w:val="20"/>
          <w:color w:val="auto"/>
        </w:rPr>
      </w:pPr>
      <w:r>
        <w:rPr>
          <w:rFonts w:ascii="Arial" w:cs="Arial" w:eastAsia="Arial" w:hAnsi="Arial"/>
          <w:sz w:val="16"/>
          <w:szCs w:val="16"/>
          <w:color w:val="auto"/>
        </w:rPr>
        <w:t>prepayments on single-family loans. Lower expected prepayments extend the expected life of the loan, which increases our expectation of credit losses.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(Provision) Benefit for Credit Losses</w:t>
      </w:r>
    </w:p>
    <w:p>
      <w:pPr>
        <w:spacing w:after="0" w:line="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multifamily (provision) benefit for credit losses in the first quarter of 2025 was neutral. Our multifamily allowance for credit losses as of March 31, 2025 includes a component related to economic uncertainty, particularly uncertainty related to multifamily property values.</w:t>
      </w:r>
    </w:p>
    <w:p>
      <w:pPr>
        <w:spacing w:after="0" w:line="1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multifamily provision for credit losses in the first quarter of 2024 was primarily driven by continued declines in actual and projected multifamily property values, which included provision attributable to property value uncertainty, as well as provision due to increases in actual and projected interest rates compared to our prior forecast. Actual multifamily property valuations decreased in the first quarter of 2024 driven by elevated interest rates and higher investor yield requirements. Our forecast of multifamily property value estimated further declines in the near term offset by a long-term improvement. In addition, reduced multifamily market transactions in the first quarter of 2024 had increased uncertainty around multifamily property valuations.</w:t>
      </w:r>
    </w:p>
    <w:p>
      <w:pPr>
        <w:spacing w:after="0" w:line="8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Fair Value Gains (Losses), Net</w:t>
      </w:r>
    </w:p>
    <w:p>
      <w:pPr>
        <w:spacing w:after="0" w:line="63"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estimated fair value of our derivatives, trading securities and other financial instruments carried at fair value may fluctuate substantially from period to period because of changes in interest rates, the yield curve, mortgage and credit spreads and implied volatility, as well as activity related to these financial instruments.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fair value gains and losses.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Fair Value Gains (Losses),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80" w:type="dxa"/>
            <w:vAlign w:val="bottom"/>
            <w:tcBorders>
              <w:top w:val="single" w:sz="8" w:color="2C6937"/>
            </w:tcBorders>
          </w:tcPr>
          <w:p>
            <w:pPr>
              <w:spacing w:after="0"/>
              <w:rPr>
                <w:sz w:val="18"/>
                <w:szCs w:val="18"/>
                <w:color w:val="auto"/>
              </w:rPr>
            </w:pPr>
          </w:p>
        </w:tc>
        <w:tc>
          <w:tcPr>
            <w:tcW w:w="140" w:type="dxa"/>
            <w:vAlign w:val="bottom"/>
            <w:tcBorders>
              <w:top w:val="single" w:sz="8" w:color="2C6937"/>
            </w:tcBorders>
          </w:tcPr>
          <w:p>
            <w:pPr>
              <w:spacing w:after="0"/>
              <w:rPr>
                <w:sz w:val="18"/>
                <w:szCs w:val="18"/>
                <w:color w:val="auto"/>
              </w:rPr>
            </w:pPr>
          </w:p>
        </w:tc>
        <w:tc>
          <w:tcPr>
            <w:tcW w:w="2620" w:type="dxa"/>
            <w:vAlign w:val="bottom"/>
            <w:tcBorders>
              <w:top w:val="single" w:sz="8" w:color="2C6937"/>
              <w:bottom w:val="single" w:sz="8" w:color="2C6937"/>
            </w:tcBorders>
            <w:gridSpan w:val="5"/>
          </w:tcPr>
          <w:p>
            <w:pPr>
              <w:jc w:val="right"/>
              <w:spacing w:after="0"/>
              <w:rPr>
                <w:sz w:val="20"/>
                <w:szCs w:val="20"/>
                <w:color w:val="auto"/>
              </w:rPr>
            </w:pPr>
            <w:r>
              <w:rPr>
                <w:rFonts w:ascii="Arial" w:cs="Arial" w:eastAsia="Arial" w:hAnsi="Arial"/>
                <w:sz w:val="14"/>
                <w:szCs w:val="14"/>
                <w:b w:val="1"/>
                <w:bCs w:val="1"/>
                <w:color w:val="auto"/>
                <w:w w:val="99"/>
              </w:rPr>
              <w:t>For the Three Months Ended March 31,</w:t>
            </w:r>
          </w:p>
        </w:tc>
      </w:tr>
      <w:tr>
        <w:trPr>
          <w:trHeight w:val="186"/>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2C6937"/>
            </w:tcBorders>
          </w:tcPr>
          <w:p>
            <w:pPr>
              <w:spacing w:after="0"/>
              <w:rPr>
                <w:sz w:val="16"/>
                <w:szCs w:val="16"/>
                <w:color w:val="auto"/>
              </w:rPr>
            </w:pPr>
          </w:p>
        </w:tc>
      </w:tr>
      <w:tr>
        <w:trPr>
          <w:trHeight w:val="173"/>
        </w:trPr>
        <w:tc>
          <w:tcPr>
            <w:tcW w:w="8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ind w:left="600"/>
              <w:spacing w:after="0"/>
              <w:rPr>
                <w:sz w:val="20"/>
                <w:szCs w:val="20"/>
                <w:color w:val="auto"/>
              </w:rPr>
            </w:pPr>
            <w:r>
              <w:rPr>
                <w:rFonts w:ascii="Arial" w:cs="Arial" w:eastAsia="Arial" w:hAnsi="Arial"/>
                <w:sz w:val="14"/>
                <w:szCs w:val="14"/>
                <w:b w:val="1"/>
                <w:bCs w:val="1"/>
                <w:color w:val="auto"/>
              </w:rPr>
              <w:t>(Dollars in</w:t>
            </w:r>
          </w:p>
        </w:tc>
        <w:tc>
          <w:tcPr>
            <w:tcW w:w="820" w:type="dxa"/>
            <w:vAlign w:val="bottom"/>
          </w:tcPr>
          <w:p>
            <w:pPr>
              <w:jc w:val="right"/>
              <w:ind w:right="247"/>
              <w:spacing w:after="0"/>
              <w:rPr>
                <w:sz w:val="20"/>
                <w:szCs w:val="20"/>
                <w:color w:val="auto"/>
              </w:rPr>
            </w:pPr>
            <w:r>
              <w:rPr>
                <w:rFonts w:ascii="Arial" w:cs="Arial" w:eastAsia="Arial" w:hAnsi="Arial"/>
                <w:sz w:val="14"/>
                <w:szCs w:val="14"/>
                <w:b w:val="1"/>
                <w:bCs w:val="1"/>
                <w:color w:val="auto"/>
                <w:w w:val="83"/>
              </w:rPr>
              <w:t>millions)</w:t>
            </w:r>
          </w:p>
        </w:tc>
        <w:tc>
          <w:tcPr>
            <w:tcW w:w="420" w:type="dxa"/>
            <w:vAlign w:val="bottom"/>
          </w:tcPr>
          <w:p>
            <w:pPr>
              <w:spacing w:after="0"/>
              <w:rPr>
                <w:sz w:val="15"/>
                <w:szCs w:val="15"/>
                <w:color w:val="auto"/>
              </w:rPr>
            </w:pPr>
          </w:p>
        </w:tc>
      </w:tr>
      <w:tr>
        <w:trPr>
          <w:trHeight w:val="210"/>
        </w:trPr>
        <w:tc>
          <w:tcPr>
            <w:tcW w:w="862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 management derivatives fair value gains (losses) attributable to:</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9"/>
        </w:trPr>
        <w:tc>
          <w:tcPr>
            <w:tcW w:w="8620" w:type="dxa"/>
            <w:vAlign w:val="bottom"/>
            <w:gridSpan w:val="2"/>
          </w:tcPr>
          <w:p>
            <w:pPr>
              <w:ind w:left="180"/>
              <w:spacing w:after="0" w:line="229" w:lineRule="exact"/>
              <w:rPr>
                <w:sz w:val="20"/>
                <w:szCs w:val="20"/>
                <w:color w:val="auto"/>
              </w:rPr>
            </w:pPr>
            <w:r>
              <w:rPr>
                <w:rFonts w:ascii="Arial" w:cs="Arial" w:eastAsia="Arial" w:hAnsi="Arial"/>
                <w:sz w:val="15"/>
                <w:szCs w:val="15"/>
                <w:color w:val="auto"/>
              </w:rPr>
              <w:t>Net contractual interest income (expense) on interest-rate swaps</w:t>
            </w:r>
            <w:r>
              <w:rPr>
                <w:rFonts w:ascii="Arial" w:cs="Arial" w:eastAsia="Arial" w:hAnsi="Arial"/>
                <w:sz w:val="20"/>
                <w:szCs w:val="20"/>
                <w:color w:val="auto"/>
                <w:vertAlign w:val="superscript"/>
              </w:rPr>
              <w:t>(1)</w:t>
            </w:r>
          </w:p>
        </w:tc>
        <w:tc>
          <w:tcPr>
            <w:tcW w:w="820" w:type="dxa"/>
            <w:vAlign w:val="bottom"/>
          </w:tcPr>
          <w:p>
            <w:pPr>
              <w:jc w:val="right"/>
              <w:ind w:right="628"/>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(185)</w:t>
            </w:r>
          </w:p>
        </w:tc>
        <w:tc>
          <w:tcPr>
            <w:tcW w:w="140" w:type="dxa"/>
            <w:vAlign w:val="bottom"/>
          </w:tcPr>
          <w:p>
            <w:pPr>
              <w:spacing w:after="0"/>
              <w:rPr>
                <w:sz w:val="19"/>
                <w:szCs w:val="19"/>
                <w:color w:val="auto"/>
              </w:rPr>
            </w:pPr>
          </w:p>
        </w:tc>
        <w:tc>
          <w:tcPr>
            <w:tcW w:w="820" w:type="dxa"/>
            <w:vAlign w:val="bottom"/>
          </w:tcPr>
          <w:p>
            <w:pPr>
              <w:jc w:val="right"/>
              <w:ind w:right="627"/>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(300)</w:t>
            </w:r>
          </w:p>
        </w:tc>
      </w:tr>
      <w:tr>
        <w:trPr>
          <w:trHeight w:val="197"/>
        </w:trPr>
        <w:tc>
          <w:tcPr>
            <w:tcW w:w="8620" w:type="dxa"/>
            <w:vAlign w:val="bottom"/>
            <w:gridSpan w:val="2"/>
          </w:tcPr>
          <w:p>
            <w:pPr>
              <w:ind w:left="180"/>
              <w:spacing w:after="0"/>
              <w:rPr>
                <w:sz w:val="20"/>
                <w:szCs w:val="20"/>
                <w:color w:val="auto"/>
              </w:rPr>
            </w:pPr>
            <w:r>
              <w:rPr>
                <w:rFonts w:ascii="Arial" w:cs="Arial" w:eastAsia="Arial" w:hAnsi="Arial"/>
                <w:sz w:val="15"/>
                <w:szCs w:val="15"/>
                <w:color w:val="auto"/>
              </w:rPr>
              <w:t>Net change in fair value during the period</w:t>
            </w: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(83)</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633</w:t>
            </w:r>
          </w:p>
        </w:tc>
      </w:tr>
      <w:tr>
        <w:trPr>
          <w:trHeight w:val="217"/>
        </w:trPr>
        <w:tc>
          <w:tcPr>
            <w:tcW w:w="8480" w:type="dxa"/>
            <w:vAlign w:val="bottom"/>
            <w:tcBorders>
              <w:bottom w:val="single" w:sz="8" w:color="2C6937"/>
            </w:tcBorders>
          </w:tcPr>
          <w:p>
            <w:pPr>
              <w:ind w:left="180"/>
              <w:spacing w:after="0" w:line="217" w:lineRule="exact"/>
              <w:rPr>
                <w:sz w:val="20"/>
                <w:szCs w:val="20"/>
                <w:color w:val="auto"/>
              </w:rPr>
            </w:pPr>
            <w:r>
              <w:rPr>
                <w:rFonts w:ascii="Arial" w:cs="Arial" w:eastAsia="Arial" w:hAnsi="Arial"/>
                <w:sz w:val="15"/>
                <w:szCs w:val="15"/>
                <w:color w:val="auto"/>
              </w:rPr>
              <w:t>Impact of hedge accounting</w:t>
            </w:r>
            <w:r>
              <w:rPr>
                <w:rFonts w:ascii="Arial" w:cs="Arial" w:eastAsia="Arial" w:hAnsi="Arial"/>
                <w:sz w:val="20"/>
                <w:szCs w:val="20"/>
                <w:color w:val="auto"/>
                <w:vertAlign w:val="superscript"/>
              </w:rPr>
              <w:t>(2)</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192</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147</w:t>
            </w:r>
          </w:p>
        </w:tc>
      </w:tr>
      <w:tr>
        <w:trPr>
          <w:trHeight w:val="224"/>
        </w:trPr>
        <w:tc>
          <w:tcPr>
            <w:tcW w:w="8620" w:type="dxa"/>
            <w:vAlign w:val="bottom"/>
            <w:gridSpan w:val="2"/>
          </w:tcPr>
          <w:p>
            <w:pPr>
              <w:ind w:left="320"/>
              <w:spacing w:after="0"/>
              <w:rPr>
                <w:sz w:val="20"/>
                <w:szCs w:val="20"/>
                <w:color w:val="auto"/>
              </w:rPr>
            </w:pPr>
            <w:r>
              <w:rPr>
                <w:rFonts w:ascii="Arial" w:cs="Arial" w:eastAsia="Arial" w:hAnsi="Arial"/>
                <w:sz w:val="15"/>
                <w:szCs w:val="15"/>
                <w:color w:val="auto"/>
              </w:rPr>
              <w:t>Risk management derivatives fair value gains (losses), net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(76)</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480</w:t>
            </w:r>
          </w:p>
        </w:tc>
      </w:tr>
      <w:tr>
        <w:trPr>
          <w:trHeight w:val="206"/>
        </w:trPr>
        <w:tc>
          <w:tcPr>
            <w:tcW w:w="862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(242)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207</w:t>
            </w:r>
          </w:p>
        </w:tc>
      </w:tr>
      <w:tr>
        <w:trPr>
          <w:trHeight w:val="208"/>
        </w:trPr>
        <w:tc>
          <w:tcPr>
            <w:tcW w:w="84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w:t>
            </w:r>
          </w:p>
        </w:tc>
      </w:tr>
      <w:tr>
        <w:trPr>
          <w:trHeight w:val="198"/>
        </w:trPr>
        <w:tc>
          <w:tcPr>
            <w:tcW w:w="862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(335)</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672</w:t>
            </w:r>
          </w:p>
        </w:tc>
      </w:tr>
      <w:tr>
        <w:trPr>
          <w:trHeight w:val="206"/>
        </w:trPr>
        <w:tc>
          <w:tcPr>
            <w:tcW w:w="8620" w:type="dxa"/>
            <w:vAlign w:val="bottom"/>
            <w:gridSpan w:val="2"/>
          </w:tcPr>
          <w:p>
            <w:pPr>
              <w:ind w:left="20"/>
              <w:spacing w:after="0"/>
              <w:rPr>
                <w:sz w:val="20"/>
                <w:szCs w:val="20"/>
                <w:color w:val="auto"/>
              </w:rPr>
            </w:pPr>
            <w:r>
              <w:rPr>
                <w:rFonts w:ascii="Arial" w:cs="Arial" w:eastAsia="Arial" w:hAnsi="Arial"/>
                <w:sz w:val="15"/>
                <w:szCs w:val="15"/>
                <w:color w:val="auto"/>
              </w:rPr>
              <w:t>Trading securities gains (losses), net</w:t>
            </w: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654</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(261)</w:t>
            </w:r>
          </w:p>
        </w:tc>
      </w:tr>
      <w:tr>
        <w:trPr>
          <w:trHeight w:val="197"/>
        </w:trPr>
        <w:tc>
          <w:tcPr>
            <w:tcW w:w="8620" w:type="dxa"/>
            <w:vAlign w:val="bottom"/>
            <w:gridSpan w:val="2"/>
          </w:tcPr>
          <w:p>
            <w:pPr>
              <w:ind w:left="20"/>
              <w:spacing w:after="0"/>
              <w:rPr>
                <w:sz w:val="20"/>
                <w:szCs w:val="20"/>
                <w:color w:val="auto"/>
              </w:rPr>
            </w:pPr>
            <w:r>
              <w:rPr>
                <w:rFonts w:ascii="Arial" w:cs="Arial" w:eastAsia="Arial" w:hAnsi="Arial"/>
                <w:sz w:val="15"/>
                <w:szCs w:val="15"/>
                <w:color w:val="auto"/>
              </w:rPr>
              <w:t>Long-term debt fair value gains (losses), net</w:t>
            </w: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(311)</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111</w:t>
            </w:r>
          </w:p>
        </w:tc>
      </w:tr>
      <w:tr>
        <w:trPr>
          <w:trHeight w:val="217"/>
        </w:trPr>
        <w:tc>
          <w:tcPr>
            <w:tcW w:w="8480" w:type="dxa"/>
            <w:vAlign w:val="bottom"/>
            <w:tcBorders>
              <w:bottom w:val="single" w:sz="8" w:color="2C6937"/>
            </w:tcBorders>
          </w:tcPr>
          <w:p>
            <w:pPr>
              <w:ind w:left="20"/>
              <w:spacing w:after="0" w:line="217" w:lineRule="exact"/>
              <w:rPr>
                <w:sz w:val="20"/>
                <w:szCs w:val="20"/>
                <w:color w:val="auto"/>
              </w:rPr>
            </w:pPr>
            <w:r>
              <w:rPr>
                <w:rFonts w:ascii="Arial" w:cs="Arial" w:eastAsia="Arial" w:hAnsi="Arial"/>
                <w:sz w:val="15"/>
                <w:szCs w:val="15"/>
                <w:color w:val="auto"/>
              </w:rPr>
              <w:t>Other, net</w:t>
            </w:r>
            <w:r>
              <w:rPr>
                <w:rFonts w:ascii="Arial" w:cs="Arial" w:eastAsia="Arial" w:hAnsi="Arial"/>
                <w:sz w:val="20"/>
                <w:szCs w:val="20"/>
                <w:color w:val="auto"/>
                <w:vertAlign w:val="superscript"/>
              </w:rPr>
              <w:t>(3)</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115</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w:t>
            </w:r>
          </w:p>
        </w:tc>
      </w:tr>
      <w:tr>
        <w:trPr>
          <w:trHeight w:val="199"/>
        </w:trPr>
        <w:tc>
          <w:tcPr>
            <w:tcW w:w="8620" w:type="dxa"/>
            <w:vAlign w:val="bottom"/>
            <w:gridSpan w:val="2"/>
          </w:tcPr>
          <w:p>
            <w:pPr>
              <w:ind w:left="180"/>
              <w:spacing w:after="0"/>
              <w:rPr>
                <w:sz w:val="20"/>
                <w:szCs w:val="20"/>
                <w:color w:val="auto"/>
              </w:rPr>
            </w:pPr>
            <w:r>
              <w:rPr>
                <w:rFonts w:ascii="Arial" w:cs="Arial" w:eastAsia="Arial" w:hAnsi="Arial"/>
                <w:sz w:val="15"/>
                <w:szCs w:val="15"/>
                <w:color w:val="auto"/>
              </w:rPr>
              <w:t>Fair value gains (losses), net</w:t>
            </w:r>
          </w:p>
        </w:tc>
        <w:tc>
          <w:tcPr>
            <w:tcW w:w="820" w:type="dxa"/>
            <w:vAlign w:val="bottom"/>
          </w:tcPr>
          <w:p>
            <w:pPr>
              <w:jc w:val="right"/>
              <w:ind w:right="628"/>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123</w:t>
            </w:r>
          </w:p>
        </w:tc>
        <w:tc>
          <w:tcPr>
            <w:tcW w:w="140" w:type="dxa"/>
            <w:vAlign w:val="bottom"/>
          </w:tcPr>
          <w:p>
            <w:pPr>
              <w:spacing w:after="0"/>
              <w:rPr>
                <w:sz w:val="17"/>
                <w:szCs w:val="17"/>
                <w:color w:val="auto"/>
              </w:rPr>
            </w:pPr>
          </w:p>
        </w:tc>
        <w:tc>
          <w:tcPr>
            <w:tcW w:w="820" w:type="dxa"/>
            <w:vAlign w:val="bottom"/>
          </w:tcPr>
          <w:p>
            <w:pPr>
              <w:jc w:val="right"/>
              <w:ind w:right="627"/>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480</w:t>
            </w:r>
          </w:p>
        </w:tc>
      </w:tr>
      <w:tr>
        <w:trPr>
          <w:trHeight w:val="20"/>
        </w:trPr>
        <w:tc>
          <w:tcPr>
            <w:tcW w:w="84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r>
    </w:tbl>
    <w:p>
      <w:pPr>
        <w:spacing w:after="0" w:line="109" w:lineRule="exact"/>
        <w:rPr>
          <w:sz w:val="20"/>
          <w:szCs w:val="20"/>
          <w:color w:val="auto"/>
        </w:rPr>
      </w:pPr>
    </w:p>
    <w:p>
      <w:pPr>
        <w:ind w:left="240" w:right="420" w:hanging="237"/>
        <w:spacing w:after="0" w:line="275" w:lineRule="auto"/>
        <w:tabs>
          <w:tab w:leader="none" w:pos="233" w:val="left"/>
        </w:tabs>
        <w:numPr>
          <w:ilvl w:val="0"/>
          <w:numId w:val="15"/>
        </w:numPr>
        <w:rPr>
          <w:rFonts w:ascii="Arial" w:cs="Arial" w:eastAsia="Arial" w:hAnsi="Arial"/>
          <w:sz w:val="9"/>
          <w:szCs w:val="9"/>
          <w:color w:val="auto"/>
        </w:rPr>
      </w:pPr>
      <w:r>
        <w:rPr>
          <w:rFonts w:ascii="Arial" w:cs="Arial" w:eastAsia="Arial" w:hAnsi="Arial"/>
          <w:sz w:val="14"/>
          <w:szCs w:val="14"/>
          <w:color w:val="auto"/>
        </w:rPr>
        <w:t>“Net contractual interest income (expense) on interest-rate swaps” is primarily impacted by changes in interest rates and changes in the composition of our interest-rate swaps portfolio.</w:t>
      </w:r>
    </w:p>
    <w:p>
      <w:pPr>
        <w:spacing w:after="0" w:line="4" w:lineRule="exact"/>
        <w:rPr>
          <w:rFonts w:ascii="Arial" w:cs="Arial" w:eastAsia="Arial" w:hAnsi="Arial"/>
          <w:sz w:val="9"/>
          <w:szCs w:val="9"/>
          <w:color w:val="auto"/>
        </w:rPr>
      </w:pPr>
    </w:p>
    <w:p>
      <w:pPr>
        <w:ind w:left="240" w:right="180" w:hanging="237"/>
        <w:spacing w:after="0" w:line="226"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“Impact of hedge accounting” reflected in this table shows the net gain or loss from swaps in hedging relationships plus any accrued interest during the applicable periods that are recognized in “Net interest income.”</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Consists primarily of fair value gains and losses on mortgage loans held at fair value.</w:t>
      </w:r>
    </w:p>
    <w:p>
      <w:pPr>
        <w:spacing w:after="0" w:line="5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Fair value gains, net in the first quarter of 2025 were driven by gains on fixed-rate trading securities, which were substantially offset by losses on long-term debt of consolidated trusts held at fair value, mortgage commitment derivatives, and risk management derivatives, all of which were primarily due to declining interest rates in the first quarter of 2025. Our hedge accounting program is designed to hedge our exposure to changes in benchmark interest rates and, therefore, offsets a portion of the fair value volatility we would otherwise experience. The fair value gains and losses after the impact of hedge accounting primarily relate to spreads, convexity, and other components that are not effectively captured by our hedge accounting program.</w:t>
      </w:r>
    </w:p>
    <w:p>
      <w:pPr>
        <w:spacing w:after="0" w:line="4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Fair value gains, net in the first quarter of 2024 were primarily driven by gains on risk management derivatives, mortgage commitment derivatives, and long-term debt of consolidated trusts held at fair value, primarily due to increases in interest rates. These gains were partially offset by the impact of declining prices of fixed-rate trading securities, also primarily driven by increasing interest rates.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4" w:name="page15"/>
    <w:bookmarkEnd w:id="14"/>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Legislative Assessments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legislative assessments.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Legislative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8" w:lineRule="exact"/>
        <w:rPr>
          <w:sz w:val="20"/>
          <w:szCs w:val="20"/>
          <w:color w:val="auto"/>
        </w:rPr>
      </w:pPr>
    </w:p>
    <w:p>
      <w:pPr>
        <w:jc w:val="center"/>
        <w:ind w:left="8800"/>
        <w:spacing w:after="0"/>
        <w:rPr>
          <w:sz w:val="20"/>
          <w:szCs w:val="20"/>
          <w:color w:val="auto"/>
        </w:rPr>
      </w:pPr>
      <w:r>
        <w:rPr>
          <w:rFonts w:ascii="Arial" w:cs="Arial" w:eastAsia="Arial" w:hAnsi="Arial"/>
          <w:sz w:val="15"/>
          <w:szCs w:val="15"/>
          <w:b w:val="1"/>
          <w:bCs w:val="1"/>
          <w:color w:val="auto"/>
        </w:rPr>
        <w:t>For the Three Months Ended</w:t>
      </w:r>
    </w:p>
    <w:p>
      <w:pPr>
        <w:jc w:val="center"/>
        <w:ind w:left="8800"/>
        <w:spacing w:after="0"/>
        <w:rPr>
          <w:sz w:val="20"/>
          <w:szCs w:val="20"/>
          <w:color w:val="auto"/>
        </w:rPr>
      </w:pPr>
      <w:r>
        <w:rPr>
          <w:rFonts w:ascii="Arial" w:cs="Arial" w:eastAsia="Arial" w:hAnsi="Arial"/>
          <w:sz w:val="15"/>
          <w:szCs w:val="15"/>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2025</w:t>
            </w:r>
          </w:p>
        </w:tc>
        <w:tc>
          <w:tcPr>
            <w:tcW w:w="360" w:type="dxa"/>
            <w:vAlign w:val="bottom"/>
            <w:tcBorders>
              <w:top w:val="single" w:sz="8" w:color="2C6937"/>
              <w:bottom w:val="single" w:sz="8" w:color="2C6937"/>
            </w:tcBorders>
          </w:tcPr>
          <w:p>
            <w:pPr>
              <w:spacing w:after="0"/>
              <w:rPr>
                <w:sz w:val="17"/>
                <w:szCs w:val="17"/>
                <w:color w:val="auto"/>
              </w:rPr>
            </w:pPr>
          </w:p>
        </w:tc>
        <w:tc>
          <w:tcPr>
            <w:tcW w:w="140" w:type="dxa"/>
            <w:vAlign w:val="bottom"/>
            <w:tcBorders>
              <w:top w:val="single" w:sz="8" w:color="2C6937"/>
              <w:bottom w:val="single" w:sz="8" w:color="2C6937"/>
            </w:tcBorders>
          </w:tcPr>
          <w:p>
            <w:pPr>
              <w:spacing w:after="0"/>
              <w:rPr>
                <w:sz w:val="17"/>
                <w:szCs w:val="17"/>
                <w:color w:val="auto"/>
              </w:rPr>
            </w:pP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2024</w:t>
            </w:r>
          </w:p>
        </w:tc>
        <w:tc>
          <w:tcPr>
            <w:tcW w:w="360" w:type="dxa"/>
            <w:vAlign w:val="bottom"/>
            <w:tcBorders>
              <w:top w:val="single" w:sz="8" w:color="2C6937"/>
              <w:bottom w:val="single" w:sz="8" w:color="2C6937"/>
            </w:tcBorders>
          </w:tcPr>
          <w:p>
            <w:pPr>
              <w:spacing w:after="0"/>
              <w:rPr>
                <w:sz w:val="17"/>
                <w:szCs w:val="17"/>
                <w:color w:val="auto"/>
              </w:rPr>
            </w:pPr>
          </w:p>
        </w:tc>
      </w:tr>
      <w:tr>
        <w:trPr>
          <w:trHeight w:val="207"/>
        </w:trPr>
        <w:tc>
          <w:tcPr>
            <w:tcW w:w="8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4"/>
          </w:tcPr>
          <w:p>
            <w:pPr>
              <w:jc w:val="right"/>
              <w:ind w:right="63"/>
              <w:spacing w:after="0"/>
              <w:rPr>
                <w:sz w:val="20"/>
                <w:szCs w:val="20"/>
                <w:color w:val="auto"/>
              </w:rPr>
            </w:pPr>
            <w:r>
              <w:rPr>
                <w:rFonts w:ascii="Arial" w:cs="Arial" w:eastAsia="Arial" w:hAnsi="Arial"/>
                <w:sz w:val="15"/>
                <w:szCs w:val="15"/>
                <w:b w:val="1"/>
                <w:bCs w:val="1"/>
                <w:color w:val="auto"/>
              </w:rPr>
              <w:t>(Dollars in millions)</w:t>
            </w:r>
          </w:p>
        </w:tc>
        <w:tc>
          <w:tcPr>
            <w:tcW w:w="360" w:type="dxa"/>
            <w:vAlign w:val="bottom"/>
          </w:tcPr>
          <w:p>
            <w:pPr>
              <w:spacing w:after="0"/>
              <w:rPr>
                <w:sz w:val="17"/>
                <w:szCs w:val="17"/>
                <w:color w:val="auto"/>
              </w:rPr>
            </w:pPr>
          </w:p>
        </w:tc>
      </w:tr>
      <w:tr>
        <w:trPr>
          <w:trHeight w:val="238"/>
        </w:trPr>
        <w:tc>
          <w:tcPr>
            <w:tcW w:w="8800" w:type="dxa"/>
            <w:vAlign w:val="bottom"/>
            <w:gridSpan w:val="2"/>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(1)</w:t>
            </w:r>
          </w:p>
        </w:tc>
        <w:tc>
          <w:tcPr>
            <w:tcW w:w="800" w:type="dxa"/>
            <w:vAlign w:val="bottom"/>
          </w:tcPr>
          <w:p>
            <w:pPr>
              <w:jc w:val="right"/>
              <w:ind w:right="603"/>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859</w:t>
            </w:r>
          </w:p>
        </w:tc>
        <w:tc>
          <w:tcPr>
            <w:tcW w:w="140" w:type="dxa"/>
            <w:vAlign w:val="bottom"/>
          </w:tcPr>
          <w:p>
            <w:pPr>
              <w:spacing w:after="0"/>
              <w:rPr>
                <w:sz w:val="20"/>
                <w:szCs w:val="20"/>
                <w:color w:val="auto"/>
              </w:rPr>
            </w:pPr>
          </w:p>
        </w:tc>
        <w:tc>
          <w:tcPr>
            <w:tcW w:w="780" w:type="dxa"/>
            <w:vAlign w:val="bottom"/>
          </w:tcPr>
          <w:p>
            <w:pPr>
              <w:jc w:val="right"/>
              <w:ind w:right="603"/>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860</w:t>
            </w:r>
          </w:p>
        </w:tc>
      </w:tr>
      <w:tr>
        <w:trPr>
          <w:trHeight w:val="219"/>
        </w:trPr>
        <w:tc>
          <w:tcPr>
            <w:tcW w:w="880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FHFA assessments</w:t>
            </w:r>
            <w:r>
              <w:rPr>
                <w:rFonts w:ascii="Arial" w:cs="Arial" w:eastAsia="Arial" w:hAnsi="Arial"/>
                <w:sz w:val="20"/>
                <w:szCs w:val="20"/>
                <w:color w:val="auto"/>
                <w:vertAlign w:val="superscript"/>
              </w:rPr>
              <w:t>(2)</w:t>
            </w:r>
          </w:p>
        </w:tc>
        <w:tc>
          <w:tcPr>
            <w:tcW w:w="800" w:type="dxa"/>
            <w:vAlign w:val="bottom"/>
          </w:tcPr>
          <w:p>
            <w:pPr>
              <w:spacing w:after="0"/>
              <w:rPr>
                <w:sz w:val="19"/>
                <w:szCs w:val="19"/>
                <w:color w:val="auto"/>
              </w:rPr>
            </w:pP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40</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04"/>
        </w:trPr>
        <w:tc>
          <w:tcPr>
            <w:tcW w:w="8800" w:type="dxa"/>
            <w:vAlign w:val="bottom"/>
            <w:gridSpan w:val="2"/>
          </w:tcPr>
          <w:p>
            <w:pPr>
              <w:ind w:left="20"/>
              <w:spacing w:after="0" w:line="205" w:lineRule="exact"/>
              <w:rPr>
                <w:sz w:val="20"/>
                <w:szCs w:val="20"/>
                <w:color w:val="auto"/>
              </w:rPr>
            </w:pPr>
            <w:r>
              <w:rPr>
                <w:rFonts w:ascii="Arial" w:cs="Arial" w:eastAsia="Arial" w:hAnsi="Arial"/>
                <w:sz w:val="15"/>
                <w:szCs w:val="15"/>
                <w:color w:val="auto"/>
              </w:rPr>
              <w:t>Affordable housing allocations:</w:t>
            </w:r>
            <w:r>
              <w:rPr>
                <w:rFonts w:ascii="Arial" w:cs="Arial" w:eastAsia="Arial" w:hAnsi="Arial"/>
                <w:sz w:val="20"/>
                <w:szCs w:val="20"/>
                <w:color w:val="auto"/>
                <w:vertAlign w:val="superscript"/>
              </w:rPr>
              <w:t>(3)</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6"/>
        </w:trPr>
        <w:tc>
          <w:tcPr>
            <w:tcW w:w="8800" w:type="dxa"/>
            <w:vAlign w:val="bottom"/>
            <w:gridSpan w:val="2"/>
          </w:tcPr>
          <w:p>
            <w:pPr>
              <w:ind w:left="120"/>
              <w:spacing w:after="0"/>
              <w:rPr>
                <w:sz w:val="20"/>
                <w:szCs w:val="20"/>
                <w:color w:val="auto"/>
              </w:rPr>
            </w:pPr>
            <w:r>
              <w:rPr>
                <w:rFonts w:ascii="Arial" w:cs="Arial" w:eastAsia="Arial" w:hAnsi="Arial"/>
                <w:sz w:val="15"/>
                <w:szCs w:val="15"/>
                <w:color w:val="auto"/>
              </w:rPr>
              <w:t>Treasury’s Capital Magnet Fund</w:t>
            </w:r>
          </w:p>
        </w:tc>
        <w:tc>
          <w:tcPr>
            <w:tcW w:w="800" w:type="dxa"/>
            <w:vAlign w:val="bottom"/>
          </w:tcPr>
          <w:p>
            <w:pPr>
              <w:spacing w:after="0"/>
              <w:rPr>
                <w:sz w:val="17"/>
                <w:szCs w:val="17"/>
                <w:color w:val="auto"/>
              </w:rPr>
            </w:pP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11</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08"/>
        </w:trPr>
        <w:tc>
          <w:tcPr>
            <w:tcW w:w="866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HUD’s Housing Trust Fund</w:t>
            </w:r>
          </w:p>
        </w:tc>
        <w:tc>
          <w:tcPr>
            <w:tcW w:w="140" w:type="dxa"/>
            <w:vAlign w:val="bottom"/>
          </w:tcPr>
          <w:p>
            <w:pPr>
              <w:spacing w:after="0"/>
              <w:rPr>
                <w:sz w:val="18"/>
                <w:szCs w:val="18"/>
                <w:color w:val="auto"/>
              </w:rPr>
            </w:pPr>
          </w:p>
        </w:tc>
        <w:tc>
          <w:tcPr>
            <w:tcW w:w="80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21</w:t>
            </w:r>
          </w:p>
        </w:tc>
        <w:tc>
          <w:tcPr>
            <w:tcW w:w="140" w:type="dxa"/>
            <w:vAlign w:val="bottom"/>
          </w:tcPr>
          <w:p>
            <w:pPr>
              <w:spacing w:after="0"/>
              <w:rPr>
                <w:sz w:val="18"/>
                <w:szCs w:val="18"/>
                <w:color w:val="auto"/>
              </w:rPr>
            </w:pPr>
          </w:p>
        </w:tc>
        <w:tc>
          <w:tcPr>
            <w:tcW w:w="78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r>
      <w:tr>
        <w:trPr>
          <w:trHeight w:val="199"/>
        </w:trPr>
        <w:tc>
          <w:tcPr>
            <w:tcW w:w="866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affordable housing allocations</w:t>
            </w:r>
          </w:p>
        </w:tc>
        <w:tc>
          <w:tcPr>
            <w:tcW w:w="140" w:type="dxa"/>
            <w:vAlign w:val="bottom"/>
          </w:tcPr>
          <w:p>
            <w:pPr>
              <w:spacing w:after="0"/>
              <w:rPr>
                <w:sz w:val="17"/>
                <w:szCs w:val="17"/>
                <w:color w:val="auto"/>
              </w:rPr>
            </w:pPr>
          </w:p>
        </w:tc>
        <w:tc>
          <w:tcPr>
            <w:tcW w:w="80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32</w:t>
            </w:r>
          </w:p>
        </w:tc>
        <w:tc>
          <w:tcPr>
            <w:tcW w:w="140" w:type="dxa"/>
            <w:vAlign w:val="bottom"/>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w:t>
            </w:r>
          </w:p>
        </w:tc>
      </w:tr>
      <w:tr>
        <w:trPr>
          <w:trHeight w:val="199"/>
        </w:trPr>
        <w:tc>
          <w:tcPr>
            <w:tcW w:w="8800" w:type="dxa"/>
            <w:vAlign w:val="bottom"/>
            <w:gridSpan w:val="2"/>
          </w:tcPr>
          <w:p>
            <w:pPr>
              <w:ind w:left="20"/>
              <w:spacing w:after="0"/>
              <w:rPr>
                <w:sz w:val="20"/>
                <w:szCs w:val="20"/>
                <w:color w:val="auto"/>
              </w:rPr>
            </w:pPr>
            <w:r>
              <w:rPr>
                <w:rFonts w:ascii="Arial" w:cs="Arial" w:eastAsia="Arial" w:hAnsi="Arial"/>
                <w:sz w:val="15"/>
                <w:szCs w:val="15"/>
                <w:color w:val="auto"/>
              </w:rPr>
              <w:t>Total legislative assessments</w:t>
            </w:r>
          </w:p>
        </w:tc>
        <w:tc>
          <w:tcPr>
            <w:tcW w:w="800" w:type="dxa"/>
            <w:vAlign w:val="bottom"/>
          </w:tcPr>
          <w:p>
            <w:pPr>
              <w:jc w:val="right"/>
              <w:ind w:right="603"/>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931</w:t>
            </w:r>
          </w:p>
        </w:tc>
        <w:tc>
          <w:tcPr>
            <w:tcW w:w="140" w:type="dxa"/>
            <w:vAlign w:val="bottom"/>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930</w:t>
            </w:r>
          </w:p>
        </w:tc>
      </w:tr>
      <w:tr>
        <w:trPr>
          <w:trHeight w:val="20"/>
        </w:trPr>
        <w:tc>
          <w:tcPr>
            <w:tcW w:w="86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r>
    </w:tbl>
    <w:p>
      <w:pPr>
        <w:spacing w:after="0" w:line="186" w:lineRule="exact"/>
        <w:rPr>
          <w:sz w:val="20"/>
          <w:szCs w:val="20"/>
          <w:color w:val="auto"/>
        </w:rPr>
      </w:pPr>
    </w:p>
    <w:p>
      <w:pPr>
        <w:ind w:left="240" w:right="40" w:hanging="237"/>
        <w:spacing w:after="0" w:line="226" w:lineRule="auto"/>
        <w:tabs>
          <w:tab w:leader="none" w:pos="233"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TCCA fees are expenses recognized as a result of the 10 basis point increase in guaranty fees on all single-family mortgages delivered to us on or after April 1, 2012 pursuant to the Temporary Payroll Tax Cut Continuation Act of 2011 and as extended by the Infrastructure Investment and Jobs Act, which we pay to Treasury.</w:t>
      </w:r>
    </w:p>
    <w:p>
      <w:pPr>
        <w:spacing w:after="0" w:line="27" w:lineRule="exact"/>
        <w:rPr>
          <w:rFonts w:ascii="Arial" w:cs="Arial" w:eastAsia="Arial" w:hAnsi="Arial"/>
          <w:sz w:val="18"/>
          <w:szCs w:val="18"/>
          <w:color w:val="auto"/>
          <w:vertAlign w:val="superscript"/>
        </w:rPr>
      </w:pPr>
    </w:p>
    <w:p>
      <w:pPr>
        <w:ind w:left="240" w:right="100" w:hanging="237"/>
        <w:spacing w:after="0" w:line="218" w:lineRule="auto"/>
        <w:tabs>
          <w:tab w:leader="none" w:pos="233"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FHFA assessments are expenses relating to our obligation under the Federal Housing Enterprises Financial Safety and Soundness Act of 1992, as amended (the “GSE Act”) to pay FHFA to cover a portion of its costs, expenses and working capital.</w:t>
      </w:r>
    </w:p>
    <w:p>
      <w:pPr>
        <w:spacing w:after="0" w:line="26" w:lineRule="exact"/>
        <w:rPr>
          <w:rFonts w:ascii="Arial" w:cs="Arial" w:eastAsia="Arial" w:hAnsi="Arial"/>
          <w:sz w:val="18"/>
          <w:szCs w:val="18"/>
          <w:color w:val="auto"/>
          <w:vertAlign w:val="superscript"/>
        </w:rPr>
      </w:pPr>
    </w:p>
    <w:p>
      <w:pPr>
        <w:ind w:left="240" w:right="20" w:hanging="237"/>
        <w:spacing w:after="0" w:line="257" w:lineRule="auto"/>
        <w:tabs>
          <w:tab w:leader="none" w:pos="233" w:val="left"/>
        </w:tabs>
        <w:numPr>
          <w:ilvl w:val="0"/>
          <w:numId w:val="16"/>
        </w:numPr>
        <w:rPr>
          <w:rFonts w:ascii="Arial" w:cs="Arial" w:eastAsia="Arial" w:hAnsi="Arial"/>
          <w:sz w:val="9"/>
          <w:szCs w:val="9"/>
          <w:color w:val="auto"/>
        </w:rPr>
      </w:pPr>
      <w:r>
        <w:rPr>
          <w:rFonts w:ascii="Arial" w:cs="Arial" w:eastAsia="Arial" w:hAnsi="Arial"/>
          <w:sz w:val="14"/>
          <w:szCs w:val="14"/>
          <w:color w:val="auto"/>
        </w:rPr>
        <w:t>Affordable housing allocations relates to the GSE Act requirement to set aside each year an amount equal to 4.2 basis points of the unpaid principal balance of our new business purchases and to pay this amount to specified U.S. Department of Housing and Urban Development (“HUD”) and Treasury funds in support of affordable housing. In March 2025, we paid $160 million to the funds based on our new business purchases in 2024. For the first quarter of 2025, we recognized an expense of $32 million related to this obligation based on $76.0 billion in new business purchases during the period. We expect to pay this amount to the funds in 2026, plus additional amounts to be accrued based on our new business purchases in the remaining nine months of 2025.</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5" w:name="page16"/>
    <w:bookmarkEnd w:id="15"/>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section discusses our condensed consolidated balance sheets and should be read together with our condensed consolidated financial statements and the accompanying notes.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2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1740" w:type="dxa"/>
            <w:vAlign w:val="bottom"/>
            <w:tcBorders>
              <w:top w:val="single" w:sz="8" w:color="2C6937"/>
              <w:bottom w:val="single" w:sz="8" w:color="2C6937"/>
            </w:tcBorders>
            <w:gridSpan w:val="3"/>
          </w:tcPr>
          <w:p>
            <w:pPr>
              <w:jc w:val="right"/>
              <w:ind w:right="186"/>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March 31, 2025</w:t>
            </w:r>
          </w:p>
        </w:tc>
        <w:tc>
          <w:tcPr>
            <w:tcW w:w="150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ind w:right="34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82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39,352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Cash and cash equivalents</w:t>
            </w:r>
          </w:p>
        </w:tc>
        <w:tc>
          <w:tcPr>
            <w:tcW w:w="16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38,853</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Restricted cash and cash equivalents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38,445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39,958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(1,513)</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Securities purchased under agreements to resell</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31,769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15,975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15,794</w:t>
            </w:r>
          </w:p>
        </w:tc>
        <w:tc>
          <w:tcPr>
            <w:tcW w:w="0" w:type="dxa"/>
            <w:vAlign w:val="bottom"/>
          </w:tcPr>
          <w:p>
            <w:pPr>
              <w:spacing w:after="0"/>
              <w:rPr>
                <w:sz w:val="1"/>
                <w:szCs w:val="1"/>
                <w:color w:val="auto"/>
              </w:rPr>
            </w:pPr>
          </w:p>
        </w:tc>
      </w:tr>
      <w:tr>
        <w:trPr>
          <w:trHeight w:val="208"/>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79,347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79,197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Mortgage loans: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48,200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50,408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(2,208)</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4,086,508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4,095,305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(8,797)</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(7,532)</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(7,707)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198"/>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Mortgage loans, net of allowance for loan losses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4,127,176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4,138,006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(10,830)</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Deferred tax assets, net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10,453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10,545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27,167</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27,197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2C6937"/>
            </w:tcBorders>
          </w:tcPr>
          <w:p>
            <w:pPr>
              <w:ind w:left="600"/>
              <w:spacing w:after="0"/>
              <w:rPr>
                <w:sz w:val="20"/>
                <w:szCs w:val="20"/>
                <w:color w:val="auto"/>
              </w:rPr>
            </w:pPr>
            <w:r>
              <w:rPr>
                <w:rFonts w:ascii="Arial" w:cs="Arial" w:eastAsia="Arial" w:hAnsi="Arial"/>
                <w:sz w:val="15"/>
                <w:szCs w:val="15"/>
                <w:color w:val="auto"/>
              </w:rPr>
              <w:t>Total assets</w:t>
            </w:r>
          </w:p>
        </w:tc>
        <w:tc>
          <w:tcPr>
            <w:tcW w:w="10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4,353,709</w:t>
            </w:r>
          </w:p>
        </w:tc>
        <w:tc>
          <w:tcPr>
            <w:tcW w:w="120" w:type="dxa"/>
            <w:vAlign w:val="bottom"/>
          </w:tcPr>
          <w:p>
            <w:pPr>
              <w:spacing w:after="0"/>
              <w:rPr>
                <w:sz w:val="17"/>
                <w:szCs w:val="17"/>
                <w:color w:val="auto"/>
              </w:rPr>
            </w:pPr>
          </w:p>
        </w:tc>
        <w:tc>
          <w:tcPr>
            <w:tcW w:w="380" w:type="dxa"/>
            <w:vAlign w:val="bottom"/>
            <w:tcBorders>
              <w:bottom w:val="single" w:sz="8" w:color="2C6937"/>
            </w:tcBorders>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4,349,731</w:t>
            </w:r>
          </w:p>
        </w:tc>
        <w:tc>
          <w:tcPr>
            <w:tcW w:w="100" w:type="dxa"/>
            <w:vAlign w:val="bottom"/>
          </w:tcPr>
          <w:p>
            <w:pPr>
              <w:spacing w:after="0"/>
              <w:rPr>
                <w:sz w:val="17"/>
                <w:szCs w:val="17"/>
                <w:color w:val="auto"/>
              </w:rPr>
            </w:pPr>
          </w:p>
        </w:tc>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3,978</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20" w:type="dxa"/>
            <w:vAlign w:val="bottom"/>
            <w:tcBorders>
              <w:top w:val="single" w:sz="8" w:color="2C6937"/>
            </w:tcBorders>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0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24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Debt:</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136,818</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139,422</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(2,604)</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4,091,840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4,088,675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3,165</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26,739</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26,977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198"/>
        </w:trPr>
        <w:tc>
          <w:tcPr>
            <w:tcW w:w="6820" w:type="dxa"/>
            <w:vAlign w:val="bottom"/>
            <w:gridSpan w:val="2"/>
          </w:tcPr>
          <w:p>
            <w:pPr>
              <w:ind w:left="140"/>
              <w:spacing w:after="0"/>
              <w:rPr>
                <w:sz w:val="20"/>
                <w:szCs w:val="20"/>
                <w:color w:val="auto"/>
              </w:rPr>
            </w:pPr>
            <w:r>
              <w:rPr>
                <w:rFonts w:ascii="Arial" w:cs="Arial" w:eastAsia="Arial" w:hAnsi="Arial"/>
                <w:sz w:val="15"/>
                <w:szCs w:val="15"/>
                <w:color w:val="auto"/>
              </w:rPr>
              <w:t>Total liabilities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4,255,397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4,255,074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323</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stockholders’ equity</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98,312</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94,657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3,655</w:t>
            </w:r>
          </w:p>
        </w:tc>
        <w:tc>
          <w:tcPr>
            <w:tcW w:w="0" w:type="dxa"/>
            <w:vAlign w:val="bottom"/>
          </w:tcPr>
          <w:p>
            <w:pPr>
              <w:spacing w:after="0"/>
              <w:rPr>
                <w:sz w:val="1"/>
                <w:szCs w:val="1"/>
                <w:color w:val="auto"/>
              </w:rPr>
            </w:pPr>
          </w:p>
        </w:tc>
      </w:tr>
      <w:tr>
        <w:trPr>
          <w:trHeight w:val="199"/>
        </w:trPr>
        <w:tc>
          <w:tcPr>
            <w:tcW w:w="6820" w:type="dxa"/>
            <w:vAlign w:val="bottom"/>
            <w:gridSpan w:val="2"/>
          </w:tcPr>
          <w:p>
            <w:pPr>
              <w:ind w:left="600"/>
              <w:spacing w:after="0"/>
              <w:rPr>
                <w:sz w:val="20"/>
                <w:szCs w:val="20"/>
                <w:color w:val="auto"/>
              </w:rPr>
            </w:pPr>
            <w:r>
              <w:rPr>
                <w:rFonts w:ascii="Arial" w:cs="Arial" w:eastAsia="Arial" w:hAnsi="Arial"/>
                <w:sz w:val="15"/>
                <w:szCs w:val="15"/>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4,353,709</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4,349,731</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3,978</w:t>
            </w:r>
          </w:p>
        </w:tc>
        <w:tc>
          <w:tcPr>
            <w:tcW w:w="0" w:type="dxa"/>
            <w:vAlign w:val="bottom"/>
          </w:tcPr>
          <w:p>
            <w:pPr>
              <w:spacing w:after="0"/>
              <w:rPr>
                <w:sz w:val="1"/>
                <w:szCs w:val="1"/>
                <w:color w:val="auto"/>
              </w:rPr>
            </w:pPr>
          </w:p>
        </w:tc>
      </w:tr>
      <w:tr>
        <w:trPr>
          <w:trHeight w:val="20"/>
        </w:trPr>
        <w:tc>
          <w:tcPr>
            <w:tcW w:w="6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Securities Purchased Under Agreements to Resell</w:t>
      </w:r>
    </w:p>
    <w:p>
      <w:pPr>
        <w:spacing w:after="0" w:line="6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increase in securities purchased under agreements to resell, from December 31, 2024 to March 31, 2025, was primarily due to the reinvestment of proceeds from sales of MBS securities held in our retained mortgage portfolio. See “Liquidity and Capital Management—Liquidity Management—Corporate Liquidity Portfolio” for additional information.</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Mortgage Loans, Net of Allowance for Loan Losses</w:t>
      </w:r>
    </w:p>
    <w:p>
      <w:pPr>
        <w:spacing w:after="0" w:line="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mortgage loans reported in our condensed consolidated balance sheets are classified as either held for sale (“HFS”) or held for investment (“HFI”) and include loans owned by Fannie Mae and loans held in consolidated trusts.</w:t>
      </w:r>
    </w:p>
    <w:p>
      <w:pPr>
        <w:spacing w:after="0" w:line="15"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Mortgage loans, net of allowance for loan losses decreased from December 31, 2024 to March 31, 2025, driven primarily by loan paydowns and liquidations outpacing acquisitions during the first quarter of 2025.</w:t>
      </w:r>
    </w:p>
    <w:p>
      <w:pPr>
        <w:spacing w:after="0" w:line="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additional information on our mortgage loans, see “Note 4, Mortgage Loans,” and for additional information on changes in our allowance for loan losses, see “Note 5, Allowance for Loan Losses.”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Debt</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decrease in debt of Fannie Mae from December 31, 2024 to March 31, 2025 was due to redemptions outpacing new issuances. The increase in debt of consolidated trusts from December 31, 2024 to March 31, 2025 was primarily driven by sales of Fannie Mae MBS held in our retained mortgage portfolio. See “Liquidity and Capital Management—Liquidity Management—Debt Funding” for a summary of activity in debt of Fannie Mae and information on our outstanding short-term and long-term debt. Also see “Note 8, Short-Term and Long-Term Debt” for additional information on our total outstanding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6" w:name="page17"/>
    <w:bookmarkEnd w:id="16"/>
    <w:p>
      <w:pPr>
        <w:ind w:left="900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Our retained mortgage portfolio consists of mortgage loans and mortgage-related securities that we own, including Fannie Mae MBS and non-Fannie Mae mortgage-related securities. Assets held by consolidated MBS trusts that back mortgage-related securities owned by third parties are not included in our retained mortgage portfolio.</w:t>
      </w:r>
    </w:p>
    <w:p>
      <w:pPr>
        <w:spacing w:after="0" w:line="4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use our retained mortgage portfolio primarily to provide liquidity to the mortgage market through portfolio securitization transactions and to support our loss mitigation activities.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We classify our retained mortgage portfolio into three categories:</w:t>
      </w:r>
    </w:p>
    <w:p>
      <w:pPr>
        <w:spacing w:after="0" w:line="61" w:lineRule="exact"/>
        <w:rPr>
          <w:sz w:val="20"/>
          <w:szCs w:val="20"/>
          <w:color w:val="auto"/>
        </w:rPr>
      </w:pPr>
    </w:p>
    <w:p>
      <w:pPr>
        <w:ind w:left="620" w:right="320" w:hanging="307"/>
        <w:spacing w:after="0" w:line="293" w:lineRule="auto"/>
        <w:tabs>
          <w:tab w:leader="none" w:pos="612"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Lender liquidity </w:t>
      </w:r>
      <w:r>
        <w:rPr>
          <w:rFonts w:ascii="Arial" w:cs="Arial" w:eastAsia="Arial" w:hAnsi="Arial"/>
          <w:sz w:val="16"/>
          <w:szCs w:val="16"/>
          <w:color w:val="auto"/>
        </w:rPr>
        <w:t>includes balances related to our portfolio securitization activity, which supports our efforts to provide liquidity to the single-family</w:t>
      </w:r>
      <w:r>
        <w:rPr>
          <w:rFonts w:ascii="Arial" w:cs="Arial" w:eastAsia="Arial" w:hAnsi="Arial"/>
          <w:sz w:val="16"/>
          <w:szCs w:val="16"/>
          <w:i w:val="1"/>
          <w:iCs w:val="1"/>
          <w:color w:val="auto"/>
        </w:rPr>
        <w:t xml:space="preserve"> </w:t>
      </w:r>
      <w:r>
        <w:rPr>
          <w:rFonts w:ascii="Arial" w:cs="Arial" w:eastAsia="Arial" w:hAnsi="Arial"/>
          <w:sz w:val="16"/>
          <w:szCs w:val="16"/>
          <w:color w:val="auto"/>
        </w:rPr>
        <w:t>and multifamily mortgage markets.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Loss mitigation </w:t>
      </w:r>
      <w:r>
        <w:rPr>
          <w:rFonts w:ascii="Arial" w:cs="Arial" w:eastAsia="Arial" w:hAnsi="Arial"/>
          <w:sz w:val="16"/>
          <w:szCs w:val="16"/>
          <w:color w:val="auto"/>
        </w:rPr>
        <w:t>includes delinquent mortgage loans from our MBS trusts, which enables us to initiate certain loss mitigation efforts.</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represents assets that we previously purchased for investment purposes.</w:t>
      </w:r>
    </w:p>
    <w:p>
      <w:pPr>
        <w:spacing w:after="0" w:line="87"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color w:val="auto"/>
        </w:rPr>
        <w:t>The following table displays the components of our retained mortgage portfolio. Based on the nature of the asset, these balances are included in either “Investments in securities, at fair value” or “Mortgage loans, net of allowance for loan losses” in our “Summary of Condensed Consolidated Balance Sheets.”</w:t>
      </w:r>
    </w:p>
    <w:p>
      <w:pPr>
        <w:spacing w:after="0" w:line="32"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auto"/>
        </w:rPr>
        <w:t>The decrease in our retained mortgage portfolio as of March 31, 2025 compared with December 31, 2024 was primarily due to a decrease in our lender liquidity portfolio driven by lower holdings in agency securities and mortgage loans.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1543"/>
        </w:rPr>
        <w:t>Retained Mortgage Portfolio</w:t>
      </w:r>
    </w:p>
    <w:p>
      <w:pPr>
        <w:spacing w:after="0" w:line="41" w:lineRule="exact"/>
        <w:rPr>
          <w:sz w:val="20"/>
          <w:szCs w:val="20"/>
          <w:color w:val="auto"/>
        </w:rPr>
      </w:pPr>
    </w:p>
    <w:tbl>
      <w:tblPr>
        <w:tblLayout w:type="fixed"/>
        <w:tblInd w:w="100" w:type="dxa"/>
        <w:tblCellMar>
          <w:top w:w="0" w:type="dxa"/>
          <w:left w:w="0" w:type="dxa"/>
          <w:bottom w:w="0" w:type="dxa"/>
          <w:right w:w="0" w:type="dxa"/>
        </w:tblCellMar>
      </w:tblPr>
      <w:tr>
        <w:trPr>
          <w:trHeight w:val="232"/>
        </w:trPr>
        <w:tc>
          <w:tcPr>
            <w:tcW w:w="6920" w:type="dxa"/>
            <w:vAlign w:val="bottom"/>
            <w:tcBorders>
              <w:top w:val="single" w:sz="8" w:color="2C6937"/>
            </w:tcBorders>
          </w:tcPr>
          <w:p>
            <w:pPr>
              <w:spacing w:after="0"/>
              <w:rPr>
                <w:sz w:val="20"/>
                <w:szCs w:val="20"/>
                <w:color w:val="auto"/>
              </w:rPr>
            </w:pPr>
          </w:p>
        </w:tc>
        <w:tc>
          <w:tcPr>
            <w:tcW w:w="140" w:type="dxa"/>
            <w:vAlign w:val="bottom"/>
            <w:tcBorders>
              <w:top w:val="single" w:sz="8" w:color="2C6937"/>
            </w:tcBorders>
          </w:tcPr>
          <w:p>
            <w:pPr>
              <w:spacing w:after="0"/>
              <w:rPr>
                <w:sz w:val="20"/>
                <w:szCs w:val="20"/>
                <w:color w:val="auto"/>
              </w:rPr>
            </w:pPr>
          </w:p>
        </w:tc>
        <w:tc>
          <w:tcPr>
            <w:tcW w:w="260" w:type="dxa"/>
            <w:vAlign w:val="bottom"/>
            <w:tcBorders>
              <w:top w:val="single" w:sz="8" w:color="2C6937"/>
              <w:bottom w:val="single" w:sz="8" w:color="2C6937"/>
            </w:tcBorders>
          </w:tcPr>
          <w:p>
            <w:pPr>
              <w:spacing w:after="0"/>
              <w:rPr>
                <w:sz w:val="20"/>
                <w:szCs w:val="20"/>
                <w:color w:val="auto"/>
              </w:rPr>
            </w:pPr>
          </w:p>
        </w:tc>
        <w:tc>
          <w:tcPr>
            <w:tcW w:w="2000" w:type="dxa"/>
            <w:vAlign w:val="bottom"/>
            <w:tcBorders>
              <w:top w:val="single" w:sz="8" w:color="2C6937"/>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720" w:type="dxa"/>
            <w:vAlign w:val="bottom"/>
            <w:tcBorders>
              <w:top w:val="single" w:sz="8" w:color="2C6937"/>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780" w:type="dxa"/>
            <w:vAlign w:val="bottom"/>
            <w:tcBorders>
              <w:bottom w:val="single" w:sz="8" w:color="2C6937"/>
            </w:tcBorders>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220" w:type="dxa"/>
            <w:vAlign w:val="bottom"/>
            <w:tcBorders>
              <w:bottom w:val="single" w:sz="8" w:color="2C6937"/>
            </w:tcBorders>
          </w:tcPr>
          <w:p>
            <w:pPr>
              <w:spacing w:after="0"/>
              <w:rPr>
                <w:sz w:val="17"/>
                <w:szCs w:val="17"/>
                <w:color w:val="auto"/>
              </w:rPr>
            </w:pPr>
          </w:p>
        </w:tc>
        <w:tc>
          <w:tcPr>
            <w:tcW w:w="172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7"/>
        </w:trPr>
        <w:tc>
          <w:tcPr>
            <w:tcW w:w="70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Lender liquidity:</w:t>
            </w:r>
          </w:p>
        </w:tc>
        <w:tc>
          <w:tcPr>
            <w:tcW w:w="260" w:type="dxa"/>
            <w:vAlign w:val="bottom"/>
          </w:tcPr>
          <w:p>
            <w:pPr>
              <w:spacing w:after="0"/>
              <w:rPr>
                <w:sz w:val="17"/>
                <w:szCs w:val="17"/>
                <w:color w:val="auto"/>
              </w:rPr>
            </w:pPr>
          </w:p>
        </w:tc>
        <w:tc>
          <w:tcPr>
            <w:tcW w:w="3720" w:type="dxa"/>
            <w:vAlign w:val="bottom"/>
            <w:gridSpan w:val="4"/>
          </w:tcPr>
          <w:p>
            <w:pPr>
              <w:jc w:val="right"/>
              <w:ind w:right="1203"/>
              <w:spacing w:after="0"/>
              <w:rPr>
                <w:sz w:val="20"/>
                <w:szCs w:val="20"/>
                <w:color w:val="auto"/>
              </w:rPr>
            </w:pPr>
            <w:r>
              <w:rPr>
                <w:rFonts w:ascii="Arial" w:cs="Arial" w:eastAsia="Arial" w:hAnsi="Arial"/>
                <w:sz w:val="15"/>
                <w:szCs w:val="15"/>
                <w:b w:val="1"/>
                <w:bCs w:val="1"/>
                <w:color w:val="auto"/>
              </w:rPr>
              <w:t>(Dollars in millions)</w:t>
            </w:r>
          </w:p>
        </w:tc>
        <w:tc>
          <w:tcPr>
            <w:tcW w:w="0" w:type="dxa"/>
            <w:vAlign w:val="bottom"/>
          </w:tcPr>
          <w:p>
            <w:pPr>
              <w:spacing w:after="0"/>
              <w:rPr>
                <w:sz w:val="1"/>
                <w:szCs w:val="1"/>
                <w:color w:val="auto"/>
              </w:rPr>
            </w:pPr>
          </w:p>
        </w:tc>
      </w:tr>
      <w:tr>
        <w:trPr>
          <w:trHeight w:val="199"/>
        </w:trPr>
        <w:tc>
          <w:tcPr>
            <w:tcW w:w="7060" w:type="dxa"/>
            <w:vAlign w:val="bottom"/>
            <w:gridSpan w:val="2"/>
            <w:vMerge w:val="continue"/>
          </w:tcPr>
          <w:p>
            <w:pPr>
              <w:spacing w:after="0"/>
              <w:rPr>
                <w:sz w:val="17"/>
                <w:szCs w:val="17"/>
                <w:color w:val="auto"/>
              </w:rPr>
            </w:pP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28,122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60" w:type="dxa"/>
            <w:vAlign w:val="bottom"/>
            <w:gridSpan w:val="2"/>
          </w:tcPr>
          <w:p>
            <w:pPr>
              <w:ind w:left="280"/>
              <w:spacing w:after="0" w:line="205" w:lineRule="exact"/>
              <w:rPr>
                <w:sz w:val="20"/>
                <w:szCs w:val="20"/>
                <w:color w:val="auto"/>
              </w:rPr>
            </w:pPr>
            <w:r>
              <w:rPr>
                <w:rFonts w:ascii="Arial" w:cs="Arial" w:eastAsia="Arial" w:hAnsi="Arial"/>
                <w:sz w:val="15"/>
                <w:szCs w:val="15"/>
                <w:color w:val="auto"/>
              </w:rPr>
              <w:t>Agency securities</w:t>
            </w:r>
            <w:r>
              <w:rPr>
                <w:rFonts w:ascii="Arial" w:cs="Arial" w:eastAsia="Arial" w:hAnsi="Arial"/>
                <w:sz w:val="20"/>
                <w:szCs w:val="20"/>
                <w:color w:val="auto"/>
                <w:vertAlign w:val="superscript"/>
              </w:rPr>
              <w:t>(1)</w:t>
            </w:r>
          </w:p>
        </w:tc>
        <w:tc>
          <w:tcPr>
            <w:tcW w:w="26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40,550</w:t>
            </w:r>
          </w:p>
        </w:tc>
        <w:tc>
          <w:tcPr>
            <w:tcW w:w="0" w:type="dxa"/>
            <w:vAlign w:val="bottom"/>
          </w:tcPr>
          <w:p>
            <w:pPr>
              <w:spacing w:after="0"/>
              <w:rPr>
                <w:sz w:val="1"/>
                <w:szCs w:val="1"/>
                <w:color w:val="auto"/>
              </w:rPr>
            </w:pPr>
          </w:p>
        </w:tc>
      </w:tr>
      <w:tr>
        <w:trPr>
          <w:trHeight w:val="208"/>
        </w:trPr>
        <w:tc>
          <w:tcPr>
            <w:tcW w:w="692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4,283</w:t>
            </w:r>
          </w:p>
        </w:tc>
        <w:tc>
          <w:tcPr>
            <w:tcW w:w="12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8,093</w:t>
            </w:r>
          </w:p>
        </w:tc>
        <w:tc>
          <w:tcPr>
            <w:tcW w:w="0" w:type="dxa"/>
            <w:vAlign w:val="bottom"/>
          </w:tcPr>
          <w:p>
            <w:pPr>
              <w:spacing w:after="0"/>
              <w:rPr>
                <w:sz w:val="1"/>
                <w:szCs w:val="1"/>
                <w:color w:val="auto"/>
              </w:rPr>
            </w:pPr>
          </w:p>
        </w:tc>
      </w:tr>
      <w:tr>
        <w:trPr>
          <w:trHeight w:val="198"/>
        </w:trPr>
        <w:tc>
          <w:tcPr>
            <w:tcW w:w="7060" w:type="dxa"/>
            <w:vAlign w:val="bottom"/>
            <w:gridSpan w:val="2"/>
          </w:tcPr>
          <w:p>
            <w:pPr>
              <w:ind w:left="120"/>
              <w:spacing w:after="0"/>
              <w:rPr>
                <w:sz w:val="20"/>
                <w:szCs w:val="20"/>
                <w:color w:val="auto"/>
              </w:rPr>
            </w:pPr>
            <w:r>
              <w:rPr>
                <w:rFonts w:ascii="Arial" w:cs="Arial" w:eastAsia="Arial" w:hAnsi="Arial"/>
                <w:sz w:val="15"/>
                <w:szCs w:val="15"/>
                <w:color w:val="auto"/>
              </w:rPr>
              <w:t>Total lender liquidity</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32,405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48,643</w:t>
            </w:r>
          </w:p>
        </w:tc>
        <w:tc>
          <w:tcPr>
            <w:tcW w:w="0" w:type="dxa"/>
            <w:vAlign w:val="bottom"/>
          </w:tcPr>
          <w:p>
            <w:pPr>
              <w:spacing w:after="0"/>
              <w:rPr>
                <w:sz w:val="1"/>
                <w:szCs w:val="1"/>
                <w:color w:val="auto"/>
              </w:rPr>
            </w:pPr>
          </w:p>
        </w:tc>
      </w:tr>
      <w:tr>
        <w:trPr>
          <w:trHeight w:val="206"/>
        </w:trPr>
        <w:tc>
          <w:tcPr>
            <w:tcW w:w="7060" w:type="dxa"/>
            <w:vAlign w:val="bottom"/>
            <w:gridSpan w:val="2"/>
          </w:tcPr>
          <w:p>
            <w:pPr>
              <w:ind w:left="20"/>
              <w:spacing w:after="0" w:line="207" w:lineRule="exact"/>
              <w:rPr>
                <w:sz w:val="20"/>
                <w:szCs w:val="20"/>
                <w:color w:val="auto"/>
              </w:rPr>
            </w:pPr>
            <w:r>
              <w:rPr>
                <w:rFonts w:ascii="Arial" w:cs="Arial" w:eastAsia="Arial" w:hAnsi="Arial"/>
                <w:sz w:val="15"/>
                <w:szCs w:val="15"/>
                <w:b w:val="1"/>
                <w:bCs w:val="1"/>
                <w:color w:val="auto"/>
              </w:rPr>
              <w:t>Loss mitigation mortgage loans</w:t>
            </w:r>
            <w:r>
              <w:rPr>
                <w:rFonts w:ascii="Arial" w:cs="Arial" w:eastAsia="Arial" w:hAnsi="Arial"/>
                <w:sz w:val="20"/>
                <w:szCs w:val="20"/>
                <w:b w:val="1"/>
                <w:bCs w:val="1"/>
                <w:color w:val="auto"/>
                <w:vertAlign w:val="superscript"/>
              </w:rPr>
              <w:t>(2)</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42,306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40,194</w:t>
            </w:r>
          </w:p>
        </w:tc>
        <w:tc>
          <w:tcPr>
            <w:tcW w:w="0" w:type="dxa"/>
            <w:vAlign w:val="bottom"/>
          </w:tcPr>
          <w:p>
            <w:pPr>
              <w:spacing w:after="0"/>
              <w:rPr>
                <w:sz w:val="1"/>
                <w:szCs w:val="1"/>
                <w:color w:val="auto"/>
              </w:rPr>
            </w:pPr>
          </w:p>
        </w:tc>
      </w:tr>
      <w:tr>
        <w:trPr>
          <w:trHeight w:val="208"/>
        </w:trPr>
        <w:tc>
          <w:tcPr>
            <w:tcW w:w="706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w:t>
            </w:r>
          </w:p>
        </w:tc>
        <w:tc>
          <w:tcPr>
            <w:tcW w:w="260" w:type="dxa"/>
            <w:vAlign w:val="bottom"/>
          </w:tcPr>
          <w:p>
            <w:pPr>
              <w:spacing w:after="0"/>
              <w:rPr>
                <w:sz w:val="18"/>
                <w:szCs w:val="18"/>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3,266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060" w:type="dxa"/>
            <w:vAlign w:val="bottom"/>
            <w:gridSpan w:val="2"/>
          </w:tcPr>
          <w:p>
            <w:pPr>
              <w:ind w:left="280"/>
              <w:spacing w:after="0" w:line="205" w:lineRule="exact"/>
              <w:rPr>
                <w:sz w:val="20"/>
                <w:szCs w:val="20"/>
                <w:color w:val="auto"/>
              </w:rPr>
            </w:pPr>
            <w:r>
              <w:rPr>
                <w:rFonts w:ascii="Arial" w:cs="Arial" w:eastAsia="Arial" w:hAnsi="Arial"/>
                <w:sz w:val="15"/>
                <w:szCs w:val="15"/>
                <w:color w:val="auto"/>
              </w:rPr>
              <w:t>Reverse mortgage loans and securities</w:t>
            </w:r>
            <w:r>
              <w:rPr>
                <w:rFonts w:ascii="Arial" w:cs="Arial" w:eastAsia="Arial" w:hAnsi="Arial"/>
                <w:sz w:val="20"/>
                <w:szCs w:val="20"/>
                <w:color w:val="auto"/>
                <w:vertAlign w:val="superscript"/>
              </w:rPr>
              <w:t>(3)</w:t>
            </w:r>
          </w:p>
        </w:tc>
        <w:tc>
          <w:tcPr>
            <w:tcW w:w="26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3,542</w:t>
            </w:r>
          </w:p>
        </w:tc>
        <w:tc>
          <w:tcPr>
            <w:tcW w:w="0" w:type="dxa"/>
            <w:vAlign w:val="bottom"/>
          </w:tcPr>
          <w:p>
            <w:pPr>
              <w:spacing w:after="0"/>
              <w:rPr>
                <w:sz w:val="1"/>
                <w:szCs w:val="1"/>
                <w:color w:val="auto"/>
              </w:rPr>
            </w:pPr>
          </w:p>
        </w:tc>
      </w:tr>
      <w:tr>
        <w:trPr>
          <w:trHeight w:val="208"/>
        </w:trPr>
        <w:tc>
          <w:tcPr>
            <w:tcW w:w="6920" w:type="dxa"/>
            <w:vAlign w:val="bottom"/>
            <w:tcBorders>
              <w:bottom w:val="single" w:sz="8" w:color="2C6937"/>
            </w:tcBorders>
          </w:tcPr>
          <w:p>
            <w:pPr>
              <w:ind w:left="280"/>
              <w:spacing w:after="0" w:line="207" w:lineRule="exact"/>
              <w:rPr>
                <w:sz w:val="20"/>
                <w:szCs w:val="20"/>
                <w:color w:val="auto"/>
              </w:rPr>
            </w:pPr>
            <w:r>
              <w:rPr>
                <w:rFonts w:ascii="Arial" w:cs="Arial" w:eastAsia="Arial" w:hAnsi="Arial"/>
                <w:sz w:val="15"/>
                <w:szCs w:val="15"/>
                <w:color w:val="auto"/>
              </w:rPr>
              <w:t>Other mortgage loans and securities</w:t>
            </w:r>
            <w:r>
              <w:rPr>
                <w:rFonts w:ascii="Arial" w:cs="Arial" w:eastAsia="Arial" w:hAnsi="Arial"/>
                <w:sz w:val="20"/>
                <w:szCs w:val="20"/>
                <w:color w:val="auto"/>
                <w:vertAlign w:val="superscript"/>
              </w:rPr>
              <w:t>(4)</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2,329</w:t>
            </w:r>
          </w:p>
        </w:tc>
        <w:tc>
          <w:tcPr>
            <w:tcW w:w="12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2,502</w:t>
            </w:r>
          </w:p>
        </w:tc>
        <w:tc>
          <w:tcPr>
            <w:tcW w:w="0" w:type="dxa"/>
            <w:vAlign w:val="bottom"/>
          </w:tcPr>
          <w:p>
            <w:pPr>
              <w:spacing w:after="0"/>
              <w:rPr>
                <w:sz w:val="1"/>
                <w:szCs w:val="1"/>
                <w:color w:val="auto"/>
              </w:rPr>
            </w:pPr>
          </w:p>
        </w:tc>
      </w:tr>
      <w:tr>
        <w:trPr>
          <w:trHeight w:val="199"/>
        </w:trPr>
        <w:tc>
          <w:tcPr>
            <w:tcW w:w="69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Total other</w:t>
            </w:r>
          </w:p>
        </w:tc>
        <w:tc>
          <w:tcPr>
            <w:tcW w:w="14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5,595</w:t>
            </w:r>
          </w:p>
        </w:tc>
        <w:tc>
          <w:tcPr>
            <w:tcW w:w="12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6,044</w:t>
            </w:r>
          </w:p>
        </w:tc>
        <w:tc>
          <w:tcPr>
            <w:tcW w:w="0" w:type="dxa"/>
            <w:vAlign w:val="bottom"/>
          </w:tcPr>
          <w:p>
            <w:pPr>
              <w:spacing w:after="0"/>
              <w:rPr>
                <w:sz w:val="1"/>
                <w:szCs w:val="1"/>
                <w:color w:val="auto"/>
              </w:rPr>
            </w:pPr>
          </w:p>
        </w:tc>
      </w:tr>
      <w:tr>
        <w:trPr>
          <w:trHeight w:val="199"/>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Total retained mortgage portfolio</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80,306</w:t>
            </w:r>
          </w:p>
        </w:tc>
        <w:tc>
          <w:tcPr>
            <w:tcW w:w="12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94,881</w:t>
            </w:r>
          </w:p>
        </w:tc>
        <w:tc>
          <w:tcPr>
            <w:tcW w:w="0" w:type="dxa"/>
            <w:vAlign w:val="bottom"/>
          </w:tcPr>
          <w:p>
            <w:pPr>
              <w:spacing w:after="0"/>
              <w:rPr>
                <w:sz w:val="1"/>
                <w:szCs w:val="1"/>
                <w:color w:val="auto"/>
              </w:rPr>
            </w:pPr>
          </w:p>
        </w:tc>
      </w:tr>
      <w:tr>
        <w:trPr>
          <w:trHeight w:val="20"/>
        </w:trPr>
        <w:tc>
          <w:tcPr>
            <w:tcW w:w="69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6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7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060" w:type="dxa"/>
            <w:vAlign w:val="bottom"/>
            <w:gridSpan w:val="2"/>
          </w:tcPr>
          <w:p>
            <w:pPr>
              <w:ind w:left="20"/>
              <w:spacing w:after="0"/>
              <w:rPr>
                <w:sz w:val="20"/>
                <w:szCs w:val="20"/>
                <w:color w:val="auto"/>
              </w:rPr>
            </w:pPr>
            <w:r>
              <w:rPr>
                <w:rFonts w:ascii="Arial" w:cs="Arial" w:eastAsia="Arial" w:hAnsi="Arial"/>
                <w:sz w:val="15"/>
                <w:szCs w:val="15"/>
                <w:b w:val="1"/>
                <w:bCs w:val="1"/>
                <w:color w:val="auto"/>
              </w:rPr>
              <w:t>Retained mortgage portfolio by segment:</w:t>
            </w: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74,256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Single-family mortgage loans and mortgage-related securities</w:t>
            </w:r>
          </w:p>
        </w:tc>
        <w:tc>
          <w:tcPr>
            <w:tcW w:w="26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89,308</w:t>
            </w:r>
          </w:p>
        </w:tc>
        <w:tc>
          <w:tcPr>
            <w:tcW w:w="0" w:type="dxa"/>
            <w:vAlign w:val="bottom"/>
          </w:tcPr>
          <w:p>
            <w:pPr>
              <w:spacing w:after="0"/>
              <w:rPr>
                <w:sz w:val="1"/>
                <w:szCs w:val="1"/>
                <w:color w:val="auto"/>
              </w:rPr>
            </w:pPr>
          </w:p>
        </w:tc>
      </w:tr>
      <w:tr>
        <w:trPr>
          <w:trHeight w:val="214"/>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Multifamily mortgage loans and mortgage-related securities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6,050</w:t>
            </w:r>
          </w:p>
        </w:tc>
        <w:tc>
          <w:tcPr>
            <w:tcW w:w="120" w:type="dxa"/>
            <w:vAlign w:val="bottom"/>
          </w:tcPr>
          <w:p>
            <w:pPr>
              <w:spacing w:after="0"/>
              <w:rPr>
                <w:sz w:val="18"/>
                <w:szCs w:val="18"/>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5,573</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right="200" w:hanging="237"/>
        <w:spacing w:after="0" w:line="218" w:lineRule="auto"/>
        <w:tabs>
          <w:tab w:leader="none" w:pos="233"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Consists of Fannie Mae, Freddie Mac and Ginnie Mae mortgage-related securities, including Freddie Mac securities guaranteed by Fannie Mae. Excludes Fannie Mae and Ginnie Mae reverse mortgage securities and Fannie Mae-wrapped private-label securities.</w:t>
      </w:r>
    </w:p>
    <w:p>
      <w:pPr>
        <w:spacing w:after="0" w:line="26" w:lineRule="exact"/>
        <w:rPr>
          <w:rFonts w:ascii="Arial" w:cs="Arial" w:eastAsia="Arial" w:hAnsi="Arial"/>
          <w:sz w:val="18"/>
          <w:szCs w:val="18"/>
          <w:color w:val="auto"/>
          <w:vertAlign w:val="superscript"/>
        </w:rPr>
      </w:pPr>
    </w:p>
    <w:p>
      <w:pPr>
        <w:ind w:left="240" w:right="320" w:hanging="237"/>
        <w:spacing w:after="0" w:line="226" w:lineRule="auto"/>
        <w:tabs>
          <w:tab w:leader="none" w:pos="233"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single-family loans on nonaccrual status of $11.0 billion and $10.3 billion as of March 31, 2025 and December 31, 2024, respectively. Also includes multifamily loans on nonaccrual status of $3.1 billion and $2.9 billion as of March 31, 2025 and December 31, 2024, respectively.</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Ginnie Mae reverse mortgage securities. We stopped acquiring newly originated reverse mortgage loans in 2010.</w:t>
      </w:r>
    </w:p>
    <w:p>
      <w:pPr>
        <w:spacing w:after="0" w:line="37" w:lineRule="exact"/>
        <w:rPr>
          <w:rFonts w:ascii="Arial" w:cs="Arial" w:eastAsia="Arial" w:hAnsi="Arial"/>
          <w:sz w:val="18"/>
          <w:szCs w:val="18"/>
          <w:color w:val="auto"/>
          <w:vertAlign w:val="superscript"/>
        </w:rPr>
      </w:pPr>
    </w:p>
    <w:p>
      <w:pPr>
        <w:ind w:left="240" w:right="480" w:hanging="237"/>
        <w:spacing w:after="0" w:line="210" w:lineRule="auto"/>
        <w:tabs>
          <w:tab w:leader="none" w:pos="233"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Other mortgage loans primarily includes single-family and multifamily loans that are not included in the loss mitigation or lender liquidity categories. Other mortgage securities primarily includes private-label securities and mortgage revenue bonds.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mortgage assets that we may own is capped at $225 billion under the terms of our senior preferred stock purchase agreement with Treasury.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are also subject to specified limitations on the composition of our retained mortgage portfolio pursuant to FHFA guidance.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7" w:name="page18"/>
    <w:bookmarkEnd w:id="17"/>
    <w:p>
      <w:pPr>
        <w:ind w:left="900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include 10% of the notional value of the interest-only securities we hold in calculating the size of the retained mortgage portfolio for the purpose of determining compliance with the senior preferred stock purchase agreement mortgage assets cap and associated FHFA instructions. As of March 31, 2025, 10% of the notional value of our interest-only securities was $1.6 billion, which is not included in the table above.</w:t>
      </w:r>
    </w:p>
    <w:p>
      <w:pPr>
        <w:spacing w:after="0" w:line="4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Under the terms of our MBS trust documents, we have the option or, in some instances, the obligation, to purchase mortgage loans that meet specific criteria from an MBS trust. FHFA has also provided us with instruction on our single-family delinquent loan buyout policy. The purchase price for these loans is the unpaid principal balance of the loans plus accrued interest. In support of our loss mitigation strategies, we purchased $3.6 billion of loans from our single-family MBS trusts in the first quarter of 2025, the substantial majority of which were delinquent, compared with $2.9 billion of loans in the first quarter of 2024.</w:t>
      </w:r>
    </w:p>
    <w:p>
      <w:pPr>
        <w:spacing w:after="0" w:line="29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240"/>
        <w:spacing w:after="0" w:line="272" w:lineRule="auto"/>
        <w:rPr>
          <w:sz w:val="20"/>
          <w:szCs w:val="20"/>
          <w:color w:val="auto"/>
        </w:rPr>
      </w:pPr>
      <w:r>
        <w:rPr>
          <w:rFonts w:ascii="Arial" w:cs="Arial" w:eastAsia="Arial" w:hAnsi="Arial"/>
          <w:sz w:val="16"/>
          <w:szCs w:val="16"/>
          <w:color w:val="auto"/>
        </w:rPr>
        <w:t>When we securitize mortgage loans originated by lenders into Fannie Mae mortgage-backed securities, we issue guarantees, taking on the credit risk for those mortgage loans. Our guaranty book of business offers insight into both the guarantees we’ve issued and the credit risk of the loans we’ve acquired that back our MBS outstanding or that are held in our retained mortgage portfolio.</w:t>
      </w:r>
    </w:p>
    <w:p>
      <w:pPr>
        <w:spacing w:after="0" w:line="32"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Our “guaranty book of business” consists of: (1) Fannie Mae MBS outstanding, excluding the portions of any structured securities we issue that are backed by Freddie Mac securities, (2) mortgage loans of Fannie Mae held in our retained mortgage portfolio, and (3) other credit enhancements that we provide on mortgage assets.</w:t>
      </w:r>
    </w:p>
    <w:p>
      <w:pPr>
        <w:spacing w:after="0" w:line="4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use the term “Fannie Mae MBS” or “our MBS” to refer to any type of mortgage-backed security that we issue, including Fannie Mae-issued UMBS and structured securities such as Supers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Real Estate Mortgage Investment Conduit securities (“REMICs”).</w:t>
      </w:r>
    </w:p>
    <w:p>
      <w:pPr>
        <w:spacing w:after="0" w:line="1"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We and Freddie Mac each issue single-family uniform mortgage-backed securities, or “UMBS</w:t>
      </w:r>
      <w:r>
        <w:rPr>
          <w:rFonts w:ascii="Arial" w:cs="Arial" w:eastAsia="Arial" w:hAnsi="Arial"/>
          <w:sz w:val="21"/>
          <w:szCs w:val="21"/>
          <w:color w:val="auto"/>
          <w:vertAlign w:val="superscript"/>
        </w:rPr>
        <w:t>®</w:t>
      </w:r>
      <w:r>
        <w:rPr>
          <w:rFonts w:ascii="Arial" w:cs="Arial" w:eastAsia="Arial" w:hAnsi="Arial"/>
          <w:sz w:val="16"/>
          <w:szCs w:val="16"/>
          <w:color w:val="auto"/>
        </w:rPr>
        <w:t>.” In some instances, our MBS are resecuritizations of securities backed in whole or in part by Freddie Mac-issued UMBS, in which case our guaranty extends to the underlying Freddie Mac securities, shown as “Freddie Mac securities guaranteed by Fannie Mae” in the table below. The Freddie Mac securities guaranteed by Fannie Mae are excluded from our “guaranty book of business” because Freddie Mac continues to guarantee the payment of principal and interest on the underlying Freddie Mac securities, but included in “Total Fannie Mae guarantees” as presented in the table below.</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composition of our guaranty book of business and our total Fannie Mae guarantees based on unpaid principal balance.</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Composition of Fannie Mae Guaranty Book of Business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1980" w:type="dxa"/>
            <w:vAlign w:val="bottom"/>
            <w:tcBorders>
              <w:top w:val="single" w:sz="8" w:color="2C6937"/>
              <w:bottom w:val="single" w:sz="8" w:color="2C6937"/>
            </w:tcBorders>
            <w:gridSpan w:val="4"/>
          </w:tcPr>
          <w:p>
            <w:pPr>
              <w:jc w:val="right"/>
              <w:ind w:right="891"/>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800" w:type="dxa"/>
            <w:vAlign w:val="bottom"/>
            <w:tcBorders>
              <w:top w:val="single" w:sz="8" w:color="2C6937"/>
              <w:bottom w:val="single" w:sz="8" w:color="2C6937"/>
            </w:tcBorders>
          </w:tcPr>
          <w:p>
            <w:pPr>
              <w:spacing w:after="0"/>
              <w:rPr>
                <w:sz w:val="18"/>
                <w:szCs w:val="18"/>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4"/>
          </w:tcPr>
          <w:p>
            <w:pPr>
              <w:ind w:left="80"/>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w w:val="96"/>
              </w:rPr>
              <w:t>Single-Family</w:t>
            </w: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w w:val="96"/>
              </w:rPr>
              <w:t>Single-Family</w:t>
            </w: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85"/>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Conventional guaranty book of business</w:t>
            </w:r>
            <w:r>
              <w:rPr>
                <w:rFonts w:ascii="Arial" w:cs="Arial" w:eastAsia="Arial" w:hAnsi="Arial"/>
                <w:sz w:val="17"/>
                <w:szCs w:val="17"/>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3,618,778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506,784</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4,125,562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3,632,700</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502,080</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4,134,780</w:t>
            </w:r>
          </w:p>
        </w:tc>
      </w:tr>
      <w:tr>
        <w:trPr>
          <w:trHeight w:val="192"/>
        </w:trPr>
        <w:tc>
          <w:tcPr>
            <w:tcW w:w="4240" w:type="dxa"/>
            <w:vAlign w:val="bottom"/>
            <w:tcBorders>
              <w:bottom w:val="single" w:sz="8" w:color="2C6937"/>
            </w:tcBorders>
          </w:tcPr>
          <w:p>
            <w:pPr>
              <w:ind w:left="20"/>
              <w:spacing w:after="0" w:line="192" w:lineRule="exact"/>
              <w:rPr>
                <w:sz w:val="20"/>
                <w:szCs w:val="20"/>
                <w:color w:val="auto"/>
              </w:rPr>
            </w:pPr>
            <w:r>
              <w:rPr>
                <w:rFonts w:ascii="Arial" w:cs="Arial" w:eastAsia="Arial" w:hAnsi="Arial"/>
                <w:sz w:val="14"/>
                <w:szCs w:val="14"/>
                <w:color w:val="auto"/>
              </w:rPr>
              <w:t>Government guaranty book of business</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5,405</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481</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5,886</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5,705</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6,195</w:t>
            </w:r>
          </w:p>
        </w:tc>
      </w:tr>
      <w:tr>
        <w:trPr>
          <w:trHeight w:val="185"/>
        </w:trPr>
        <w:tc>
          <w:tcPr>
            <w:tcW w:w="4340" w:type="dxa"/>
            <w:vAlign w:val="bottom"/>
            <w:gridSpan w:val="2"/>
          </w:tcPr>
          <w:p>
            <w:pPr>
              <w:ind w:left="120"/>
              <w:spacing w:after="0"/>
              <w:rPr>
                <w:sz w:val="20"/>
                <w:szCs w:val="20"/>
                <w:color w:val="auto"/>
              </w:rPr>
            </w:pPr>
            <w:r>
              <w:rPr>
                <w:rFonts w:ascii="Arial" w:cs="Arial" w:eastAsia="Arial" w:hAnsi="Arial"/>
                <w:sz w:val="14"/>
                <w:szCs w:val="14"/>
                <w:color w:val="auto"/>
              </w:rPr>
              <w:t>Guaranty book of business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3,624,183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507,265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4,131,448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3,638,405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502,570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4,140,975</w:t>
            </w:r>
          </w:p>
        </w:tc>
      </w:tr>
      <w:tr>
        <w:trPr>
          <w:trHeight w:val="195"/>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Freddie Mac securities guaranteed by Fannie Mae</w:t>
            </w:r>
            <w:r>
              <w:rPr>
                <w:rFonts w:ascii="Arial" w:cs="Arial" w:eastAsia="Arial" w:hAnsi="Arial"/>
                <w:sz w:val="17"/>
                <w:szCs w:val="17"/>
                <w:color w:val="auto"/>
                <w:vertAlign w:val="superscript"/>
              </w:rPr>
              <w:t>(3)</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196,372</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196,372</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200,086</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200,086</w:t>
            </w:r>
          </w:p>
        </w:tc>
      </w:tr>
      <w:tr>
        <w:trPr>
          <w:trHeight w:val="185"/>
        </w:trPr>
        <w:tc>
          <w:tcPr>
            <w:tcW w:w="4340" w:type="dxa"/>
            <w:vAlign w:val="bottom"/>
            <w:gridSpan w:val="2"/>
          </w:tcPr>
          <w:p>
            <w:pPr>
              <w:ind w:left="140"/>
              <w:spacing w:after="0"/>
              <w:rPr>
                <w:sz w:val="20"/>
                <w:szCs w:val="20"/>
                <w:color w:val="auto"/>
              </w:rPr>
            </w:pPr>
            <w:r>
              <w:rPr>
                <w:rFonts w:ascii="Arial" w:cs="Arial" w:eastAsia="Arial" w:hAnsi="Arial"/>
                <w:sz w:val="14"/>
                <w:szCs w:val="14"/>
                <w:color w:val="auto"/>
              </w:rPr>
              <w:t>Total Fannie Mae guarantees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3,820,555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507,265</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4,327,820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3,838,491</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502,570</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4,341,061</w:t>
            </w:r>
          </w:p>
        </w:tc>
      </w:tr>
      <w:tr>
        <w:trPr>
          <w:trHeight w:val="20"/>
        </w:trPr>
        <w:tc>
          <w:tcPr>
            <w:tcW w:w="4240" w:type="dxa"/>
            <w:vAlign w:val="bottom"/>
            <w:tcBorders>
              <w:top w:val="single" w:sz="8" w:color="216C2B"/>
              <w:bottom w:val="single" w:sz="8" w:color="216C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Refers to mortgage loans and mortgage-related securities that are not guaranteed or insured, in whole or in part, by the U.S. government.</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Refers to mortgage loans and mortgage-related securities guaranteed or insured, in whole or in part, by the U.S. government.</w:t>
      </w:r>
    </w:p>
    <w:p>
      <w:pPr>
        <w:spacing w:after="0" w:line="38" w:lineRule="exact"/>
        <w:rPr>
          <w:rFonts w:ascii="Arial" w:cs="Arial" w:eastAsia="Arial" w:hAnsi="Arial"/>
          <w:sz w:val="18"/>
          <w:szCs w:val="18"/>
          <w:color w:val="auto"/>
          <w:vertAlign w:val="superscript"/>
        </w:rPr>
      </w:pPr>
    </w:p>
    <w:p>
      <w:pPr>
        <w:ind w:left="240" w:right="120" w:hanging="237"/>
        <w:spacing w:after="0" w:line="246" w:lineRule="auto"/>
        <w:tabs>
          <w:tab w:leader="none" w:pos="233"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Represents the unpaid principal balance of Freddie Mac-issued UMBS backing Fannie Mae-issued Supers and REMICs. Because we do not have the power to direct matters (primarily the servicing of mortgage loans) that impact the credit risk to which we are exposed, which constitute control of these securitization trusts, we do not consolidate these trusts in our condensed consolidated balance sheet, giving rise to off-balance sheet exposure. See “Liquidity and Capital Management—Liquidity Management—Off-Balance Sheet Arrangements” and “Note 7, Financial Guarantees for more information regarding our maximum exposure to loss on unconsolidated Fannie Mae MBS and Freddie Mac securities.</w:t>
      </w:r>
    </w:p>
    <w:p>
      <w:pPr>
        <w:spacing w:after="0" w:line="100" w:lineRule="exact"/>
        <w:rPr>
          <w:sz w:val="20"/>
          <w:szCs w:val="20"/>
          <w:color w:val="auto"/>
        </w:rPr>
      </w:pPr>
    </w:p>
    <w:p>
      <w:pPr>
        <w:ind w:right="760"/>
        <w:spacing w:after="0"/>
        <w:rPr>
          <w:sz w:val="20"/>
          <w:szCs w:val="20"/>
          <w:color w:val="auto"/>
        </w:rPr>
      </w:pPr>
      <w:r>
        <w:rPr>
          <w:rFonts w:ascii="Georgia" w:cs="Georgia" w:eastAsia="Georgia" w:hAnsi="Georgia"/>
          <w:sz w:val="21"/>
          <w:szCs w:val="21"/>
          <w:b w:val="1"/>
          <w:bCs w:val="1"/>
          <w:color w:val="05314D"/>
        </w:rPr>
        <w:t>Presentation of Gua</w:t>
      </w:r>
      <w:r>
        <w:rPr>
          <w:rFonts w:ascii="Georgia" w:cs="Georgia" w:eastAsia="Georgia" w:hAnsi="Georgia"/>
          <w:sz w:val="21"/>
          <w:szCs w:val="21"/>
          <w:b w:val="1"/>
          <w:bCs w:val="1"/>
          <w:color w:val="002060"/>
        </w:rPr>
        <w:t>ranty Book of Business in the Single-Family Business and Multifamily Business</w:t>
      </w:r>
      <w:r>
        <w:rPr>
          <w:rFonts w:ascii="Georgia" w:cs="Georgia" w:eastAsia="Georgia" w:hAnsi="Georgia"/>
          <w:sz w:val="21"/>
          <w:szCs w:val="21"/>
          <w:b w:val="1"/>
          <w:bCs w:val="1"/>
          <w:color w:val="05314D"/>
        </w:rPr>
        <w:t xml:space="preserve"> </w:t>
      </w:r>
      <w:r>
        <w:rPr>
          <w:rFonts w:ascii="Georgia" w:cs="Georgia" w:eastAsia="Georgia" w:hAnsi="Georgia"/>
          <w:sz w:val="21"/>
          <w:szCs w:val="21"/>
          <w:b w:val="1"/>
          <w:bCs w:val="1"/>
          <w:color w:val="002060"/>
        </w:rPr>
        <w:t>sections</w:t>
      </w:r>
    </w:p>
    <w:p>
      <w:pPr>
        <w:spacing w:after="0" w:line="6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present the guaranty book of business in this section and in our Monthly Summary reports, which are available on our website, based on the unpaid principal balance of our MBS outstanding. In the “Single-Family Business” and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8" w:name="page19"/>
    <w:bookmarkEnd w:id="18"/>
    <w:p>
      <w:pPr>
        <w:ind w:left="894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“Multifamily Business” sections of this report, we present our single-family conventional guaranty book of business and our multifamily guaranty book of business, respectively, based on the unpaid principal balance of mortgage loans underlying our MBS. These amounts differ primarily as a result of payments we receive on underlying loans that have not yet been paid to the MBS holders or in instances where we have advanced missed borrower payments on mortgage loans to make required distributions to MBS holders. The difference in these measurements is less than 1%. Using these two presentations allows us to base the disclosure in this section and in our Monthly Summary reports based on the MBS measurement, and disclosures about the composition of loans in our guaranty book of business based on the loan measurement.</w:t>
      </w:r>
    </w:p>
    <w:p>
      <w:pPr>
        <w:spacing w:after="0" w:line="13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Business Segment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32385</wp:posOffset>
            </wp:positionV>
            <wp:extent cx="711390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151"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We have two reportable business segments: Single-Family and Multifamily. This section discusses the primary components of net income for our Single-Family Business and Multifamily Business segments. This information complements the discussion of our condensed consolidated financial results in “Consolidated Results of Operations.”</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5314D"/>
        </w:rPr>
        <w:t>Business Segment Financial Results</w:t>
      </w:r>
      <w:r>
        <w:rPr>
          <w:rFonts w:ascii="Arial" w:cs="Arial" w:eastAsia="Arial" w:hAnsi="Arial"/>
          <w:sz w:val="24"/>
          <w:szCs w:val="24"/>
          <w:b w:val="1"/>
          <w:bCs w:val="1"/>
          <w:color w:val="05314D"/>
          <w:vertAlign w:val="superscript"/>
        </w:rPr>
        <w:t>(1)</w:t>
      </w:r>
    </w:p>
    <w:tbl>
      <w:tblPr>
        <w:tblLayout w:type="fixed"/>
        <w:tblInd w:w="60" w:type="dxa"/>
        <w:tblCellMar>
          <w:top w:w="0" w:type="dxa"/>
          <w:left w:w="0" w:type="dxa"/>
          <w:bottom w:w="0" w:type="dxa"/>
          <w:right w:w="0" w:type="dxa"/>
        </w:tblCellMar>
      </w:tblPr>
      <w:tr>
        <w:trPr>
          <w:trHeight w:val="199"/>
        </w:trPr>
        <w:tc>
          <w:tcPr>
            <w:tcW w:w="38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60" w:type="dxa"/>
            <w:vAlign w:val="bottom"/>
            <w:tcBorders>
              <w:top w:val="single" w:sz="8" w:color="2C6937"/>
              <w:bottom w:val="single" w:sz="8" w:color="2C6937"/>
            </w:tcBorders>
          </w:tcPr>
          <w:p>
            <w:pPr>
              <w:spacing w:after="0"/>
              <w:rPr>
                <w:sz w:val="17"/>
                <w:szCs w:val="17"/>
                <w:color w:val="auto"/>
              </w:rPr>
            </w:pPr>
          </w:p>
        </w:tc>
        <w:tc>
          <w:tcPr>
            <w:tcW w:w="3420" w:type="dxa"/>
            <w:vAlign w:val="bottom"/>
            <w:tcBorders>
              <w:top w:val="single" w:sz="8" w:color="2C6937"/>
              <w:bottom w:val="single" w:sz="8" w:color="2C6937"/>
            </w:tcBorders>
            <w:gridSpan w:val="9"/>
          </w:tcPr>
          <w:p>
            <w:pPr>
              <w:jc w:val="right"/>
              <w:spacing w:after="0"/>
              <w:rPr>
                <w:sz w:val="20"/>
                <w:szCs w:val="20"/>
                <w:color w:val="auto"/>
              </w:rPr>
            </w:pPr>
            <w:r>
              <w:rPr>
                <w:rFonts w:ascii="Arial" w:cs="Arial" w:eastAsia="Arial" w:hAnsi="Arial"/>
                <w:sz w:val="15"/>
                <w:szCs w:val="15"/>
                <w:b w:val="1"/>
                <w:bCs w:val="1"/>
                <w:color w:val="auto"/>
              </w:rPr>
              <w:t>For the Three Months Ended March 31,</w:t>
            </w:r>
          </w:p>
        </w:tc>
        <w:tc>
          <w:tcPr>
            <w:tcW w:w="98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20" w:type="dxa"/>
            <w:vAlign w:val="bottom"/>
            <w:tcBorders>
              <w:top w:val="single" w:sz="8" w:color="2C6937"/>
            </w:tcBorders>
          </w:tcPr>
          <w:p>
            <w:pPr>
              <w:spacing w:after="0"/>
              <w:rPr>
                <w:sz w:val="17"/>
                <w:szCs w:val="17"/>
                <w:color w:val="auto"/>
              </w:rPr>
            </w:pPr>
          </w:p>
        </w:tc>
        <w:tc>
          <w:tcPr>
            <w:tcW w:w="80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2025</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2024</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2000" w:type="dxa"/>
            <w:vAlign w:val="bottom"/>
            <w:tcBorders>
              <w:bottom w:val="single" w:sz="8" w:color="2C6937"/>
            </w:tcBorders>
            <w:gridSpan w:val="4"/>
          </w:tcPr>
          <w:p>
            <w:pPr>
              <w:jc w:val="right"/>
              <w:ind w:right="467"/>
              <w:spacing w:after="0"/>
              <w:rPr>
                <w:sz w:val="20"/>
                <w:szCs w:val="20"/>
                <w:color w:val="auto"/>
              </w:rPr>
            </w:pPr>
            <w:r>
              <w:rPr>
                <w:rFonts w:ascii="Arial" w:cs="Arial" w:eastAsia="Arial" w:hAnsi="Arial"/>
                <w:sz w:val="15"/>
                <w:szCs w:val="15"/>
                <w:b w:val="1"/>
                <w:bCs w:val="1"/>
                <w:color w:val="auto"/>
              </w:rPr>
              <w:t>Segment Variance</w:t>
            </w:r>
          </w:p>
        </w:tc>
      </w:tr>
      <w:tr>
        <w:trPr>
          <w:trHeight w:val="225"/>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20" w:type="dxa"/>
            <w:vAlign w:val="bottom"/>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00" w:type="dxa"/>
            <w:vAlign w:val="bottom"/>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Pr>
          <w:p>
            <w:pPr>
              <w:spacing w:after="0"/>
              <w:rPr>
                <w:sz w:val="19"/>
                <w:szCs w:val="19"/>
                <w:color w:val="auto"/>
              </w:rPr>
            </w:pPr>
          </w:p>
        </w:tc>
        <w:tc>
          <w:tcPr>
            <w:tcW w:w="980" w:type="dxa"/>
            <w:vAlign w:val="bottom"/>
          </w:tcPr>
          <w:p>
            <w:pPr>
              <w:jc w:val="right"/>
              <w:ind w:right="107"/>
              <w:spacing w:after="0"/>
              <w:rPr>
                <w:sz w:val="20"/>
                <w:szCs w:val="20"/>
                <w:color w:val="auto"/>
              </w:rPr>
            </w:pPr>
            <w:r>
              <w:rPr>
                <w:rFonts w:ascii="Arial" w:cs="Arial" w:eastAsia="Arial" w:hAnsi="Arial"/>
                <w:sz w:val="15"/>
                <w:szCs w:val="15"/>
                <w:b w:val="1"/>
                <w:bCs w:val="1"/>
                <w:color w:val="auto"/>
                <w:w w:val="99"/>
              </w:rPr>
              <w:t>Multifamily</w:t>
            </w:r>
          </w:p>
        </w:tc>
      </w:tr>
      <w:tr>
        <w:trPr>
          <w:trHeight w:val="193"/>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2C6937"/>
            </w:tcBorders>
          </w:tcPr>
          <w:p>
            <w:pPr>
              <w:spacing w:after="0"/>
              <w:rPr>
                <w:sz w:val="16"/>
                <w:szCs w:val="16"/>
                <w:color w:val="auto"/>
              </w:rPr>
            </w:pPr>
          </w:p>
        </w:tc>
        <w:tc>
          <w:tcPr>
            <w:tcW w:w="76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2300" w:type="dxa"/>
            <w:vAlign w:val="bottom"/>
            <w:tcBorders>
              <w:top w:val="single" w:sz="8" w:color="2C6937"/>
            </w:tcBorders>
            <w:gridSpan w:val="5"/>
          </w:tcPr>
          <w:p>
            <w:pPr>
              <w:ind w:left="420"/>
              <w:spacing w:after="0"/>
              <w:rPr>
                <w:sz w:val="20"/>
                <w:szCs w:val="20"/>
                <w:color w:val="auto"/>
              </w:rPr>
            </w:pPr>
            <w:r>
              <w:rPr>
                <w:rFonts w:ascii="Arial" w:cs="Arial" w:eastAsia="Arial" w:hAnsi="Arial"/>
                <w:sz w:val="15"/>
                <w:szCs w:val="15"/>
                <w:b w:val="1"/>
                <w:bCs w:val="1"/>
                <w:color w:val="auto"/>
              </w:rPr>
              <w:t>(Dollars in millions)</w:t>
            </w: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320" w:type="dxa"/>
            <w:vAlign w:val="bottom"/>
            <w:tcBorders>
              <w:top w:val="single" w:sz="8" w:color="2C6937"/>
            </w:tcBorders>
          </w:tcPr>
          <w:p>
            <w:pPr>
              <w:spacing w:after="0"/>
              <w:rPr>
                <w:sz w:val="16"/>
                <w:szCs w:val="16"/>
                <w:color w:val="auto"/>
              </w:rPr>
            </w:pPr>
          </w:p>
        </w:tc>
        <w:tc>
          <w:tcPr>
            <w:tcW w:w="80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spacing w:after="0"/>
              <w:rPr>
                <w:sz w:val="16"/>
                <w:szCs w:val="16"/>
                <w:color w:val="auto"/>
              </w:rPr>
            </w:pPr>
          </w:p>
        </w:tc>
      </w:tr>
      <w:tr>
        <w:trPr>
          <w:trHeight w:val="332"/>
        </w:trPr>
        <w:tc>
          <w:tcPr>
            <w:tcW w:w="3960" w:type="dxa"/>
            <w:vAlign w:val="bottom"/>
            <w:gridSpan w:val="2"/>
          </w:tcPr>
          <w:p>
            <w:pPr>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(2)</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5,866</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1,135</w:t>
            </w:r>
          </w:p>
        </w:tc>
        <w:tc>
          <w:tcPr>
            <w:tcW w:w="100" w:type="dxa"/>
            <w:vAlign w:val="bottom"/>
          </w:tcPr>
          <w:p>
            <w:pPr>
              <w:spacing w:after="0"/>
              <w:rPr>
                <w:sz w:val="24"/>
                <w:szCs w:val="24"/>
                <w:color w:val="auto"/>
              </w:rPr>
            </w:pPr>
          </w:p>
        </w:tc>
        <w:tc>
          <w:tcPr>
            <w:tcW w:w="360" w:type="dxa"/>
            <w:vAlign w:val="bottom"/>
          </w:tcPr>
          <w:p>
            <w:pPr>
              <w:jc w:val="right"/>
              <w:ind w:right="18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5,874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1,149</w:t>
            </w:r>
          </w:p>
        </w:tc>
        <w:tc>
          <w:tcPr>
            <w:tcW w:w="100" w:type="dxa"/>
            <w:vAlign w:val="bottom"/>
          </w:tcPr>
          <w:p>
            <w:pPr>
              <w:spacing w:after="0"/>
              <w:rPr>
                <w:sz w:val="24"/>
                <w:szCs w:val="24"/>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80"/>
        </w:trPr>
        <w:tc>
          <w:tcPr>
            <w:tcW w:w="3960" w:type="dxa"/>
            <w:vAlign w:val="bottom"/>
            <w:gridSpan w:val="2"/>
          </w:tcPr>
          <w:p>
            <w:pPr>
              <w:spacing w:after="0"/>
              <w:rPr>
                <w:sz w:val="20"/>
                <w:szCs w:val="20"/>
                <w:color w:val="auto"/>
              </w:rPr>
            </w:pPr>
            <w:r>
              <w:rPr>
                <w:rFonts w:ascii="Arial" w:cs="Arial" w:eastAsia="Arial" w:hAnsi="Arial"/>
                <w:sz w:val="15"/>
                <w:szCs w:val="15"/>
                <w:color w:val="auto"/>
              </w:rPr>
              <w:t>Fee and other income</w:t>
            </w: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65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2"/>
        </w:trPr>
        <w:tc>
          <w:tcPr>
            <w:tcW w:w="386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5"/>
                <w:szCs w:val="15"/>
                <w:color w:val="auto"/>
              </w:rPr>
            </w:pPr>
          </w:p>
        </w:tc>
        <w:tc>
          <w:tcPr>
            <w:tcW w:w="36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5,931</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1,154</w:t>
            </w:r>
          </w:p>
        </w:tc>
        <w:tc>
          <w:tcPr>
            <w:tcW w:w="100" w:type="dxa"/>
            <w:vAlign w:val="bottom"/>
          </w:tcPr>
          <w:p>
            <w:pPr>
              <w:spacing w:after="0"/>
              <w:rPr>
                <w:sz w:val="15"/>
                <w:szCs w:val="15"/>
                <w:color w:val="auto"/>
              </w:rPr>
            </w:pPr>
          </w:p>
        </w:tc>
        <w:tc>
          <w:tcPr>
            <w:tcW w:w="36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5,929</w:t>
            </w:r>
          </w:p>
        </w:tc>
        <w:tc>
          <w:tcPr>
            <w:tcW w:w="10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1,166</w:t>
            </w:r>
          </w:p>
        </w:tc>
        <w:tc>
          <w:tcPr>
            <w:tcW w:w="100" w:type="dxa"/>
            <w:vAlign w:val="bottom"/>
          </w:tcPr>
          <w:p>
            <w:pPr>
              <w:spacing w:after="0"/>
              <w:rPr>
                <w:sz w:val="15"/>
                <w:szCs w:val="15"/>
                <w:color w:val="auto"/>
              </w:rPr>
            </w:pPr>
          </w:p>
        </w:tc>
        <w:tc>
          <w:tcPr>
            <w:tcW w:w="320" w:type="dxa"/>
            <w:vAlign w:val="bottom"/>
            <w:tcBorders>
              <w:top w:val="single" w:sz="8" w:color="2C6937"/>
            </w:tcBorders>
          </w:tcPr>
          <w:p>
            <w:pPr>
              <w:spacing w:after="0"/>
              <w:rPr>
                <w:sz w:val="15"/>
                <w:szCs w:val="15"/>
                <w:color w:val="auto"/>
              </w:rPr>
            </w:pPr>
          </w:p>
        </w:tc>
        <w:tc>
          <w:tcPr>
            <w:tcW w:w="80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(12)</w:t>
            </w:r>
          </w:p>
        </w:tc>
      </w:tr>
      <w:tr>
        <w:trPr>
          <w:trHeight w:val="200"/>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benefit for credit losses</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7"/>
                <w:szCs w:val="17"/>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335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155</w:t>
            </w:r>
          </w:p>
        </w:tc>
      </w:tr>
      <w:tr>
        <w:trPr>
          <w:trHeight w:val="309"/>
        </w:trPr>
        <w:tc>
          <w:tcPr>
            <w:tcW w:w="3960" w:type="dxa"/>
            <w:vAlign w:val="bottom"/>
            <w:gridSpan w:val="2"/>
          </w:tcPr>
          <w:p>
            <w:pPr>
              <w:spacing w:after="0"/>
              <w:rPr>
                <w:sz w:val="20"/>
                <w:szCs w:val="20"/>
                <w:color w:val="auto"/>
              </w:rPr>
            </w:pPr>
            <w:r>
              <w:rPr>
                <w:rFonts w:ascii="Arial" w:cs="Arial" w:eastAsia="Arial" w:hAnsi="Arial"/>
                <w:sz w:val="15"/>
                <w:szCs w:val="15"/>
                <w:color w:val="auto"/>
              </w:rPr>
              <w:t>Fair value gains (losses), net</w:t>
            </w: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82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484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303"/>
        </w:trPr>
        <w:tc>
          <w:tcPr>
            <w:tcW w:w="3960" w:type="dxa"/>
            <w:vAlign w:val="bottom"/>
            <w:gridSpan w:val="2"/>
          </w:tcPr>
          <w:p>
            <w:pPr>
              <w:spacing w:after="0"/>
              <w:rPr>
                <w:sz w:val="20"/>
                <w:szCs w:val="20"/>
                <w:color w:val="auto"/>
              </w:rPr>
            </w:pPr>
            <w:r>
              <w:rPr>
                <w:rFonts w:ascii="Arial" w:cs="Arial" w:eastAsia="Arial" w:hAnsi="Arial"/>
                <w:sz w:val="15"/>
                <w:szCs w:val="15"/>
                <w:color w:val="auto"/>
              </w:rPr>
              <w:t>Investment gains (losses), net</w:t>
            </w: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92"/>
        </w:trPr>
        <w:tc>
          <w:tcPr>
            <w:tcW w:w="3960" w:type="dxa"/>
            <w:vAlign w:val="bottom"/>
            <w:gridSpan w:val="2"/>
          </w:tcPr>
          <w:p>
            <w:pPr>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5"/>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(3)</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(812)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84"/>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(4)</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75"/>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(407)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98"/>
        </w:trPr>
        <w:tc>
          <w:tcPr>
            <w:tcW w:w="3960" w:type="dxa"/>
            <w:vAlign w:val="bottom"/>
            <w:gridSpan w:val="2"/>
          </w:tcPr>
          <w:p>
            <w:pPr>
              <w:ind w:left="10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(6)</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186"/>
        </w:trPr>
        <w:tc>
          <w:tcPr>
            <w:tcW w:w="3860" w:type="dxa"/>
            <w:vAlign w:val="bottom"/>
            <w:tcBorders>
              <w:top w:val="single" w:sz="8" w:color="2C6937"/>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(2,313)</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(287)</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(2,208)</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(105)</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(151)</w:t>
            </w:r>
          </w:p>
        </w:tc>
      </w:tr>
      <w:tr>
        <w:trPr>
          <w:trHeight w:val="182"/>
        </w:trPr>
        <w:tc>
          <w:tcPr>
            <w:tcW w:w="3860" w:type="dxa"/>
            <w:vAlign w:val="bottom"/>
          </w:tcPr>
          <w:p>
            <w:pPr>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3,678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906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4,553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880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198"/>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for federal income taxes</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6"/>
        </w:trPr>
        <w:tc>
          <w:tcPr>
            <w:tcW w:w="386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2,918</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743</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3,607</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713</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(689)</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30</w:t>
            </w:r>
          </w:p>
        </w:tc>
      </w:tr>
      <w:tr>
        <w:trPr>
          <w:trHeight w:val="20"/>
        </w:trPr>
        <w:tc>
          <w:tcPr>
            <w:tcW w:w="3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20"/>
        </w:numPr>
        <w:rPr>
          <w:rFonts w:ascii="Arial" w:cs="Arial" w:eastAsia="Arial" w:hAnsi="Arial"/>
          <w:sz w:val="9"/>
          <w:szCs w:val="9"/>
          <w:color w:val="auto"/>
        </w:rPr>
      </w:pPr>
      <w:r>
        <w:rPr>
          <w:rFonts w:ascii="Arial" w:cs="Arial" w:eastAsia="Arial" w:hAnsi="Arial"/>
          <w:sz w:val="14"/>
          <w:szCs w:val="14"/>
          <w:color w:val="auto"/>
        </w:rPr>
        <w:t>See “Note 10, Segment Reporting” for information about our segment allocation methodology.</w:t>
      </w:r>
    </w:p>
    <w:p>
      <w:pPr>
        <w:spacing w:after="0" w:line="45" w:lineRule="exact"/>
        <w:rPr>
          <w:rFonts w:ascii="Arial" w:cs="Arial" w:eastAsia="Arial" w:hAnsi="Arial"/>
          <w:sz w:val="9"/>
          <w:szCs w:val="9"/>
          <w:color w:val="auto"/>
        </w:rPr>
      </w:pPr>
    </w:p>
    <w:p>
      <w:pPr>
        <w:ind w:left="240" w:right="80" w:hanging="237"/>
        <w:spacing w:after="0" w:line="275" w:lineRule="auto"/>
        <w:tabs>
          <w:tab w:leader="none" w:pos="233" w:val="left"/>
        </w:tabs>
        <w:numPr>
          <w:ilvl w:val="0"/>
          <w:numId w:val="20"/>
        </w:numPr>
        <w:rPr>
          <w:rFonts w:ascii="Arial" w:cs="Arial" w:eastAsia="Arial" w:hAnsi="Arial"/>
          <w:sz w:val="9"/>
          <w:szCs w:val="9"/>
          <w:color w:val="auto"/>
        </w:rPr>
      </w:pPr>
      <w:r>
        <w:rPr>
          <w:rFonts w:ascii="Arial" w:cs="Arial" w:eastAsia="Arial" w:hAnsi="Arial"/>
          <w:sz w:val="14"/>
          <w:szCs w:val="14"/>
          <w:color w:val="auto"/>
        </w:rPr>
        <w:t>For single-family, includes net interest income generated by the 10 basis point guaranty fee increase we implemented pursuant to the Temporary Payroll Tax Cut Continuation Act of 2011, and as extended by the Infrastructure Investment and Jobs Act, which is paid to Treasury and not retained by us.</w:t>
      </w:r>
    </w:p>
    <w:p>
      <w:pPr>
        <w:ind w:left="220" w:hanging="217"/>
        <w:spacing w:after="0"/>
        <w:tabs>
          <w:tab w:leader="none" w:pos="2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37" w:lineRule="exact"/>
        <w:rPr>
          <w:rFonts w:ascii="Arial" w:cs="Arial" w:eastAsia="Arial" w:hAnsi="Arial"/>
          <w:sz w:val="18"/>
          <w:szCs w:val="18"/>
          <w:color w:val="auto"/>
          <w:vertAlign w:val="superscript"/>
        </w:rPr>
      </w:pPr>
    </w:p>
    <w:p>
      <w:pPr>
        <w:ind w:left="240" w:right="80" w:hanging="237"/>
        <w:spacing w:after="0" w:line="219" w:lineRule="auto"/>
        <w:tabs>
          <w:tab w:leader="none" w:pos="233"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the affordable housing allocations and FHFA assessments.</w:t>
      </w:r>
    </w:p>
    <w:p>
      <w:pPr>
        <w:spacing w:after="0" w:line="13" w:lineRule="exact"/>
        <w:rPr>
          <w:rFonts w:ascii="Arial" w:cs="Arial" w:eastAsia="Arial" w:hAnsi="Arial"/>
          <w:sz w:val="18"/>
          <w:szCs w:val="18"/>
          <w:color w:val="auto"/>
          <w:vertAlign w:val="superscript"/>
        </w:rPr>
      </w:pPr>
    </w:p>
    <w:p>
      <w:pPr>
        <w:ind w:left="240" w:right="20" w:hanging="237"/>
        <w:spacing w:after="0" w:line="248" w:lineRule="auto"/>
        <w:tabs>
          <w:tab w:leader="none" w:pos="233" w:val="left"/>
        </w:tabs>
        <w:numPr>
          <w:ilvl w:val="0"/>
          <w:numId w:val="20"/>
        </w:numPr>
        <w:rPr>
          <w:rFonts w:ascii="Arial" w:cs="Arial" w:eastAsia="Arial" w:hAnsi="Arial"/>
          <w:sz w:val="9"/>
          <w:szCs w:val="9"/>
          <w:color w:val="auto"/>
        </w:rPr>
      </w:pPr>
      <w:r>
        <w:rPr>
          <w:rFonts w:ascii="Arial" w:cs="Arial" w:eastAsia="Arial" w:hAnsi="Arial"/>
          <w:sz w:val="13"/>
          <w:szCs w:val="13"/>
          <w:color w:val="auto"/>
        </w:rPr>
        <w:t>Single-family credit enhancement expense consists of costs associated with our freestanding credit enhancements, which primarily include our Connecticut Avenue Securities</w:t>
      </w:r>
      <w:r>
        <w:rPr>
          <w:rFonts w:ascii="Arial" w:cs="Arial" w:eastAsia="Arial" w:hAnsi="Arial"/>
          <w:sz w:val="8"/>
          <w:szCs w:val="8"/>
          <w:color w:val="auto"/>
        </w:rPr>
        <w:t>®</w:t>
      </w:r>
      <w:r>
        <w:rPr>
          <w:rFonts w:ascii="Arial" w:cs="Arial" w:eastAsia="Arial" w:hAnsi="Arial"/>
          <w:sz w:val="13"/>
          <w:szCs w:val="13"/>
          <w:color w:val="auto"/>
        </w:rPr>
        <w:t xml:space="preserve"> (“CAS”) and Credit Insurance Risk Transfer</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(“CIRT</w:t>
      </w:r>
      <w:r>
        <w:rPr>
          <w:rFonts w:ascii="Arial" w:cs="Arial" w:eastAsia="Arial" w:hAnsi="Arial"/>
          <w:sz w:val="16"/>
          <w:szCs w:val="16"/>
          <w:color w:val="auto"/>
          <w:vertAlign w:val="superscript"/>
        </w:rPr>
        <w:t>TM</w:t>
      </w:r>
      <w:r>
        <w:rPr>
          <w:rFonts w:ascii="Arial" w:cs="Arial" w:eastAsia="Arial" w:hAnsi="Arial"/>
          <w:sz w:val="13"/>
          <w:szCs w:val="13"/>
          <w:color w:val="auto"/>
        </w:rPr>
        <w:t>”) programs, enterprise-paid mortgage insurance programs and certain lender risk-sharing programs. Multifamily credit enhancement expense primarily consists of costs associated with our Multifamily CIRT</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(“MCIRT</w:t>
      </w:r>
      <w:r>
        <w:rPr>
          <w:rFonts w:ascii="Arial" w:cs="Arial" w:eastAsia="Arial" w:hAnsi="Arial"/>
          <w:sz w:val="16"/>
          <w:szCs w:val="16"/>
          <w:color w:val="auto"/>
          <w:vertAlign w:val="superscript"/>
        </w:rPr>
        <w:t>TM</w:t>
      </w:r>
      <w:r>
        <w:rPr>
          <w:rFonts w:ascii="Arial" w:cs="Arial" w:eastAsia="Arial" w:hAnsi="Arial"/>
          <w:sz w:val="13"/>
          <w:szCs w:val="13"/>
          <w:color w:val="auto"/>
        </w:rPr>
        <w:t>”) and Multifamily CAS (“MCAS</w:t>
      </w:r>
      <w:r>
        <w:rPr>
          <w:rFonts w:ascii="Arial" w:cs="Arial" w:eastAsia="Arial" w:hAnsi="Arial"/>
          <w:sz w:val="16"/>
          <w:szCs w:val="16"/>
          <w:color w:val="auto"/>
          <w:vertAlign w:val="superscript"/>
        </w:rPr>
        <w:t>TM</w:t>
      </w:r>
      <w:r>
        <w:rPr>
          <w:rFonts w:ascii="Arial" w:cs="Arial" w:eastAsia="Arial" w:hAnsi="Arial"/>
          <w:sz w:val="13"/>
          <w:szCs w:val="13"/>
          <w:color w:val="auto"/>
        </w:rPr>
        <w:t>”) programs as well as amortization expense for certain lender risk-sharing programs. Excludes CAS transactions accounted for as debt instruments and credit risk transfer programs accounted for as derivative instruments.</w:t>
      </w:r>
    </w:p>
    <w:p>
      <w:pPr>
        <w:spacing w:after="0" w:line="19" w:lineRule="exact"/>
        <w:rPr>
          <w:rFonts w:ascii="Arial" w:cs="Arial" w:eastAsia="Arial" w:hAnsi="Arial"/>
          <w:sz w:val="9"/>
          <w:szCs w:val="9"/>
          <w:color w:val="auto"/>
        </w:rPr>
      </w:pPr>
    </w:p>
    <w:p>
      <w:pPr>
        <w:ind w:left="240" w:right="360" w:hanging="237"/>
        <w:spacing w:after="0" w:line="218" w:lineRule="auto"/>
        <w:tabs>
          <w:tab w:leader="none" w:pos="233"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Primarily consists of foreclosed property income (expense), change in the expected benefits from our freestanding credit enhancements, and gains and losses from partnership investments.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4"/>
          <w:szCs w:val="14"/>
          <w:color w:val="05314D"/>
        </w:rPr>
        <w:t>MD&amp;A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40"/>
        <w:spacing w:after="0"/>
        <w:rPr>
          <w:sz w:val="20"/>
          <w:szCs w:val="20"/>
          <w:color w:val="auto"/>
        </w:rPr>
      </w:pPr>
      <w:r>
        <w:rPr>
          <w:rFonts w:ascii="Georgia" w:cs="Georgia" w:eastAsia="Georgia" w:hAnsi="Georgia"/>
          <w:sz w:val="19"/>
          <w:szCs w:val="19"/>
          <w:b w:val="1"/>
          <w:bCs w:val="1"/>
          <w:color w:val="05314D"/>
        </w:rPr>
        <w:t>Net Interest Income</w:t>
      </w:r>
    </w:p>
    <w:p>
      <w:pPr>
        <w:spacing w:after="0" w:line="16" w:lineRule="exact"/>
        <w:rPr>
          <w:sz w:val="20"/>
          <w:szCs w:val="20"/>
          <w:color w:val="auto"/>
        </w:rPr>
      </w:pPr>
    </w:p>
    <w:p>
      <w:pPr>
        <w:ind w:left="4640"/>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105410</wp:posOffset>
            </wp:positionV>
            <wp:extent cx="5337810" cy="1571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37810" cy="157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w:t>
      </w:r>
    </w:p>
    <w:p>
      <w:pPr>
        <w:spacing w:after="0" w:line="67"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The small decrease in net interest income for the first quarter of 2025 compared with the first quarter of 2024 was driven by lower net interest income from portfolios, which was largely offset by higher income from base guaranty fees and lower expense from hedge accounting.</w:t>
      </w:r>
    </w:p>
    <w:p>
      <w:pPr>
        <w:spacing w:after="0" w:line="93"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w:t>
      </w:r>
    </w:p>
    <w:p>
      <w:pPr>
        <w:spacing w:after="0" w:line="6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The small decrease in net interest income for the first quarter of 2025 compared with the first quarter of 2024 was driven by an increase in our multifamily nonaccrual population, which was largely offset by higher guaranty fee income as a result of an increase in the size of our multifamily guaranty book of business and higher yield maintenance income from an increase in prepayments.</w:t>
      </w:r>
    </w:p>
    <w:p>
      <w:pPr>
        <w:spacing w:after="0" w:line="11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(Provision) Benefit for Credit Losses</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7620</wp:posOffset>
            </wp:positionV>
            <wp:extent cx="5460365" cy="1571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60365" cy="157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See “Consolidated Results of Operations—(Provision) Benefit for Credit Losses” for a discussion of our single-family and multifamily (provision) benefit for credit losses.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0" w:name="page21"/>
    <w:bookmarkEnd w:id="20"/>
    <w:p>
      <w:pPr>
        <w:ind w:left="8440"/>
        <w:spacing w:after="0"/>
        <w:rPr>
          <w:sz w:val="20"/>
          <w:szCs w:val="20"/>
          <w:color w:val="auto"/>
        </w:rPr>
      </w:pPr>
      <w:r>
        <w:rPr>
          <w:rFonts w:ascii="Arial" w:cs="Arial" w:eastAsia="Arial" w:hAnsi="Arial"/>
          <w:sz w:val="13"/>
          <w:szCs w:val="13"/>
          <w:color w:val="05314D"/>
        </w:rPr>
        <w:t>MD&amp;A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Fair Value Gains (Losses), Net</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56515</wp:posOffset>
            </wp:positionV>
            <wp:extent cx="5460365" cy="1571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60365" cy="157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w:t>
      </w:r>
    </w:p>
    <w:p>
      <w:pPr>
        <w:spacing w:after="0" w:line="6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Fair value gains, net in the first quarter of 2025 were driven by gains on fixed-rate trading securities, which were substantially offset by losses on long-term debt of consolidated trusts held at fair value, mortgage commitment derivatives, and risk management derivatives, all of which were primarily due to declining interest rates in the first quarter of 2025. Our hedge accounting program is designed to hedge our exposure to changes in benchmark interest rates and, therefore, offsets a portion of the fair value volatility we would otherwise experience. The fair value gains and losses after the impact of hedge accounting primarily relate to spreads, convexity, and other components that are not effectively captured by our hedge accounting program.</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Fair value gains, net in the first quarter of 2024 were primarily driven by gains on risk management derivatives, mortgage commitment derivatives, and long-term debt of consolidated trusts held at fair value, primarily due to increases in interest rates. These gains were partially offset by the impact of declining prices of fixed-rate trading securities, also primarily driven by increasing interest rates.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1" w:name="page22"/>
    <w:bookmarkEnd w:id="21"/>
    <w:p>
      <w:pPr>
        <w:ind w:left="7160"/>
        <w:spacing w:after="0"/>
        <w:rPr>
          <w:sz w:val="20"/>
          <w:szCs w:val="20"/>
          <w:color w:val="auto"/>
        </w:rPr>
      </w:pPr>
      <w:r>
        <w:rPr>
          <w:rFonts w:ascii="Arial" w:cs="Arial" w:eastAsia="Arial" w:hAnsi="Arial"/>
          <w:sz w:val="14"/>
          <w:szCs w:val="14"/>
          <w:color w:val="05314D"/>
        </w:rPr>
        <w:t>MD&amp;A | Single-Family Business | Single-Family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Single-Family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400"/>
        <w:spacing w:after="0" w:line="272" w:lineRule="auto"/>
        <w:rPr>
          <w:sz w:val="20"/>
          <w:szCs w:val="20"/>
          <w:color w:val="auto"/>
        </w:rPr>
      </w:pPr>
      <w:r>
        <w:rPr>
          <w:rFonts w:ascii="Arial" w:cs="Arial" w:eastAsia="Arial" w:hAnsi="Arial"/>
          <w:sz w:val="16"/>
          <w:szCs w:val="16"/>
          <w:color w:val="auto"/>
        </w:rPr>
        <w:t>This section supplements and updates information regarding our Single-Family business segment in our 2024 Form 10-K. See “MD&amp;A—Single-Family Business” in our 2024 Form 10-K for additional information regarding the primary business activities, lenders, investors and competition of our Single-Family business.</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Market</w:t>
      </w:r>
    </w:p>
    <w:p>
      <w:pPr>
        <w:spacing w:after="0" w:line="63"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Total housing activity modestly increased in the first quarter of 2025 compared with the fourth quarter of 2024. Existing home sales averaged 4.13 million units annualized in the first quarter of 2025, compared with 4.16 million units in the fourth quarter of 2024, according to data from the National Association of REALTORS</w:t>
      </w:r>
      <w:r>
        <w:rPr>
          <w:rFonts w:ascii="Arial" w:cs="Arial" w:eastAsia="Arial" w:hAnsi="Arial"/>
          <w:sz w:val="21"/>
          <w:szCs w:val="21"/>
          <w:color w:val="auto"/>
          <w:vertAlign w:val="superscript"/>
        </w:rPr>
        <w:t>®</w:t>
      </w:r>
      <w:r>
        <w:rPr>
          <w:rFonts w:ascii="Arial" w:cs="Arial" w:eastAsia="Arial" w:hAnsi="Arial"/>
          <w:sz w:val="16"/>
          <w:szCs w:val="16"/>
          <w:color w:val="auto"/>
        </w:rPr>
        <w:t>. According to the U.S. Census Bureau, new single-family home sales averaged an annualized rate of approximately 684,000 units in the first quarter of 2025, compared with approximately 673,000 units in the fourth quarter of 2024.</w:t>
      </w:r>
    </w:p>
    <w:p>
      <w:pPr>
        <w:spacing w:after="0" w:line="67"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The U.S. weekly average 30-year fixed mortgage rate was 6.65% as of March 27, 2025, compared with 6.85% as of December 26, 2024, and averaged 6.83% in the first quarter of 2025, compared with 6.63% in the fourth quarter of 2024,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Single-family mortgage market originations increased from an estimated $327 billion in the first quarter of 2024 to an estimated $378 billion in the first quarter of 2025. According to the April forecast from our Economic and Strategic Research Group, total originations in the U.S. single-family mortgage market in 2025 are forecasted to increase from 2024 levels by approximately 17%, from an estimated $1.69 trillion in 2024 to $1.98 trillion in 2025, and the amount of refinance originations in the U.S. single-family mortgage market are forecasted to increase from an estimated $390 billion in 2024 to $529 billion in 2025. Our Economic and Strategic Research Group’s April forecast is based on data available as of April 11, 2025. See “Key Market Economic Indicators” in our 2024 Form 10-K and this report for additional discussion of how housing activity can affect our financial results and the uncertainties that may affect our forecasts and expectations.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19</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jc w:val="right"/>
        <w:ind w:right="20"/>
        <w:spacing w:after="0"/>
        <w:rPr>
          <w:sz w:val="20"/>
          <w:szCs w:val="20"/>
          <w:color w:val="auto"/>
        </w:rPr>
      </w:pPr>
      <w:r>
        <w:rPr>
          <w:rFonts w:ascii="Arial" w:cs="Arial" w:eastAsia="Arial" w:hAnsi="Arial"/>
          <w:sz w:val="14"/>
          <w:szCs w:val="14"/>
          <w:color w:val="05314D"/>
        </w:rPr>
        <w:t>MD&amp;A | Single-Family Business | 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Mortgage-Related Securities Issuances Share</w:t>
      </w:r>
    </w:p>
    <w:p>
      <w:pPr>
        <w:spacing w:after="0" w:line="6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Our single-family Fannie Mae MBS issuances were $69.0 billion for the first quarter of 2025, compared with $65.1 billion for the first quarter of 2024. Based on the latest data available, the charts below display our estimated share of single-family mortgage-related securities issuances as compared with that of our primary competitors for the issuance of single-family mortgage-related securities for the periods indicated.</w:t>
      </w:r>
    </w:p>
    <w:p>
      <w:pPr>
        <w:spacing w:after="0" w:line="11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154940</wp:posOffset>
            </wp:positionV>
            <wp:extent cx="4715510" cy="25215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1551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160" w:type="dxa"/>
        <w:tblCellMar>
          <w:top w:w="0" w:type="dxa"/>
          <w:left w:w="0" w:type="dxa"/>
          <w:bottom w:w="0" w:type="dxa"/>
          <w:right w:w="0" w:type="dxa"/>
        </w:tblCellMar>
      </w:tblPr>
      <w:tr>
        <w:trPr>
          <w:trHeight w:val="193"/>
        </w:trPr>
        <w:tc>
          <w:tcPr>
            <w:tcW w:w="4000" w:type="dxa"/>
            <w:vAlign w:val="bottom"/>
          </w:tcPr>
          <w:p>
            <w:pPr>
              <w:spacing w:after="0"/>
              <w:rPr>
                <w:sz w:val="20"/>
                <w:szCs w:val="20"/>
                <w:color w:val="auto"/>
              </w:rPr>
            </w:pPr>
            <w:r>
              <w:rPr>
                <w:rFonts w:ascii="Arial" w:cs="Arial" w:eastAsia="Arial" w:hAnsi="Arial"/>
                <w:sz w:val="14"/>
                <w:szCs w:val="14"/>
                <w:color w:val="auto"/>
              </w:rPr>
              <w:t>Ginnie Mae</w:t>
            </w:r>
          </w:p>
        </w:tc>
        <w:tc>
          <w:tcPr>
            <w:tcW w:w="220" w:type="dxa"/>
            <w:vAlign w:val="bottom"/>
            <w:shd w:val="clear" w:color="auto" w:fill="911A5B"/>
          </w:tcPr>
          <w:p>
            <w:pPr>
              <w:spacing w:after="0"/>
              <w:rPr>
                <w:sz w:val="16"/>
                <w:szCs w:val="16"/>
                <w:color w:val="auto"/>
              </w:rPr>
            </w:pPr>
          </w:p>
        </w:tc>
        <w:tc>
          <w:tcPr>
            <w:tcW w:w="1600" w:type="dxa"/>
            <w:vAlign w:val="bottom"/>
          </w:tcPr>
          <w:p>
            <w:pPr>
              <w:ind w:left="220"/>
              <w:spacing w:after="0"/>
              <w:rPr>
                <w:sz w:val="20"/>
                <w:szCs w:val="20"/>
                <w:color w:val="auto"/>
              </w:rPr>
            </w:pPr>
            <w:r>
              <w:rPr>
                <w:rFonts w:ascii="Arial" w:cs="Arial" w:eastAsia="Arial" w:hAnsi="Arial"/>
                <w:sz w:val="14"/>
                <w:szCs w:val="14"/>
                <w:color w:val="auto"/>
                <w:w w:val="96"/>
              </w:rPr>
              <w:t>Private-label securities</w:t>
            </w:r>
          </w:p>
        </w:tc>
        <w:tc>
          <w:tcPr>
            <w:tcW w:w="0" w:type="dxa"/>
            <w:vAlign w:val="bottom"/>
          </w:tcPr>
          <w:p>
            <w:pPr>
              <w:spacing w:after="0"/>
              <w:rPr>
                <w:sz w:val="1"/>
                <w:szCs w:val="1"/>
                <w:color w:val="auto"/>
              </w:rPr>
            </w:pPr>
          </w:p>
        </w:tc>
      </w:tr>
      <w:tr>
        <w:trPr>
          <w:trHeight w:val="52"/>
        </w:trPr>
        <w:tc>
          <w:tcPr>
            <w:tcW w:w="4000" w:type="dxa"/>
            <w:vAlign w:val="bottom"/>
            <w:vMerge w:val="restart"/>
          </w:tcPr>
          <w:p>
            <w:pPr>
              <w:spacing w:after="0"/>
              <w:rPr>
                <w:sz w:val="20"/>
                <w:szCs w:val="20"/>
                <w:color w:val="auto"/>
              </w:rPr>
            </w:pPr>
            <w:r>
              <w:rPr>
                <w:rFonts w:ascii="Arial" w:cs="Arial" w:eastAsia="Arial" w:hAnsi="Arial"/>
                <w:sz w:val="14"/>
                <w:szCs w:val="14"/>
                <w:color w:val="auto"/>
              </w:rPr>
              <w:t>Fannie Mae</w:t>
            </w:r>
          </w:p>
        </w:tc>
        <w:tc>
          <w:tcPr>
            <w:tcW w:w="220" w:type="dxa"/>
            <w:vAlign w:val="bottom"/>
          </w:tcPr>
          <w:p>
            <w:pPr>
              <w:spacing w:after="0"/>
              <w:rPr>
                <w:sz w:val="4"/>
                <w:szCs w:val="4"/>
                <w:color w:val="auto"/>
              </w:rPr>
            </w:pPr>
          </w:p>
        </w:tc>
        <w:tc>
          <w:tcPr>
            <w:tcW w:w="1600" w:type="dxa"/>
            <w:vAlign w:val="bottom"/>
            <w:vMerge w:val="restart"/>
          </w:tcPr>
          <w:p>
            <w:pPr>
              <w:ind w:left="220"/>
              <w:spacing w:after="0"/>
              <w:rPr>
                <w:sz w:val="20"/>
                <w:szCs w:val="20"/>
                <w:color w:val="auto"/>
              </w:rPr>
            </w:pPr>
            <w:r>
              <w:rPr>
                <w:rFonts w:ascii="Arial" w:cs="Arial" w:eastAsia="Arial" w:hAnsi="Arial"/>
                <w:sz w:val="14"/>
                <w:szCs w:val="14"/>
                <w:color w:val="auto"/>
              </w:rPr>
              <w:t>Freddie Mac</w:t>
            </w:r>
          </w:p>
        </w:tc>
        <w:tc>
          <w:tcPr>
            <w:tcW w:w="0" w:type="dxa"/>
            <w:vAlign w:val="bottom"/>
          </w:tcPr>
          <w:p>
            <w:pPr>
              <w:spacing w:after="0"/>
              <w:rPr>
                <w:sz w:val="1"/>
                <w:szCs w:val="1"/>
                <w:color w:val="auto"/>
              </w:rPr>
            </w:pPr>
          </w:p>
        </w:tc>
      </w:tr>
      <w:tr>
        <w:trPr>
          <w:trHeight w:val="193"/>
        </w:trPr>
        <w:tc>
          <w:tcPr>
            <w:tcW w:w="4000" w:type="dxa"/>
            <w:vAlign w:val="bottom"/>
            <w:vMerge w:val="continue"/>
          </w:tcPr>
          <w:p>
            <w:pPr>
              <w:spacing w:after="0"/>
              <w:rPr>
                <w:sz w:val="16"/>
                <w:szCs w:val="16"/>
                <w:color w:val="auto"/>
              </w:rPr>
            </w:pPr>
          </w:p>
        </w:tc>
        <w:tc>
          <w:tcPr>
            <w:tcW w:w="220" w:type="dxa"/>
            <w:vAlign w:val="bottom"/>
            <w:shd w:val="clear" w:color="auto" w:fill="5587A6"/>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-121920</wp:posOffset>
            </wp:positionV>
            <wp:extent cx="139065" cy="1225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9065" cy="122555"/>
                    </a:xfrm>
                    <a:prstGeom prst="rect">
                      <a:avLst/>
                    </a:prstGeom>
                    <a:noFill/>
                  </pic:spPr>
                </pic:pic>
              </a:graphicData>
            </a:graphic>
          </wp:anchor>
        </w:drawing>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market share is influenced by various factors, including the pricing of single-family loans and the competitive market environment. When making pricing and acquisition decisions for single-family loans, we must consider a mix of often competing factors, such as competitive market dynamics, our capital requirements, our housing mission requirements and UMBS market liquidity objectives. Balancing these considerations can sometimes create challenges that impact our ability to compete effectively in the marketplace. For a discussion of factors that affect or could affect our business, our competitive environment, demand for our MBS, or the liquidity and market value of our MBS, as well as the risks associated with our conservatorship, our higher capital requirements relative to that of our primary competitor, our housing mission requirements, the UMBS market and the performance of our MBS, see “Business—Conservatorship and Treasury Agreements,” “Business—Legislation and Regulation,” “Risk Factors” and “MD&amp;A—Single-Family Business— Single-Family Competition” in our 2024 Form 10-K, as well as “Legislation and Regulation” in this report.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3" w:name="page24"/>
    <w:bookmarkEnd w:id="23"/>
    <w:p>
      <w:pPr>
        <w:ind w:left="716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Select Business Metrics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charts below display our average charged guaranty fees, net of TCCA fees, on our single-family conventional guaranty book of business and on new single-family conventional loan acquisitions, along with our average single-family conventional guaranty book of business and our single-family conventional loan acquisitions for the periods presented.</w:t>
      </w:r>
    </w:p>
    <w:p>
      <w:pPr>
        <w:spacing w:after="0" w:line="3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 Single-Family Business Metrics</w:t>
      </w:r>
      <w:r>
        <w:rPr>
          <w:rFonts w:ascii="Georgia" w:cs="Georgia" w:eastAsia="Georgia" w:hAnsi="Georgia"/>
          <w:sz w:val="24"/>
          <w:szCs w:val="24"/>
          <w:b w:val="1"/>
          <w:bCs w:val="1"/>
          <w:color w:val="05314D"/>
          <w:vertAlign w:val="superscript"/>
        </w:rPr>
        <w:t>(1)</w:t>
      </w:r>
    </w:p>
    <w:p>
      <w:pPr>
        <w:jc w:val="center"/>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64770</wp:posOffset>
            </wp:positionV>
            <wp:extent cx="5591175" cy="18503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91175" cy="185039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80" w:right="400"/>
        <w:spacing w:after="0" w:line="295" w:lineRule="auto"/>
        <w:rPr>
          <w:sz w:val="20"/>
          <w:szCs w:val="20"/>
          <w:color w:val="auto"/>
        </w:rPr>
      </w:pPr>
      <w:r>
        <w:rPr>
          <w:rFonts w:ascii="Arial" w:cs="Arial" w:eastAsia="Arial" w:hAnsi="Arial"/>
          <w:sz w:val="14"/>
          <w:szCs w:val="14"/>
          <w:color w:val="auto"/>
        </w:rPr>
        <w:t>Average charged guaranty fee on single-family conventional guaranty book of business,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37465</wp:posOffset>
            </wp:positionV>
            <wp:extent cx="147320" cy="984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7320" cy="98425"/>
                    </a:xfrm>
                    <a:prstGeom prst="rect">
                      <a:avLst/>
                    </a:prstGeom>
                    <a:noFill/>
                  </pic:spPr>
                </pic:pic>
              </a:graphicData>
            </a:graphic>
          </wp:anchor>
        </w:drawing>
      </w:r>
    </w:p>
    <w:p>
      <w:pPr>
        <w:spacing w:after="0" w:line="58" w:lineRule="exact"/>
        <w:rPr>
          <w:sz w:val="20"/>
          <w:szCs w:val="20"/>
          <w:color w:val="auto"/>
        </w:rPr>
      </w:pPr>
    </w:p>
    <w:p>
      <w:pPr>
        <w:ind w:left="1180" w:right="680"/>
        <w:spacing w:after="0" w:line="295" w:lineRule="auto"/>
        <w:rPr>
          <w:sz w:val="20"/>
          <w:szCs w:val="20"/>
          <w:color w:val="auto"/>
        </w:rPr>
      </w:pPr>
      <w:r>
        <w:rPr>
          <w:rFonts w:ascii="Arial" w:cs="Arial" w:eastAsia="Arial" w:hAnsi="Arial"/>
          <w:sz w:val="14"/>
          <w:szCs w:val="14"/>
          <w:color w:val="auto"/>
        </w:rPr>
        <w:t>Average charged guaranty fee on new single-family conventional acquisitions,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Average single-family conventional guaranty book of business</w:t>
      </w:r>
      <w:r>
        <w:rPr>
          <w:rFonts w:ascii="Arial" w:cs="Arial" w:eastAsia="Arial" w:hAnsi="Arial"/>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201295</wp:posOffset>
            </wp:positionV>
            <wp:extent cx="155575" cy="984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5575" cy="9842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Single-family conventional acquisitions</w:t>
      </w:r>
    </w:p>
    <w:p>
      <w:pPr>
        <w:spacing w:after="0" w:line="380" w:lineRule="exact"/>
        <w:rPr>
          <w:sz w:val="20"/>
          <w:szCs w:val="20"/>
          <w:color w:val="auto"/>
        </w:rPr>
      </w:pPr>
    </w:p>
    <w:p>
      <w:pPr>
        <w:sectPr>
          <w:pgSz w:w="11900" w:h="16838" w:orient="portrait"/>
          <w:cols w:equalWidth="0" w:num="2">
            <w:col w:w="5800" w:space="720"/>
            <w:col w:w="4720"/>
          </w:cols>
          <w:pgMar w:left="320" w:top="248" w:right="339" w:bottom="1440" w:gutter="0" w:footer="0" w:header="0"/>
          <w:type w:val="continuous"/>
        </w:sectPr>
      </w:pPr>
    </w:p>
    <w:p>
      <w:pPr>
        <w:ind w:left="240" w:right="260" w:hanging="236"/>
        <w:spacing w:after="0" w:line="226" w:lineRule="auto"/>
        <w:tabs>
          <w:tab w:leader="none" w:pos="27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For information reported in this “Single-Family Business” section, our single-family conventional guaranty book of business is measured using the unpaid principal balance of our mortgage loans underlying Fannie Mae MBS outstanding.</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1"/>
        </w:numPr>
        <w:rPr>
          <w:rFonts w:ascii="Arial" w:cs="Arial" w:eastAsia="Arial" w:hAnsi="Arial"/>
          <w:sz w:val="9"/>
          <w:szCs w:val="9"/>
          <w:color w:val="auto"/>
        </w:rPr>
      </w:pPr>
      <w:r>
        <w:rPr>
          <w:rFonts w:ascii="Arial" w:cs="Arial" w:eastAsia="Arial" w:hAnsi="Arial"/>
          <w:sz w:val="14"/>
          <w:szCs w:val="14"/>
          <w:color w:val="auto"/>
        </w:rPr>
        <w:t>Excludes the impact of a 10 basis point guaranty fee increase implemented pursuant to the TCCA, the incremental revenue from which is paid to Treasury and not retained by us.</w:t>
      </w:r>
    </w:p>
    <w:p>
      <w:pPr>
        <w:spacing w:after="0" w:line="45" w:lineRule="exact"/>
        <w:rPr>
          <w:rFonts w:ascii="Arial" w:cs="Arial" w:eastAsia="Arial" w:hAnsi="Arial"/>
          <w:sz w:val="9"/>
          <w:szCs w:val="9"/>
          <w:color w:val="auto"/>
        </w:rPr>
      </w:pPr>
    </w:p>
    <w:p>
      <w:pPr>
        <w:ind w:left="240" w:right="140" w:hanging="237"/>
        <w:spacing w:after="0" w:line="264" w:lineRule="auto"/>
        <w:tabs>
          <w:tab w:leader="none" w:pos="270" w:val="left"/>
        </w:tabs>
        <w:numPr>
          <w:ilvl w:val="0"/>
          <w:numId w:val="21"/>
        </w:numPr>
        <w:rPr>
          <w:rFonts w:ascii="Arial" w:cs="Arial" w:eastAsia="Arial" w:hAnsi="Arial"/>
          <w:sz w:val="9"/>
          <w:szCs w:val="9"/>
          <w:color w:val="auto"/>
        </w:rPr>
      </w:pPr>
      <w:r>
        <w:rPr>
          <w:rFonts w:ascii="Arial" w:cs="Arial" w:eastAsia="Arial" w:hAnsi="Arial"/>
          <w:sz w:val="14"/>
          <w:szCs w:val="14"/>
          <w:color w:val="auto"/>
        </w:rPr>
        <w:t>Our single-family conventional guaranty book of business primarily consists of single-family conventional mortgage loans underlying Fannie Mae MBS outstanding. It also includes single-family conventional mortgage loans of Fannie Mae held in our retained mortgage portfolio, and other credit enhancements that we provide on single-family conventional mortgage assets. Our average single-family conventional guaranty book of business is based on the average of quarter-end balances.</w:t>
      </w:r>
    </w:p>
    <w:p>
      <w:pPr>
        <w:spacing w:after="0" w:line="3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single-family conventional loan acquisition volumes remained at low levels in the first quarter of 2025 and the first quarter of 2024. Housing affordability constraints and limited supply continued to put downward pressure on the volume of purchase loans we acquired. In addition, the average 30-year fixed-rate mortgage rate in first quarter of 2025 and the first quarter of 2024 remained higher than the interest rates of most outstanding single-family loans, resulting in low refinancing volumes.</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Average charged guaranty fee on newly acquired conventional single-family loans is a metric management uses to measure the amount we earn as compensation for the credit risk we manage and to assess our return. Average charged guaranty fee represents, on an annualized basis, the average of the base guaranty fees charged during the period for our single-family conventional guaranty arrangements, which we receive monthly over the life of the loan, plus the recognition of any upfront cash payments, including loan-level price adjustments, based on an estimated average life at the time of acquisition.</w:t>
      </w:r>
    </w:p>
    <w:p>
      <w:pPr>
        <w:spacing w:after="0" w:line="33"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average charged guaranty fee in the first quarter of 2025 on newly acquired conventional single-family loans, net of TCCA fees increased compared with the first quarter of 2024, primarily as result of higher base guaranty fees charged on new acquisitions.</w:t>
      </w:r>
    </w:p>
    <w:p>
      <w:pPr>
        <w:spacing w:after="0" w:line="7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Credit Risk Management</w:t>
      </w:r>
    </w:p>
    <w:p>
      <w:pPr>
        <w:spacing w:after="0" w:line="63" w:lineRule="exact"/>
        <w:rPr>
          <w:sz w:val="20"/>
          <w:szCs w:val="20"/>
          <w:color w:val="auto"/>
        </w:rPr>
      </w:pPr>
    </w:p>
    <w:p>
      <w:pPr>
        <w:ind w:right="400"/>
        <w:spacing w:after="0" w:line="272" w:lineRule="auto"/>
        <w:rPr>
          <w:sz w:val="20"/>
          <w:szCs w:val="20"/>
          <w:color w:val="auto"/>
        </w:rPr>
      </w:pPr>
      <w:r>
        <w:rPr>
          <w:rFonts w:ascii="Arial" w:cs="Arial" w:eastAsia="Arial" w:hAnsi="Arial"/>
          <w:sz w:val="16"/>
          <w:szCs w:val="16"/>
          <w:color w:val="auto"/>
        </w:rPr>
        <w:t>This section updates our discussion of single-family mortgage credit risk management in our 2024 Form 10-K. For additional information on our single-family acquisition and servicing policies, underwriting and servicing standards, quality control process, repurchase requests, and representation and warranty framework, see “MD&amp;A—Single-Family Business—Single-Family Mortgage Credit Risk Management” in our 2024 Form 10-K.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21</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4" w:name="page25"/>
    <w:bookmarkEnd w:id="24"/>
    <w:p>
      <w:pPr>
        <w:jc w:val="right"/>
        <w:ind w:right="12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Guaranty Book Diversification and Monitoring</w:t>
      </w:r>
    </w:p>
    <w:p>
      <w:pPr>
        <w:spacing w:after="0" w:line="80"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The following table displays our single-family conventional business volumes and our single-family conventional guaranty book of business, based on certain key risk characteristics that we use to evaluate the risk profile and credit quality of our single-family loans. For a description of the key risk characteristics of our single-family conventional guaranty book of business, see “MD&amp;A—Single-Family Business—Single-Family Mortgage Credit Risk Management—Single-Family Guaranty Book Diversification and Monitoring—Overview” in our 2024 Form 10-K.</w:t>
      </w:r>
    </w:p>
    <w:p>
      <w:pPr>
        <w:spacing w:after="0" w:line="35" w:lineRule="exact"/>
        <w:rPr>
          <w:sz w:val="20"/>
          <w:szCs w:val="20"/>
          <w:color w:val="auto"/>
        </w:rPr>
      </w:pPr>
    </w:p>
    <w:p>
      <w:pPr>
        <w:ind w:right="620"/>
        <w:spacing w:after="0" w:line="281" w:lineRule="auto"/>
        <w:rPr>
          <w:sz w:val="20"/>
          <w:szCs w:val="20"/>
          <w:color w:val="auto"/>
        </w:rPr>
      </w:pPr>
      <w:r>
        <w:rPr>
          <w:rFonts w:ascii="Arial" w:cs="Arial" w:eastAsia="Arial" w:hAnsi="Arial"/>
          <w:sz w:val="16"/>
          <w:szCs w:val="16"/>
          <w:color w:val="auto"/>
        </w:rPr>
        <w:t>We provide additional information on the credit characteristics of our single-family loans in quarterly financial supplements, which we furnish to the Securities and Exchange Commission (the “SEC”) with current reports on Form 8-K and make available on our website. Information in our quarterly financial supplements is not incorporated by reference into this report.</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5" w:name="page26"/>
    <w:bookmarkEnd w:id="25"/>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Single-Family Conventional Business Volume and Guaranty Book of Business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Percent of Single-Family Conventional Business Volume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Percent of Single-Family Conventional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60" w:type="dxa"/>
            <w:vAlign w:val="bottom"/>
            <w:gridSpan w:val="3"/>
          </w:tcPr>
          <w:p>
            <w:pPr>
              <w:jc w:val="center"/>
              <w:ind w:right="520"/>
              <w:spacing w:after="0" w:line="141" w:lineRule="exact"/>
              <w:rPr>
                <w:sz w:val="20"/>
                <w:szCs w:val="20"/>
                <w:color w:val="auto"/>
              </w:rPr>
            </w:pPr>
            <w:r>
              <w:rPr>
                <w:rFonts w:ascii="Arial" w:cs="Arial" w:eastAsia="Arial" w:hAnsi="Arial"/>
                <w:sz w:val="13"/>
                <w:szCs w:val="13"/>
                <w:b w:val="1"/>
                <w:bCs w:val="1"/>
                <w:color w:val="auto"/>
              </w:rPr>
              <w:t>at Acquisition</w:t>
            </w:r>
            <w:r>
              <w:rPr>
                <w:rFonts w:ascii="Arial" w:cs="Arial" w:eastAsia="Arial" w:hAnsi="Arial"/>
                <w:sz w:val="16"/>
                <w:szCs w:val="16"/>
                <w:b w:val="1"/>
                <w:bCs w:val="1"/>
                <w:color w:val="auto"/>
                <w:vertAlign w:val="superscript"/>
              </w:rPr>
              <w:t>(2)</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2C6937"/>
            </w:tcBorders>
          </w:tcPr>
          <w:p>
            <w:pPr>
              <w:spacing w:after="0"/>
              <w:rPr>
                <w:sz w:val="5"/>
                <w:szCs w:val="5"/>
                <w:color w:val="auto"/>
              </w:rPr>
            </w:pPr>
          </w:p>
        </w:tc>
        <w:tc>
          <w:tcPr>
            <w:tcW w:w="640" w:type="dxa"/>
            <w:vAlign w:val="bottom"/>
            <w:tcBorders>
              <w:bottom w:val="single" w:sz="8" w:color="2C6937"/>
            </w:tcBorders>
          </w:tcPr>
          <w:p>
            <w:pPr>
              <w:spacing w:after="0"/>
              <w:rPr>
                <w:sz w:val="5"/>
                <w:szCs w:val="5"/>
                <w:color w:val="auto"/>
              </w:rPr>
            </w:pPr>
          </w:p>
        </w:tc>
        <w:tc>
          <w:tcPr>
            <w:tcW w:w="260" w:type="dxa"/>
            <w:vAlign w:val="bottom"/>
            <w:tcBorders>
              <w:bottom w:val="single" w:sz="8" w:color="2C6937"/>
            </w:tcBorders>
          </w:tcPr>
          <w:p>
            <w:pPr>
              <w:spacing w:after="0"/>
              <w:rPr>
                <w:sz w:val="5"/>
                <w:szCs w:val="5"/>
                <w:color w:val="auto"/>
              </w:rPr>
            </w:pPr>
          </w:p>
        </w:tc>
        <w:tc>
          <w:tcPr>
            <w:tcW w:w="1160" w:type="dxa"/>
            <w:vAlign w:val="bottom"/>
            <w:tcBorders>
              <w:bottom w:val="single" w:sz="8" w:color="2C6937"/>
            </w:tcBorders>
          </w:tcPr>
          <w:p>
            <w:pPr>
              <w:spacing w:after="0"/>
              <w:rPr>
                <w:sz w:val="5"/>
                <w:szCs w:val="5"/>
                <w:color w:val="auto"/>
              </w:rPr>
            </w:pPr>
          </w:p>
        </w:tc>
        <w:tc>
          <w:tcPr>
            <w:tcW w:w="600" w:type="dxa"/>
            <w:vAlign w:val="bottom"/>
            <w:tcBorders>
              <w:bottom w:val="single" w:sz="8" w:color="2C6937"/>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500" w:type="dxa"/>
            <w:vAlign w:val="bottom"/>
            <w:gridSpan w:val="4"/>
            <w:vMerge w:val="restart"/>
          </w:tcPr>
          <w:p>
            <w:pPr>
              <w:jc w:val="center"/>
              <w:spacing w:after="0" w:line="133" w:lineRule="exact"/>
              <w:rPr>
                <w:sz w:val="20"/>
                <w:szCs w:val="20"/>
                <w:color w:val="auto"/>
              </w:rPr>
            </w:pPr>
            <w:r>
              <w:rPr>
                <w:rFonts w:ascii="Arial" w:cs="Arial" w:eastAsia="Arial" w:hAnsi="Arial"/>
                <w:sz w:val="12"/>
                <w:szCs w:val="12"/>
                <w:b w:val="1"/>
                <w:bCs w:val="1"/>
                <w:color w:val="auto"/>
              </w:rPr>
              <w:t>Guaranty Book of Business</w:t>
            </w:r>
            <w:r>
              <w:rPr>
                <w:rFonts w:ascii="Arial" w:cs="Arial" w:eastAsia="Arial" w:hAnsi="Arial"/>
                <w:sz w:val="15"/>
                <w:szCs w:val="15"/>
                <w:b w:val="1"/>
                <w:bCs w:val="1"/>
                <w:color w:val="auto"/>
                <w:vertAlign w:val="superscript"/>
              </w:rPr>
              <w:t>(3)</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80" w:type="dxa"/>
            <w:vAlign w:val="bottom"/>
            <w:gridSpan w:val="4"/>
            <w:vMerge w:val="restart"/>
          </w:tcPr>
          <w:p>
            <w:pPr>
              <w:jc w:val="center"/>
              <w:ind w:left="531"/>
              <w:spacing w:after="0"/>
              <w:rPr>
                <w:sz w:val="20"/>
                <w:szCs w:val="20"/>
                <w:color w:val="auto"/>
              </w:rPr>
            </w:pPr>
            <w:r>
              <w:rPr>
                <w:rFonts w:ascii="Arial" w:cs="Arial" w:eastAsia="Arial" w:hAnsi="Arial"/>
                <w:sz w:val="14"/>
                <w:szCs w:val="14"/>
                <w:b w:val="1"/>
                <w:bCs w:val="1"/>
                <w:color w:val="auto"/>
                <w:w w:val="98"/>
              </w:rPr>
              <w:t>For the Three Months Ended March 31,</w:t>
            </w: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5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Borders>
              <w:bottom w:val="single" w:sz="8" w:color="2C6937"/>
            </w:tcBorders>
            <w:gridSpan w:val="4"/>
            <w:vMerge w:val="continue"/>
          </w:tcPr>
          <w:p>
            <w:pPr>
              <w:spacing w:after="0"/>
              <w:rPr>
                <w:sz w:val="15"/>
                <w:szCs w:val="15"/>
                <w:color w:val="auto"/>
              </w:rPr>
            </w:pPr>
          </w:p>
        </w:tc>
        <w:tc>
          <w:tcPr>
            <w:tcW w:w="600" w:type="dxa"/>
            <w:vAlign w:val="bottom"/>
            <w:tcBorders>
              <w:bottom w:val="single" w:sz="8" w:color="2C6937"/>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1540" w:type="dxa"/>
            <w:vAlign w:val="bottom"/>
            <w:tcBorders>
              <w:bottom w:val="single" w:sz="8" w:color="2C6937"/>
            </w:tcBorders>
          </w:tcPr>
          <w:p>
            <w:pPr>
              <w:spacing w:after="0"/>
              <w:rPr>
                <w:sz w:val="15"/>
                <w:szCs w:val="15"/>
                <w:color w:val="auto"/>
              </w:rPr>
            </w:pPr>
          </w:p>
        </w:tc>
        <w:tc>
          <w:tcPr>
            <w:tcW w:w="46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As of</w:t>
            </w:r>
          </w:p>
        </w:tc>
        <w:tc>
          <w:tcPr>
            <w:tcW w:w="150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b w:val="1"/>
                <w:bCs w:val="1"/>
                <w:color w:val="auto"/>
              </w:rPr>
              <w:t>2025</w:t>
            </w:r>
          </w:p>
        </w:tc>
        <w:tc>
          <w:tcPr>
            <w:tcW w:w="6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ind w:right="332"/>
              <w:spacing w:after="0"/>
              <w:rPr>
                <w:sz w:val="20"/>
                <w:szCs w:val="20"/>
                <w:color w:val="auto"/>
              </w:rPr>
            </w:pPr>
            <w:r>
              <w:rPr>
                <w:rFonts w:ascii="Arial" w:cs="Arial" w:eastAsia="Arial" w:hAnsi="Arial"/>
                <w:sz w:val="14"/>
                <w:szCs w:val="14"/>
                <w:b w:val="1"/>
                <w:bCs w:val="1"/>
                <w:color w:val="auto"/>
              </w:rPr>
              <w:t>March 31, 2025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December 31, 2024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0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 LTV ratio:</w:t>
            </w:r>
            <w:r>
              <w:rPr>
                <w:rFonts w:ascii="Arial" w:cs="Arial" w:eastAsia="Arial" w:hAnsi="Arial"/>
                <w:sz w:val="17"/>
                <w:szCs w:val="17"/>
                <w:b w:val="1"/>
                <w:bCs w:val="1"/>
                <w:color w:val="auto"/>
                <w:vertAlign w:val="superscript"/>
              </w:rPr>
              <w:t>(4)</w:t>
            </w:r>
          </w:p>
        </w:tc>
        <w:tc>
          <w:tcPr>
            <w:tcW w:w="1120" w:type="dxa"/>
            <w:vAlign w:val="bottom"/>
            <w:tcBorders>
              <w:top w:val="single" w:sz="8" w:color="2C6937"/>
            </w:tcBorders>
          </w:tcPr>
          <w:p>
            <w:pPr>
              <w:spacing w:after="0"/>
              <w:rPr>
                <w:sz w:val="19"/>
                <w:szCs w:val="19"/>
                <w:color w:val="auto"/>
              </w:rPr>
            </w:pPr>
          </w:p>
        </w:tc>
        <w:tc>
          <w:tcPr>
            <w:tcW w:w="640" w:type="dxa"/>
            <w:vAlign w:val="bottom"/>
            <w:tcBorders>
              <w:top w:val="single" w:sz="8" w:color="2C6937"/>
            </w:tcBorders>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top w:val="single" w:sz="8" w:color="2C6937"/>
            </w:tcBorders>
          </w:tcPr>
          <w:p>
            <w:pPr>
              <w:spacing w:after="0"/>
              <w:rPr>
                <w:sz w:val="19"/>
                <w:szCs w:val="19"/>
                <w:color w:val="auto"/>
              </w:rPr>
            </w:pPr>
          </w:p>
        </w:tc>
        <w:tc>
          <w:tcPr>
            <w:tcW w:w="600" w:type="dxa"/>
            <w:vAlign w:val="bottom"/>
            <w:tcBorders>
              <w:top w:val="single" w:sz="8" w:color="2C6937"/>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2C6937"/>
            </w:tcBorders>
          </w:tcPr>
          <w:p>
            <w:pPr>
              <w:spacing w:after="0"/>
              <w:rPr>
                <w:sz w:val="19"/>
                <w:szCs w:val="19"/>
                <w:color w:val="auto"/>
              </w:rPr>
            </w:pPr>
          </w:p>
        </w:tc>
        <w:tc>
          <w:tcPr>
            <w:tcW w:w="1540" w:type="dxa"/>
            <w:vAlign w:val="bottom"/>
            <w:tcBorders>
              <w:top w:val="single" w:sz="8" w:color="2C6937"/>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2C6937"/>
            </w:tcBorders>
          </w:tcPr>
          <w:p>
            <w:pPr>
              <w:spacing w:after="0"/>
              <w:rPr>
                <w:sz w:val="19"/>
                <w:szCs w:val="19"/>
                <w:color w:val="auto"/>
              </w:rPr>
            </w:pPr>
          </w:p>
        </w:tc>
        <w:tc>
          <w:tcPr>
            <w:tcW w:w="1500" w:type="dxa"/>
            <w:vAlign w:val="bottom"/>
            <w:tcBorders>
              <w:top w:val="single" w:sz="8" w:color="2C6937"/>
            </w:tcBorders>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0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90.01% to 95%</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95.01% to 100%</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30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112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1160" w:type="dxa"/>
            <w:vAlign w:val="bottom"/>
            <w:tcBorders>
              <w:bottom w:val="single" w:sz="8" w:color="2C6937"/>
            </w:tcBorders>
          </w:tcPr>
          <w:p>
            <w:pPr>
              <w:spacing w:after="0"/>
              <w:rPr>
                <w:sz w:val="19"/>
                <w:szCs w:val="19"/>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10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10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20" w:type="dxa"/>
            <w:vAlign w:val="bottom"/>
            <w:shd w:val="clear" w:color="auto" w:fill="CBC8C3"/>
          </w:tcPr>
          <w:p>
            <w:pPr>
              <w:spacing w:after="0"/>
              <w:rPr>
                <w:sz w:val="18"/>
                <w:szCs w:val="18"/>
                <w:color w:val="auto"/>
              </w:rPr>
            </w:pPr>
          </w:p>
        </w:tc>
        <w:tc>
          <w:tcPr>
            <w:tcW w:w="6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77</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60" w:type="dxa"/>
            <w:vAlign w:val="bottom"/>
            <w:shd w:val="clear" w:color="auto" w:fill="CBC8C3"/>
          </w:tcPr>
          <w:p>
            <w:pPr>
              <w:spacing w:after="0"/>
              <w:rPr>
                <w:sz w:val="18"/>
                <w:szCs w:val="18"/>
                <w:color w:val="auto"/>
              </w:rPr>
            </w:pPr>
          </w:p>
        </w:tc>
        <w:tc>
          <w:tcPr>
            <w:tcW w:w="6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40" w:type="dxa"/>
            <w:vAlign w:val="bottom"/>
            <w:shd w:val="clear" w:color="auto" w:fill="CBC8C3"/>
          </w:tcPr>
          <w:p>
            <w:pPr>
              <w:spacing w:after="0"/>
              <w:rPr>
                <w:sz w:val="18"/>
                <w:szCs w:val="18"/>
                <w:color w:val="auto"/>
              </w:rPr>
            </w:pPr>
          </w:p>
        </w:tc>
        <w:tc>
          <w:tcPr>
            <w:tcW w:w="15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73</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shd w:val="clear" w:color="auto" w:fill="CBC8C3"/>
          </w:tcPr>
          <w:p>
            <w:pPr>
              <w:spacing w:after="0"/>
              <w:rPr>
                <w:sz w:val="18"/>
                <w:szCs w:val="18"/>
                <w:color w:val="auto"/>
              </w:rPr>
            </w:pPr>
          </w:p>
        </w:tc>
        <w:tc>
          <w:tcPr>
            <w:tcW w:w="15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73</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8"/>
        </w:trPr>
        <w:tc>
          <w:tcPr>
            <w:tcW w:w="3200" w:type="dxa"/>
            <w:vAlign w:val="bottom"/>
            <w:gridSpan w:val="3"/>
          </w:tcPr>
          <w:p>
            <w:pPr>
              <w:ind w:left="20"/>
              <w:spacing w:after="0"/>
              <w:rPr>
                <w:sz w:val="20"/>
                <w:szCs w:val="20"/>
                <w:color w:val="auto"/>
              </w:rPr>
            </w:pPr>
            <w:r>
              <w:rPr>
                <w:rFonts w:ascii="Arial" w:cs="Arial" w:eastAsia="Arial" w:hAnsi="Arial"/>
                <w:sz w:val="14"/>
                <w:szCs w:val="14"/>
                <w:color w:val="auto"/>
              </w:rPr>
              <w:t>Average loan amount</w:t>
            </w:r>
          </w:p>
        </w:tc>
        <w:tc>
          <w:tcPr>
            <w:tcW w:w="1120" w:type="dxa"/>
            <w:vAlign w:val="bottom"/>
          </w:tcPr>
          <w:p>
            <w:pPr>
              <w:jc w:val="right"/>
              <w:ind w:right="951"/>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331,067</w:t>
            </w:r>
          </w:p>
        </w:tc>
        <w:tc>
          <w:tcPr>
            <w:tcW w:w="1420" w:type="dxa"/>
            <w:vAlign w:val="bottom"/>
            <w:gridSpan w:val="2"/>
          </w:tcPr>
          <w:p>
            <w:pPr>
              <w:jc w:val="right"/>
              <w:ind w:right="10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325,938</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209,368</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209,326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3"/>
          </w:tcPr>
          <w:p>
            <w:pPr>
              <w:ind w:left="20"/>
              <w:spacing w:after="0"/>
              <w:rPr>
                <w:sz w:val="20"/>
                <w:szCs w:val="20"/>
                <w:color w:val="auto"/>
              </w:rPr>
            </w:pPr>
            <w:r>
              <w:rPr>
                <w:rFonts w:ascii="Arial" w:cs="Arial" w:eastAsia="Arial" w:hAnsi="Arial"/>
                <w:sz w:val="14"/>
                <w:szCs w:val="14"/>
                <w:color w:val="auto"/>
              </w:rPr>
              <w:t>Loan count (in thousands)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17,207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17,281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0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mark-to-market LTV ratio:</w:t>
            </w:r>
            <w:r>
              <w:rPr>
                <w:rFonts w:ascii="Arial" w:cs="Arial" w:eastAsia="Arial" w:hAnsi="Arial"/>
                <w:sz w:val="17"/>
                <w:szCs w:val="17"/>
                <w:b w:val="1"/>
                <w:bCs w:val="1"/>
                <w:color w:val="auto"/>
                <w:vertAlign w:val="superscript"/>
              </w:rPr>
              <w:t>(5)</w:t>
            </w: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10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69</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90.01% to 100%</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30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10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120" w:type="dxa"/>
            <w:vAlign w:val="bottom"/>
            <w:tcBorders>
              <w:bottom w:val="single" w:sz="8" w:color="CBC8C3"/>
            </w:tcBorders>
          </w:tcPr>
          <w:p>
            <w:pPr>
              <w:spacing w:after="0" w:line="20" w:lineRule="exact"/>
              <w:rPr>
                <w:sz w:val="1"/>
                <w:szCs w:val="1"/>
                <w:color w:val="auto"/>
              </w:rPr>
            </w:pPr>
          </w:p>
        </w:tc>
        <w:tc>
          <w:tcPr>
            <w:tcW w:w="640" w:type="dxa"/>
            <w:vAlign w:val="bottom"/>
            <w:tcBorders>
              <w:bottom w:val="single" w:sz="8" w:color="CBC8C3"/>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160" w:type="dxa"/>
            <w:vAlign w:val="bottom"/>
            <w:tcBorders>
              <w:bottom w:val="single" w:sz="8" w:color="CBC8C3"/>
            </w:tcBorders>
          </w:tcPr>
          <w:p>
            <w:pPr>
              <w:spacing w:after="0" w:line="20" w:lineRule="exact"/>
              <w:rPr>
                <w:sz w:val="1"/>
                <w:szCs w:val="1"/>
                <w:color w:val="auto"/>
              </w:rPr>
            </w:pPr>
          </w:p>
        </w:tc>
        <w:tc>
          <w:tcPr>
            <w:tcW w:w="60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10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20" w:type="dxa"/>
            <w:vAlign w:val="bottom"/>
            <w:shd w:val="clear" w:color="auto" w:fill="CBC8C3"/>
          </w:tcPr>
          <w:p>
            <w:pPr>
              <w:spacing w:after="0"/>
              <w:rPr>
                <w:sz w:val="18"/>
                <w:szCs w:val="18"/>
                <w:color w:val="auto"/>
              </w:rPr>
            </w:pPr>
          </w:p>
        </w:tc>
        <w:tc>
          <w:tcPr>
            <w:tcW w:w="64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1160" w:type="dxa"/>
            <w:vAlign w:val="bottom"/>
            <w:shd w:val="clear" w:color="auto" w:fill="CBC8C3"/>
          </w:tcPr>
          <w:p>
            <w:pPr>
              <w:spacing w:after="0"/>
              <w:rPr>
                <w:sz w:val="18"/>
                <w:szCs w:val="18"/>
                <w:color w:val="auto"/>
              </w:rPr>
            </w:pPr>
          </w:p>
        </w:tc>
        <w:tc>
          <w:tcPr>
            <w:tcW w:w="60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15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50</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shd w:val="clear" w:color="auto" w:fill="CBC8C3"/>
          </w:tcPr>
          <w:p>
            <w:pPr>
              <w:spacing w:after="0"/>
              <w:rPr>
                <w:sz w:val="18"/>
                <w:szCs w:val="18"/>
                <w:color w:val="auto"/>
              </w:rPr>
            </w:pPr>
          </w:p>
        </w:tc>
        <w:tc>
          <w:tcPr>
            <w:tcW w:w="15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50</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2"/>
        </w:trPr>
        <w:tc>
          <w:tcPr>
            <w:tcW w:w="3200" w:type="dxa"/>
            <w:vAlign w:val="bottom"/>
            <w:gridSpan w:val="3"/>
          </w:tcPr>
          <w:p>
            <w:pPr>
              <w:ind w:left="20"/>
              <w:spacing w:after="0"/>
              <w:rPr>
                <w:sz w:val="20"/>
                <w:szCs w:val="20"/>
                <w:color w:val="auto"/>
              </w:rPr>
            </w:pPr>
            <w:r>
              <w:rPr>
                <w:rFonts w:ascii="Arial" w:cs="Arial" w:eastAsia="Arial" w:hAnsi="Arial"/>
                <w:sz w:val="14"/>
                <w:szCs w:val="14"/>
                <w:b w:val="1"/>
                <w:bCs w:val="1"/>
                <w:color w:val="auto"/>
              </w:rPr>
              <w:t>FICO credit score at</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(6)</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00" w:type="dxa"/>
            <w:vAlign w:val="bottom"/>
            <w:gridSpan w:val="2"/>
          </w:tcPr>
          <w:p>
            <w:pPr>
              <w:ind w:left="120"/>
              <w:spacing w:after="0"/>
              <w:rPr>
                <w:sz w:val="20"/>
                <w:szCs w:val="20"/>
                <w:color w:val="auto"/>
              </w:rPr>
            </w:pPr>
            <w:r>
              <w:rPr>
                <w:rFonts w:ascii="Arial" w:cs="Arial" w:eastAsia="Arial" w:hAnsi="Arial"/>
                <w:sz w:val="14"/>
                <w:szCs w:val="14"/>
                <w:color w:val="auto"/>
              </w:rPr>
              <w:t>&lt; 620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7"/>
                <w:szCs w:val="17"/>
                <w:color w:val="auto"/>
              </w:rPr>
            </w:pPr>
          </w:p>
        </w:tc>
        <w:tc>
          <w:tcPr>
            <w:tcW w:w="1780" w:type="dxa"/>
            <w:vAlign w:val="bottom"/>
            <w:gridSpan w:val="4"/>
          </w:tcPr>
          <w:p>
            <w:pPr>
              <w:jc w:val="right"/>
              <w:ind w:right="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620 to &lt; 660</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660 to &lt; 680</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680 to &lt; 700</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700 to &lt; 740</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0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color w:val="auto"/>
              </w:rPr>
              <w:t>&gt;= 740</w:t>
            </w:r>
          </w:p>
        </w:tc>
        <w:tc>
          <w:tcPr>
            <w:tcW w:w="100" w:type="dxa"/>
            <w:vAlign w:val="bottom"/>
          </w:tcPr>
          <w:p>
            <w:pPr>
              <w:spacing w:after="0"/>
              <w:rPr>
                <w:sz w:val="19"/>
                <w:szCs w:val="19"/>
                <w:color w:val="auto"/>
              </w:rPr>
            </w:pPr>
          </w:p>
        </w:tc>
        <w:tc>
          <w:tcPr>
            <w:tcW w:w="112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70</w:t>
            </w:r>
          </w:p>
        </w:tc>
        <w:tc>
          <w:tcPr>
            <w:tcW w:w="260" w:type="dxa"/>
            <w:vAlign w:val="bottom"/>
          </w:tcPr>
          <w:p>
            <w:pPr>
              <w:spacing w:after="0"/>
              <w:rPr>
                <w:sz w:val="19"/>
                <w:szCs w:val="19"/>
                <w:color w:val="auto"/>
              </w:rPr>
            </w:pPr>
          </w:p>
        </w:tc>
        <w:tc>
          <w:tcPr>
            <w:tcW w:w="1160" w:type="dxa"/>
            <w:vAlign w:val="bottom"/>
            <w:tcBorders>
              <w:bottom w:val="single" w:sz="8" w:color="2C6937"/>
            </w:tcBorders>
          </w:tcPr>
          <w:p>
            <w:pPr>
              <w:spacing w:after="0"/>
              <w:rPr>
                <w:sz w:val="19"/>
                <w:szCs w:val="19"/>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67</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67</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10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10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20" w:type="dxa"/>
            <w:vAlign w:val="bottom"/>
            <w:shd w:val="clear" w:color="auto" w:fill="CBC8C3"/>
          </w:tcPr>
          <w:p>
            <w:pPr>
              <w:spacing w:after="0"/>
              <w:rPr>
                <w:sz w:val="18"/>
                <w:szCs w:val="18"/>
                <w:color w:val="auto"/>
              </w:rPr>
            </w:pPr>
          </w:p>
        </w:tc>
        <w:tc>
          <w:tcPr>
            <w:tcW w:w="6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757</w:t>
            </w:r>
          </w:p>
        </w:tc>
        <w:tc>
          <w:tcPr>
            <w:tcW w:w="260" w:type="dxa"/>
            <w:vAlign w:val="bottom"/>
            <w:shd w:val="clear" w:color="auto" w:fill="CBC8C3"/>
          </w:tcPr>
          <w:p>
            <w:pPr>
              <w:spacing w:after="0"/>
              <w:rPr>
                <w:sz w:val="18"/>
                <w:szCs w:val="18"/>
                <w:color w:val="auto"/>
              </w:rPr>
            </w:pPr>
          </w:p>
        </w:tc>
        <w:tc>
          <w:tcPr>
            <w:tcW w:w="1160" w:type="dxa"/>
            <w:vAlign w:val="bottom"/>
            <w:shd w:val="clear" w:color="auto" w:fill="CBC8C3"/>
          </w:tcPr>
          <w:p>
            <w:pPr>
              <w:spacing w:after="0"/>
              <w:rPr>
                <w:sz w:val="18"/>
                <w:szCs w:val="18"/>
                <w:color w:val="auto"/>
              </w:rPr>
            </w:pPr>
          </w:p>
        </w:tc>
        <w:tc>
          <w:tcPr>
            <w:tcW w:w="6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757</w:t>
            </w:r>
          </w:p>
        </w:tc>
        <w:tc>
          <w:tcPr>
            <w:tcW w:w="2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15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753</w:t>
            </w:r>
          </w:p>
        </w:tc>
        <w:tc>
          <w:tcPr>
            <w:tcW w:w="24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15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753</w:t>
            </w:r>
          </w:p>
        </w:tc>
        <w:tc>
          <w:tcPr>
            <w:tcW w:w="40" w:type="dxa"/>
            <w:vAlign w:val="bottom"/>
            <w:shd w:val="clear" w:color="auto" w:fill="CBC8C3"/>
          </w:tcPr>
          <w:p>
            <w:pPr>
              <w:spacing w:after="0"/>
              <w:rPr>
                <w:sz w:val="18"/>
                <w:szCs w:val="18"/>
                <w:color w:val="auto"/>
              </w:rPr>
            </w:pPr>
          </w:p>
        </w:tc>
        <w:tc>
          <w:tcPr>
            <w:tcW w:w="140" w:type="dxa"/>
            <w:vAlign w:val="bottom"/>
            <w:shd w:val="clear" w:color="auto" w:fill="CBC8C3"/>
          </w:tcPr>
          <w:p>
            <w:pPr>
              <w:spacing w:after="0"/>
              <w:rPr>
                <w:sz w:val="18"/>
                <w:szCs w:val="18"/>
                <w:color w:val="auto"/>
              </w:rPr>
            </w:pP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Debt-to-income (“DTI”) ratio at origination:</w:t>
            </w:r>
            <w:r>
              <w:rPr>
                <w:rFonts w:ascii="Arial" w:cs="Arial" w:eastAsia="Arial" w:hAnsi="Arial"/>
                <w:sz w:val="17"/>
                <w:szCs w:val="17"/>
                <w:b w:val="1"/>
                <w:bCs w:val="1"/>
                <w:color w:val="auto"/>
                <w:vertAlign w:val="superscript"/>
              </w:rPr>
              <w:t>(7)</w:t>
            </w: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100" w:type="dxa"/>
            <w:vAlign w:val="bottom"/>
            <w:gridSpan w:val="2"/>
          </w:tcPr>
          <w:p>
            <w:pPr>
              <w:ind w:left="120"/>
              <w:spacing w:after="0"/>
              <w:rPr>
                <w:sz w:val="20"/>
                <w:szCs w:val="20"/>
                <w:color w:val="auto"/>
              </w:rPr>
            </w:pPr>
            <w:r>
              <w:rPr>
                <w:rFonts w:ascii="Arial" w:cs="Arial" w:eastAsia="Arial" w:hAnsi="Arial"/>
                <w:sz w:val="14"/>
                <w:szCs w:val="14"/>
                <w:color w:val="auto"/>
              </w:rPr>
              <w:t>&lt;= 43%</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74</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auto"/>
              </w:rPr>
              <w:t>43.01% to 45%</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30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45%</w:t>
            </w:r>
          </w:p>
        </w:tc>
        <w:tc>
          <w:tcPr>
            <w:tcW w:w="100" w:type="dxa"/>
            <w:vAlign w:val="bottom"/>
          </w:tcPr>
          <w:p>
            <w:pPr>
              <w:spacing w:after="0"/>
              <w:rPr>
                <w:sz w:val="19"/>
                <w:szCs w:val="19"/>
                <w:color w:val="auto"/>
              </w:rPr>
            </w:pPr>
          </w:p>
        </w:tc>
        <w:tc>
          <w:tcPr>
            <w:tcW w:w="112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w:t>
            </w:r>
          </w:p>
        </w:tc>
        <w:tc>
          <w:tcPr>
            <w:tcW w:w="260" w:type="dxa"/>
            <w:vAlign w:val="bottom"/>
          </w:tcPr>
          <w:p>
            <w:pPr>
              <w:spacing w:after="0"/>
              <w:rPr>
                <w:sz w:val="19"/>
                <w:szCs w:val="19"/>
                <w:color w:val="auto"/>
              </w:rPr>
            </w:pPr>
          </w:p>
        </w:tc>
        <w:tc>
          <w:tcPr>
            <w:tcW w:w="1160" w:type="dxa"/>
            <w:vAlign w:val="bottom"/>
            <w:tcBorders>
              <w:bottom w:val="single" w:sz="8" w:color="2C6937"/>
            </w:tcBorders>
          </w:tcPr>
          <w:p>
            <w:pPr>
              <w:spacing w:after="0"/>
              <w:rPr>
                <w:sz w:val="19"/>
                <w:szCs w:val="19"/>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10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10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20" w:type="dxa"/>
            <w:vAlign w:val="bottom"/>
            <w:shd w:val="clear" w:color="auto" w:fill="CBC8C3"/>
          </w:tcPr>
          <w:p>
            <w:pPr>
              <w:spacing w:after="0"/>
              <w:rPr>
                <w:sz w:val="18"/>
                <w:szCs w:val="18"/>
                <w:color w:val="auto"/>
              </w:rPr>
            </w:pPr>
          </w:p>
        </w:tc>
        <w:tc>
          <w:tcPr>
            <w:tcW w:w="6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38</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60" w:type="dxa"/>
            <w:vAlign w:val="bottom"/>
            <w:shd w:val="clear" w:color="auto" w:fill="CBC8C3"/>
          </w:tcPr>
          <w:p>
            <w:pPr>
              <w:spacing w:after="0"/>
              <w:rPr>
                <w:sz w:val="18"/>
                <w:szCs w:val="18"/>
                <w:color w:val="auto"/>
              </w:rPr>
            </w:pPr>
          </w:p>
        </w:tc>
        <w:tc>
          <w:tcPr>
            <w:tcW w:w="6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40" w:type="dxa"/>
            <w:vAlign w:val="bottom"/>
            <w:shd w:val="clear" w:color="auto" w:fill="CBC8C3"/>
          </w:tcPr>
          <w:p>
            <w:pPr>
              <w:spacing w:after="0"/>
              <w:rPr>
                <w:sz w:val="18"/>
                <w:szCs w:val="18"/>
                <w:color w:val="auto"/>
              </w:rPr>
            </w:pPr>
          </w:p>
        </w:tc>
        <w:tc>
          <w:tcPr>
            <w:tcW w:w="15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35</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20" w:type="dxa"/>
            <w:vAlign w:val="bottom"/>
            <w:shd w:val="clear" w:color="auto" w:fill="CBC8C3"/>
          </w:tcPr>
          <w:p>
            <w:pPr>
              <w:spacing w:after="0"/>
              <w:rPr>
                <w:sz w:val="18"/>
                <w:szCs w:val="18"/>
                <w:color w:val="auto"/>
              </w:rPr>
            </w:pPr>
          </w:p>
        </w:tc>
        <w:tc>
          <w:tcPr>
            <w:tcW w:w="15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35</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722"/>
        </w:trPr>
        <w:tc>
          <w:tcPr>
            <w:tcW w:w="100" w:type="dxa"/>
            <w:vAlign w:val="bottom"/>
          </w:tcPr>
          <w:p>
            <w:pPr>
              <w:spacing w:after="0"/>
              <w:rPr>
                <w:sz w:val="24"/>
                <w:szCs w:val="24"/>
                <w:color w:val="auto"/>
              </w:rPr>
            </w:pPr>
          </w:p>
        </w:tc>
        <w:tc>
          <w:tcPr>
            <w:tcW w:w="3100" w:type="dxa"/>
            <w:vAlign w:val="bottom"/>
            <w:tcBorders>
              <w:bottom w:val="single" w:sz="8" w:color="CBC8C3"/>
            </w:tcBorders>
            <w:gridSpan w:val="2"/>
          </w:tcPr>
          <w:p>
            <w:pPr>
              <w:spacing w:after="0"/>
              <w:rPr>
                <w:sz w:val="24"/>
                <w:szCs w:val="24"/>
                <w:color w:val="auto"/>
              </w:rPr>
            </w:pPr>
          </w:p>
        </w:tc>
        <w:tc>
          <w:tcPr>
            <w:tcW w:w="1120" w:type="dxa"/>
            <w:vAlign w:val="bottom"/>
            <w:tcBorders>
              <w:bottom w:val="single" w:sz="8" w:color="CBC8C3"/>
            </w:tcBorders>
          </w:tcPr>
          <w:p>
            <w:pPr>
              <w:spacing w:after="0"/>
              <w:rPr>
                <w:sz w:val="24"/>
                <w:szCs w:val="24"/>
                <w:color w:val="auto"/>
              </w:rPr>
            </w:pPr>
          </w:p>
        </w:tc>
        <w:tc>
          <w:tcPr>
            <w:tcW w:w="64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1160" w:type="dxa"/>
            <w:vAlign w:val="bottom"/>
            <w:tcBorders>
              <w:bottom w:val="single" w:sz="8" w:color="CBC8C3"/>
            </w:tcBorders>
          </w:tcPr>
          <w:p>
            <w:pPr>
              <w:spacing w:after="0"/>
              <w:rPr>
                <w:sz w:val="24"/>
                <w:szCs w:val="24"/>
                <w:color w:val="auto"/>
              </w:rPr>
            </w:pPr>
          </w:p>
        </w:tc>
        <w:tc>
          <w:tcPr>
            <w:tcW w:w="60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15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1500" w:type="dxa"/>
            <w:vAlign w:val="bottom"/>
            <w:tcBorders>
              <w:bottom w:val="single" w:sz="8" w:color="CBC8C3"/>
            </w:tcBorders>
          </w:tcPr>
          <w:p>
            <w:pPr>
              <w:spacing w:after="0"/>
              <w:rPr>
                <w:sz w:val="24"/>
                <w:szCs w:val="24"/>
                <w:color w:val="auto"/>
              </w:rPr>
            </w:pPr>
          </w:p>
        </w:tc>
        <w:tc>
          <w:tcPr>
            <w:tcW w:w="180" w:type="dxa"/>
            <w:vAlign w:val="bottom"/>
            <w:tcBorders>
              <w:bottom w:val="single" w:sz="8" w:color="CBC8C3"/>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3100" w:type="dxa"/>
            <w:vAlign w:val="bottom"/>
            <w:gridSpan w:val="2"/>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5314D"/>
                <w:w w:val="89"/>
              </w:rPr>
              <w:t>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3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6" w:name="page27"/>
    <w:bookmarkEnd w:id="26"/>
    <w:p>
      <w:pPr>
        <w:ind w:left="6060"/>
        <w:spacing w:after="0"/>
        <w:rPr>
          <w:sz w:val="20"/>
          <w:szCs w:val="20"/>
          <w:color w:val="auto"/>
        </w:rPr>
      </w:pPr>
      <w:r>
        <w:rPr>
          <w:rFonts w:ascii="Arial" w:cs="Arial" w:eastAsia="Arial" w:hAnsi="Arial"/>
          <w:sz w:val="13"/>
          <w:szCs w:val="13"/>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200"/>
        <w:spacing w:after="0"/>
        <w:rPr>
          <w:sz w:val="20"/>
          <w:szCs w:val="20"/>
          <w:color w:val="auto"/>
        </w:rPr>
      </w:pPr>
      <w:r>
        <w:rPr>
          <w:rFonts w:ascii="Arial" w:cs="Arial" w:eastAsia="Arial" w:hAnsi="Arial"/>
          <w:sz w:val="14"/>
          <w:szCs w:val="14"/>
          <w:b w:val="1"/>
          <w:bCs w:val="1"/>
          <w:color w:val="auto"/>
        </w:rPr>
        <w:t>Percent of Single-Family Conventional Business Volume</w:t>
      </w:r>
    </w:p>
    <w:p>
      <w:pPr>
        <w:spacing w:after="0" w:line="13" w:lineRule="exact"/>
        <w:rPr>
          <w:sz w:val="20"/>
          <w:szCs w:val="20"/>
          <w:color w:val="auto"/>
        </w:rPr>
      </w:pPr>
    </w:p>
    <w:p>
      <w:pPr>
        <w:jc w:val="center"/>
        <w:ind w:left="3200"/>
        <w:spacing w:after="0"/>
        <w:rPr>
          <w:sz w:val="20"/>
          <w:szCs w:val="20"/>
          <w:color w:val="auto"/>
        </w:rPr>
      </w:pPr>
      <w:r>
        <w:rPr>
          <w:rFonts w:ascii="Arial" w:cs="Arial" w:eastAsia="Arial" w:hAnsi="Arial"/>
          <w:sz w:val="14"/>
          <w:szCs w:val="14"/>
          <w:b w:val="1"/>
          <w:bCs w:val="1"/>
          <w:color w:val="auto"/>
        </w:rPr>
        <w:t>at Acquisition</w:t>
      </w:r>
      <w:r>
        <w:rPr>
          <w:rFonts w:ascii="Arial" w:cs="Arial" w:eastAsia="Arial" w:hAnsi="Arial"/>
          <w:sz w:val="17"/>
          <w:szCs w:val="17"/>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2032000</wp:posOffset>
            </wp:positionH>
            <wp:positionV relativeFrom="paragraph">
              <wp:posOffset>635</wp:posOffset>
            </wp:positionV>
            <wp:extent cx="23983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gridSpan w:val="2"/>
          </w:tcPr>
          <w:p>
            <w:pPr>
              <w:spacing w:after="0"/>
              <w:rPr>
                <w:sz w:val="17"/>
                <w:szCs w:val="17"/>
                <w:color w:val="auto"/>
              </w:rPr>
            </w:pPr>
          </w:p>
        </w:tc>
        <w:tc>
          <w:tcPr>
            <w:tcW w:w="1260" w:type="dxa"/>
            <w:vAlign w:val="bottom"/>
            <w:tcBorders>
              <w:top w:val="single" w:sz="8" w:color="2C6937"/>
              <w:bottom w:val="single" w:sz="8" w:color="2C6937"/>
            </w:tcBorders>
          </w:tcPr>
          <w:p>
            <w:pPr>
              <w:jc w:val="right"/>
              <w:ind w:right="151"/>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2C6937"/>
              <w:bottom w:val="single" w:sz="8" w:color="2C6937"/>
            </w:tcBorders>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760" w:type="dxa"/>
            <w:vAlign w:val="bottom"/>
            <w:tcBorders>
              <w:top w:val="single" w:sz="8" w:color="2C6937"/>
              <w:bottom w:val="single" w:sz="8" w:color="2C6937"/>
            </w:tcBorders>
          </w:tcPr>
          <w:p>
            <w:pPr>
              <w:jc w:val="right"/>
              <w:ind w:right="671"/>
              <w:spacing w:after="0"/>
              <w:rPr>
                <w:sz w:val="20"/>
                <w:szCs w:val="20"/>
                <w:color w:val="auto"/>
              </w:rPr>
            </w:pPr>
            <w:r>
              <w:rPr>
                <w:rFonts w:ascii="Arial" w:cs="Arial" w:eastAsia="Arial" w:hAnsi="Arial"/>
                <w:sz w:val="14"/>
                <w:szCs w:val="14"/>
                <w:b w:val="1"/>
                <w:bCs w:val="1"/>
                <w:color w:val="auto"/>
              </w:rPr>
              <w:t>2024</w:t>
            </w:r>
          </w:p>
        </w:tc>
      </w:tr>
      <w:tr>
        <w:trPr>
          <w:trHeight w:val="185"/>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Product type:</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52"/>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Fixed-rate:</w:t>
            </w:r>
            <w:r>
              <w:rPr>
                <w:rFonts w:ascii="Arial" w:cs="Arial" w:eastAsia="Arial" w:hAnsi="Arial"/>
                <w:sz w:val="17"/>
                <w:szCs w:val="17"/>
                <w:color w:val="auto"/>
                <w:vertAlign w:val="superscript"/>
              </w:rPr>
              <w:t>(8)</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199"/>
        </w:trPr>
        <w:tc>
          <w:tcPr>
            <w:tcW w:w="4460" w:type="dxa"/>
            <w:vAlign w:val="bottom"/>
            <w:gridSpan w:val="3"/>
          </w:tcPr>
          <w:p>
            <w:pPr>
              <w:ind w:left="220"/>
              <w:spacing w:after="0"/>
              <w:rPr>
                <w:sz w:val="20"/>
                <w:szCs w:val="20"/>
                <w:color w:val="auto"/>
              </w:rPr>
            </w:pPr>
            <w:r>
              <w:rPr>
                <w:rFonts w:ascii="Arial" w:cs="Arial" w:eastAsia="Arial" w:hAnsi="Arial"/>
                <w:sz w:val="14"/>
                <w:szCs w:val="14"/>
                <w:color w:val="auto"/>
              </w:rPr>
              <w:t>Long-term</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20"/>
        </w:trPr>
        <w:tc>
          <w:tcPr>
            <w:tcW w:w="310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Intermediate-term</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r>
      <w:tr>
        <w:trPr>
          <w:trHeight w:val="212"/>
        </w:trPr>
        <w:tc>
          <w:tcPr>
            <w:tcW w:w="31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fixed-rate</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60" w:type="dxa"/>
            <w:vAlign w:val="bottom"/>
          </w:tcPr>
          <w:p>
            <w:pPr>
              <w:spacing w:after="0"/>
              <w:rPr>
                <w:sz w:val="18"/>
                <w:szCs w:val="18"/>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r>
      <w:tr>
        <w:trPr>
          <w:trHeight w:val="212"/>
        </w:trPr>
        <w:tc>
          <w:tcPr>
            <w:tcW w:w="31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8"/>
                <w:szCs w:val="18"/>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r>
      <w:tr>
        <w:trPr>
          <w:trHeight w:val="213"/>
        </w:trPr>
        <w:tc>
          <w:tcPr>
            <w:tcW w:w="31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1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r>
      <w:tr>
        <w:trPr>
          <w:trHeight w:val="196"/>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 property units: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2"/>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1 unit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20"/>
        </w:trPr>
        <w:tc>
          <w:tcPr>
            <w:tcW w:w="31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2-4 units</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r>
      <w:tr>
        <w:trPr>
          <w:trHeight w:val="213"/>
        </w:trPr>
        <w:tc>
          <w:tcPr>
            <w:tcW w:w="310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1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r>
      <w:tr>
        <w:trPr>
          <w:trHeight w:val="196"/>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Property type:</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2"/>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Single-family homes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20"/>
        </w:trPr>
        <w:tc>
          <w:tcPr>
            <w:tcW w:w="31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Condo/Co-op</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r>
      <w:tr>
        <w:trPr>
          <w:trHeight w:val="213"/>
        </w:trPr>
        <w:tc>
          <w:tcPr>
            <w:tcW w:w="310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1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r>
      <w:tr>
        <w:trPr>
          <w:trHeight w:val="183"/>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Occupancy type:</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Primary residence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Second/vacation home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20"/>
        </w:trPr>
        <w:tc>
          <w:tcPr>
            <w:tcW w:w="31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Investor</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r>
      <w:tr>
        <w:trPr>
          <w:trHeight w:val="213"/>
        </w:trPr>
        <w:tc>
          <w:tcPr>
            <w:tcW w:w="310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1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r>
      <w:tr>
        <w:trPr>
          <w:trHeight w:val="196"/>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Loan purpose:</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2"/>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Purchase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Cash-out refinance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20"/>
        </w:trPr>
        <w:tc>
          <w:tcPr>
            <w:tcW w:w="31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refinance</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r>
      <w:tr>
        <w:trPr>
          <w:trHeight w:val="213"/>
        </w:trPr>
        <w:tc>
          <w:tcPr>
            <w:tcW w:w="310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1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9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Midwest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Northeast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Southeast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Southwest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0"/>
        </w:trPr>
        <w:tc>
          <w:tcPr>
            <w:tcW w:w="31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w:t>
            </w:r>
          </w:p>
        </w:tc>
      </w:tr>
      <w:tr>
        <w:trPr>
          <w:trHeight w:val="213"/>
        </w:trPr>
        <w:tc>
          <w:tcPr>
            <w:tcW w:w="4460" w:type="dxa"/>
            <w:vAlign w:val="bottom"/>
            <w:gridSpan w:val="3"/>
          </w:tcPr>
          <w:p>
            <w:pPr>
              <w:ind w:left="220"/>
              <w:spacing w:after="0"/>
              <w:rPr>
                <w:sz w:val="20"/>
                <w:szCs w:val="20"/>
                <w:color w:val="auto"/>
              </w:rPr>
            </w:pPr>
            <w:r>
              <w:rPr>
                <w:rFonts w:ascii="Arial" w:cs="Arial" w:eastAsia="Arial" w:hAnsi="Arial"/>
                <w:sz w:val="14"/>
                <w:szCs w:val="14"/>
                <w:color w:val="auto"/>
              </w:rPr>
              <w:t>Total</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31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top w:val="single" w:sz="8" w:color="2C6937"/>
              <w:bottom w:val="single" w:sz="8" w:color="2C6937"/>
            </w:tcBorders>
          </w:tcPr>
          <w:p>
            <w:pPr>
              <w:spacing w:after="0" w:line="20" w:lineRule="exact"/>
              <w:rPr>
                <w:sz w:val="1"/>
                <w:szCs w:val="1"/>
                <w:color w:val="auto"/>
              </w:rPr>
            </w:pPr>
          </w:p>
        </w:tc>
      </w:tr>
      <w:tr>
        <w:trPr>
          <w:trHeight w:val="196"/>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Origination year:</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3"/>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2019 and prior</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3100" w:type="dxa"/>
            <w:vAlign w:val="bottom"/>
          </w:tcPr>
          <w:p>
            <w:pPr>
              <w:ind w:left="1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2021</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2022</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2023</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2024</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964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964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64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964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Percent of Single-Family Conventional</w:t>
      </w:r>
    </w:p>
    <w:p>
      <w:pPr>
        <w:ind w:left="1240"/>
        <w:spacing w:after="0" w:line="183" w:lineRule="auto"/>
        <w:rPr>
          <w:sz w:val="20"/>
          <w:szCs w:val="20"/>
          <w:color w:val="auto"/>
        </w:rPr>
      </w:pPr>
      <w:r>
        <w:rPr>
          <w:rFonts w:ascii="Arial" w:cs="Arial" w:eastAsia="Arial" w:hAnsi="Arial"/>
          <w:sz w:val="14"/>
          <w:szCs w:val="14"/>
          <w:b w:val="1"/>
          <w:bCs w:val="1"/>
          <w:color w:val="auto"/>
        </w:rPr>
        <w:t>Guaranty Book of Business</w:t>
      </w:r>
      <w:r>
        <w:rPr>
          <w:rFonts w:ascii="Arial" w:cs="Arial" w:eastAsia="Arial" w:hAnsi="Arial"/>
          <w:sz w:val="17"/>
          <w:szCs w:val="17"/>
          <w:b w:val="1"/>
          <w:bCs w:val="1"/>
          <w:color w:val="auto"/>
          <w:vertAlign w:val="superscript"/>
        </w:rPr>
        <w:t>(3)</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780" w:type="dxa"/>
            <w:vAlign w:val="bottom"/>
            <w:tcBorders>
              <w:top w:val="single" w:sz="8" w:color="2C6937"/>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March 31, 2025</w:t>
            </w:r>
          </w:p>
        </w:tc>
        <w:tc>
          <w:tcPr>
            <w:tcW w:w="240" w:type="dxa"/>
            <w:vAlign w:val="bottom"/>
            <w:tcBorders>
              <w:top w:val="single" w:sz="8" w:color="2C6937"/>
            </w:tcBorders>
          </w:tcPr>
          <w:p>
            <w:pPr>
              <w:spacing w:after="0"/>
              <w:rPr>
                <w:sz w:val="16"/>
                <w:szCs w:val="16"/>
                <w:color w:val="auto"/>
              </w:rPr>
            </w:pPr>
          </w:p>
        </w:tc>
        <w:tc>
          <w:tcPr>
            <w:tcW w:w="1760" w:type="dxa"/>
            <w:vAlign w:val="bottom"/>
            <w:tcBorders>
              <w:top w:val="single" w:sz="8" w:color="2C6937"/>
              <w:bottom w:val="single" w:sz="8" w:color="2C6937"/>
            </w:tcBorders>
          </w:tcPr>
          <w:p>
            <w:pPr>
              <w:jc w:val="right"/>
              <w:ind w:right="190"/>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Borders>
              <w:top w:val="single" w:sz="8" w:color="2C6937"/>
            </w:tcBorders>
          </w:tcPr>
          <w:p>
            <w:pPr>
              <w:spacing w:after="0"/>
              <w:rPr>
                <w:sz w:val="16"/>
                <w:szCs w:val="16"/>
                <w:color w:val="auto"/>
              </w:rPr>
            </w:pPr>
          </w:p>
        </w:tc>
      </w:tr>
      <w:tr>
        <w:trPr>
          <w:trHeight w:val="636"/>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89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r>
      <w:tr>
        <w:trPr>
          <w:trHeight w:val="212"/>
        </w:trPr>
        <w:tc>
          <w:tcPr>
            <w:tcW w:w="180" w:type="dxa"/>
            <w:vAlign w:val="bottom"/>
          </w:tcPr>
          <w:p>
            <w:pPr>
              <w:spacing w:after="0"/>
              <w:rPr>
                <w:sz w:val="18"/>
                <w:szCs w:val="18"/>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8"/>
                <w:szCs w:val="18"/>
                <w:color w:val="auto"/>
              </w:rPr>
            </w:pPr>
          </w:p>
        </w:tc>
      </w:tr>
      <w:tr>
        <w:trPr>
          <w:trHeight w:val="212"/>
        </w:trPr>
        <w:tc>
          <w:tcPr>
            <w:tcW w:w="180" w:type="dxa"/>
            <w:vAlign w:val="bottom"/>
          </w:tcPr>
          <w:p>
            <w:pPr>
              <w:spacing w:after="0"/>
              <w:rPr>
                <w:sz w:val="18"/>
                <w:szCs w:val="18"/>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9"/>
                <w:szCs w:val="19"/>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48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9"/>
                <w:szCs w:val="19"/>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9"/>
                <w:szCs w:val="19"/>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22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22</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28</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w:t>
            </w:r>
          </w:p>
        </w:tc>
        <w:tc>
          <w:tcPr>
            <w:tcW w:w="240" w:type="dxa"/>
            <w:vAlign w:val="bottom"/>
          </w:tcPr>
          <w:p>
            <w:pPr>
              <w:spacing w:after="0"/>
              <w:rPr>
                <w:sz w:val="19"/>
                <w:szCs w:val="19"/>
                <w:color w:val="auto"/>
              </w:rPr>
            </w:pPr>
          </w:p>
        </w:tc>
      </w:tr>
      <w:tr>
        <w:trPr>
          <w:trHeight w:val="21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r>
      <w:tr>
        <w:trPr>
          <w:trHeight w:val="220"/>
        </w:trPr>
        <w:tc>
          <w:tcPr>
            <w:tcW w:w="18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r>
      <w:tr>
        <w:trPr>
          <w:trHeight w:val="213"/>
        </w:trPr>
        <w:tc>
          <w:tcPr>
            <w:tcW w:w="180" w:type="dxa"/>
            <w:vAlign w:val="bottom"/>
          </w:tcPr>
          <w:p>
            <w:pPr>
              <w:spacing w:after="0"/>
              <w:rPr>
                <w:sz w:val="18"/>
                <w:szCs w:val="18"/>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Pr>
          <w:p>
            <w:pPr>
              <w:spacing w:after="0" w:line="20" w:lineRule="exact"/>
              <w:rPr>
                <w:sz w:val="1"/>
                <w:szCs w:val="1"/>
                <w:color w:val="auto"/>
              </w:rPr>
            </w:pPr>
          </w:p>
        </w:tc>
        <w:tc>
          <w:tcPr>
            <w:tcW w:w="17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6980" w:space="60"/>
            <w:col w:w="4200"/>
          </w:cols>
          <w:pgMar w:left="320" w:top="248" w:right="339" w:bottom="1440" w:gutter="0" w:footer="0" w:header="0"/>
          <w:type w:val="continuous"/>
        </w:sectPr>
      </w:pPr>
    </w:p>
    <w:p>
      <w:pPr>
        <w:ind w:left="200" w:hanging="197"/>
        <w:spacing w:after="0"/>
        <w:tabs>
          <w:tab w:leader="none" w:pos="2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business volume or guaranty book of business.</w:t>
      </w:r>
    </w:p>
    <w:p>
      <w:pPr>
        <w:spacing w:after="0" w:line="19" w:lineRule="exact"/>
        <w:rPr>
          <w:sz w:val="20"/>
          <w:szCs w:val="20"/>
          <w:color w:val="auto"/>
        </w:rPr>
      </w:pPr>
    </w:p>
    <w:p>
      <w:pPr>
        <w:ind w:left="220" w:hanging="217"/>
        <w:spacing w:after="0"/>
        <w:tabs>
          <w:tab w:leader="none" w:pos="2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Second-lien mortgage loans held by third parties are not reflected in the original LTV or the estimated mark-to-market LTV ratios in this table.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7" w:name="page28"/>
    <w:bookmarkEnd w:id="27"/>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hanging="217"/>
        <w:spacing w:after="0"/>
        <w:tabs>
          <w:tab w:leader="none" w:pos="2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single-family loans for each category at time of acquisition.</w:t>
      </w:r>
    </w:p>
    <w:p>
      <w:pPr>
        <w:spacing w:after="0" w:line="37" w:lineRule="exact"/>
        <w:rPr>
          <w:rFonts w:ascii="Arial" w:cs="Arial" w:eastAsia="Arial" w:hAnsi="Arial"/>
          <w:sz w:val="18"/>
          <w:szCs w:val="18"/>
          <w:color w:val="auto"/>
          <w:vertAlign w:val="superscript"/>
        </w:rPr>
      </w:pPr>
    </w:p>
    <w:p>
      <w:pPr>
        <w:ind w:left="240" w:right="160" w:hanging="237"/>
        <w:spacing w:after="0" w:line="219" w:lineRule="auto"/>
        <w:tabs>
          <w:tab w:leader="none" w:pos="233"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single-family loans for each category divided by the aggregate unpaid principal balance of loans in our single-family conventional guaranty book of business as of the end of each period.</w:t>
      </w:r>
    </w:p>
    <w:p>
      <w:pPr>
        <w:spacing w:after="0" w:line="26" w:lineRule="exact"/>
        <w:rPr>
          <w:rFonts w:ascii="Arial" w:cs="Arial" w:eastAsia="Arial" w:hAnsi="Arial"/>
          <w:sz w:val="18"/>
          <w:szCs w:val="18"/>
          <w:color w:val="auto"/>
          <w:vertAlign w:val="superscript"/>
        </w:rPr>
      </w:pPr>
    </w:p>
    <w:p>
      <w:pPr>
        <w:ind w:left="240" w:right="240" w:hanging="237"/>
        <w:spacing w:after="0" w:line="218" w:lineRule="auto"/>
        <w:tabs>
          <w:tab w:leader="none" w:pos="233"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The original LTV ratio generally is based on the original unpaid principal balance of the loan divided by the appraised property value reported to us at the time of acquisition of the loan. Excludes loans for which this information is not readily available.</w:t>
      </w:r>
    </w:p>
    <w:p>
      <w:pPr>
        <w:spacing w:after="0" w:line="26" w:lineRule="exact"/>
        <w:rPr>
          <w:rFonts w:ascii="Arial" w:cs="Arial" w:eastAsia="Arial" w:hAnsi="Arial"/>
          <w:sz w:val="18"/>
          <w:szCs w:val="18"/>
          <w:color w:val="auto"/>
          <w:vertAlign w:val="superscript"/>
        </w:rPr>
      </w:pPr>
    </w:p>
    <w:p>
      <w:pPr>
        <w:ind w:left="240" w:right="20" w:hanging="237"/>
        <w:spacing w:after="0" w:line="244" w:lineRule="auto"/>
        <w:tabs>
          <w:tab w:leader="none" w:pos="233" w:val="left"/>
        </w:tabs>
        <w:numPr>
          <w:ilvl w:val="0"/>
          <w:numId w:val="24"/>
        </w:numPr>
        <w:rPr>
          <w:rFonts w:ascii="Arial" w:cs="Arial" w:eastAsia="Arial" w:hAnsi="Arial"/>
          <w:sz w:val="17"/>
          <w:szCs w:val="17"/>
          <w:color w:val="auto"/>
          <w:vertAlign w:val="superscript"/>
        </w:rPr>
      </w:pPr>
      <w:r>
        <w:rPr>
          <w:rFonts w:ascii="Arial" w:cs="Arial" w:eastAsia="Arial" w:hAnsi="Arial"/>
          <w:sz w:val="13"/>
          <w:szCs w:val="13"/>
          <w:color w:val="auto"/>
        </w:rPr>
        <w:t>The aggregate estimated mark-to-market LTV ratio is based on the unpaid principal balance of the loan as of the end of each reported period divided by the estimated current value of the property, which we calculate using an internal valuation model that estimates periodic changes in home value. Excludes loans for which this information is not readily available.</w:t>
      </w:r>
    </w:p>
    <w:p>
      <w:pPr>
        <w:spacing w:after="0" w:line="23" w:lineRule="exact"/>
        <w:rPr>
          <w:rFonts w:ascii="Arial" w:cs="Arial" w:eastAsia="Arial" w:hAnsi="Arial"/>
          <w:sz w:val="17"/>
          <w:szCs w:val="17"/>
          <w:color w:val="auto"/>
          <w:vertAlign w:val="superscript"/>
        </w:rPr>
      </w:pPr>
    </w:p>
    <w:p>
      <w:pPr>
        <w:ind w:left="240" w:right="240" w:hanging="237"/>
        <w:spacing w:after="0" w:line="226" w:lineRule="auto"/>
        <w:tabs>
          <w:tab w:leader="none" w:pos="233"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Loans with unavailable FICO credit scores represent less than 0.5% of single-family conventional business volume or guaranty book of business, and therefore are not presented separately in this table.</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4"/>
        </w:numPr>
        <w:rPr>
          <w:rFonts w:ascii="Arial" w:cs="Arial" w:eastAsia="Arial" w:hAnsi="Arial"/>
          <w:sz w:val="9"/>
          <w:szCs w:val="9"/>
          <w:color w:val="auto"/>
        </w:rPr>
      </w:pPr>
      <w:r>
        <w:rPr>
          <w:rFonts w:ascii="Arial" w:cs="Arial" w:eastAsia="Arial" w:hAnsi="Arial"/>
          <w:sz w:val="14"/>
          <w:szCs w:val="14"/>
          <w:color w:val="auto"/>
        </w:rPr>
        <w:t>Excludes loans for which this information is not readily available.</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24"/>
        </w:numPr>
        <w:rPr>
          <w:rFonts w:ascii="Arial" w:cs="Arial" w:eastAsia="Arial" w:hAnsi="Arial"/>
          <w:sz w:val="9"/>
          <w:szCs w:val="9"/>
          <w:color w:val="auto"/>
        </w:rPr>
      </w:pPr>
      <w:r>
        <w:rPr>
          <w:rFonts w:ascii="Arial" w:cs="Arial" w:eastAsia="Arial" w:hAnsi="Arial"/>
          <w:sz w:val="14"/>
          <w:szCs w:val="14"/>
          <w:color w:val="auto"/>
        </w:rPr>
        <w:t>Long-term fixed-rate consists of mortgage loans with maturities greater than 15 years, while intermediate-term fixed-rate loans have maturities equal to or less than 15 years.</w:t>
      </w:r>
    </w:p>
    <w:p>
      <w:pPr>
        <w:spacing w:after="0" w:line="45" w:lineRule="exact"/>
        <w:rPr>
          <w:rFonts w:ascii="Arial" w:cs="Arial" w:eastAsia="Arial" w:hAnsi="Arial"/>
          <w:sz w:val="9"/>
          <w:szCs w:val="9"/>
          <w:color w:val="auto"/>
        </w:rPr>
      </w:pPr>
    </w:p>
    <w:p>
      <w:pPr>
        <w:ind w:left="240" w:right="160" w:hanging="237"/>
        <w:spacing w:after="0" w:line="244" w:lineRule="auto"/>
        <w:tabs>
          <w:tab w:leader="none" w:pos="233" w:val="left"/>
        </w:tabs>
        <w:numPr>
          <w:ilvl w:val="0"/>
          <w:numId w:val="24"/>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4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Although new business volumes remain low, the share of our single-family loan acquisitions consisting of refinance loans rather than home purchase loans increased to 22% in the first quarter of 2025 compared with 15% in the first quarter of 2024. Typically, refinance loans have lower LTV ratios than home purchase loans. This trend contributed to a decrease in the percentage of our single-family loan acquisitions with LTV ratios over 80%, from 41% in the first quarter of 2024 to 38% in the first quarter of 2025.</w:t>
      </w:r>
    </w:p>
    <w:p>
      <w:pPr>
        <w:spacing w:after="0" w:line="35"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For a discussion of factors that may impact the volume and credit characteristics of loans we acquire in the future, see “MD&amp;A—Single-Family Business— Single-Family Mortgage Credit Risk Management—Single-Family Guaranty Book Diversification and Monitoring” in our 2024 Form 10-K. In this section of our 2024 Form 10-K, we also provide more information on the credit characteristics of loans in our single-family conventional guaranty book of business, including high-balance loans and adjustable-rate mortgages.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Credit Enhancement and Transfer of Mortgage Credit Risk</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charter generally requires credit enhancement on any single-family conventional mortgage loan that we purchase or securitize if it has an LTV ratio over 80% at the time of acquisition. We generally achieve this through primary mortgage insurance. We also enter into various other types of transactions in which we transfer mortgage credit risk to third parties. For a discussion of our exposure to and management of the counterparty credit risk associated with the providers of these credit enhancements, see “MD&amp;A—Risk Management—Institutional Counterparty Credit Risk Management” and “Note 14, Concentrations of Credit Risk” in our 2024 Form 10-K and “Note 11, Concentrations of Credit Risk” in this report. Also see “Risk Factors—Credit Risk” in our 2024 Form 10-K.</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table below displays information about loans in our single-family conventional guaranty book of business covered by one or more forms of credit enhancement, including mortgage insurance or a credit risk transfer transaction. The risk in force of these transactions, which refers to the maximum amount of losses that could be absorbed by credit risk transfer investors, was approximately $41 billion as of March 31, 2025, compared with approximately $43 billion as of December 31, 2024.</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with Credit 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r>
      <w:tr>
        <w:trPr>
          <w:trHeight w:val="193"/>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805"/>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2024</w:t>
            </w:r>
          </w:p>
        </w:tc>
      </w:tr>
      <w:tr>
        <w:trPr>
          <w:trHeight w:val="178"/>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 Single-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Single-</w:t>
            </w:r>
          </w:p>
        </w:tc>
      </w:tr>
      <w:tr>
        <w:trPr>
          <w:trHeight w:val="155"/>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Unpaid</w:t>
            </w:r>
          </w:p>
        </w:tc>
        <w:tc>
          <w:tcPr>
            <w:tcW w:w="16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Family Conventional</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6"/>
              </w:rPr>
              <w:t>Unpaid</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Family Conventional</w:t>
            </w:r>
          </w:p>
        </w:tc>
      </w:tr>
      <w:tr>
        <w:trPr>
          <w:trHeight w:val="168"/>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Principal</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Guaranty Book of</w:t>
            </w: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Principal</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Guaranty Book of</w:t>
            </w:r>
          </w:p>
        </w:tc>
      </w:tr>
      <w:tr>
        <w:trPr>
          <w:trHeight w:val="196"/>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10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5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Business</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84"/>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7"/>
                <w:szCs w:val="17"/>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r>
      <w:tr>
        <w:trPr>
          <w:trHeight w:val="192"/>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940"/>
              <w:spacing w:after="0"/>
              <w:rPr>
                <w:sz w:val="20"/>
                <w:szCs w:val="20"/>
                <w:color w:val="auto"/>
              </w:rPr>
            </w:pPr>
            <w:r>
              <w:rPr>
                <w:rFonts w:ascii="Arial" w:cs="Arial" w:eastAsia="Arial" w:hAnsi="Arial"/>
                <w:sz w:val="14"/>
                <w:szCs w:val="14"/>
                <w:b w:val="1"/>
                <w:bCs w:val="1"/>
                <w:color w:val="auto"/>
              </w:rPr>
              <w:t>(Dollars in billions)</w:t>
            </w:r>
          </w:p>
        </w:tc>
        <w:tc>
          <w:tcPr>
            <w:tcW w:w="1560" w:type="dxa"/>
            <w:vAlign w:val="bottom"/>
          </w:tcPr>
          <w:p>
            <w:pPr>
              <w:spacing w:after="0"/>
              <w:rPr>
                <w:sz w:val="16"/>
                <w:szCs w:val="16"/>
                <w:color w:val="auto"/>
              </w:rPr>
            </w:pPr>
          </w:p>
        </w:tc>
      </w:tr>
      <w:tr>
        <w:trPr>
          <w:trHeight w:val="24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Primary mortgage insurance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756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Connecticut Avenue Securities</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862</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23</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Credit Insurance Risk Transfer</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421</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12</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w:t>
            </w:r>
          </w:p>
        </w:tc>
      </w:tr>
      <w:tr>
        <w:trPr>
          <w:trHeight w:val="234"/>
        </w:trPr>
        <w:tc>
          <w:tcPr>
            <w:tcW w:w="55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covered by multiple credit enhancements</w:t>
            </w:r>
          </w:p>
        </w:tc>
        <w:tc>
          <w:tcPr>
            <w:tcW w:w="14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(385)</w:t>
            </w:r>
          </w:p>
        </w:tc>
        <w:tc>
          <w:tcPr>
            <w:tcW w:w="100" w:type="dxa"/>
            <w:vAlign w:val="bottom"/>
          </w:tcPr>
          <w:p>
            <w:pPr>
              <w:spacing w:after="0"/>
              <w:rPr>
                <w:sz w:val="20"/>
                <w:szCs w:val="20"/>
                <w:color w:val="auto"/>
              </w:rPr>
            </w:pPr>
          </w:p>
        </w:tc>
        <w:tc>
          <w:tcPr>
            <w:tcW w:w="1580" w:type="dxa"/>
            <w:vAlign w:val="bottom"/>
            <w:tcBorders>
              <w:bottom w:val="single" w:sz="8" w:color="2C6937"/>
            </w:tcBorders>
          </w:tcPr>
          <w:p>
            <w:pPr>
              <w:jc w:val="right"/>
              <w:ind w:right="105"/>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(11)</w:t>
            </w:r>
          </w:p>
        </w:tc>
      </w:tr>
      <w:tr>
        <w:trPr>
          <w:trHeight w:val="225"/>
        </w:trPr>
        <w:tc>
          <w:tcPr>
            <w:tcW w:w="5660" w:type="dxa"/>
            <w:vAlign w:val="bottom"/>
            <w:gridSpan w:val="2"/>
          </w:tcPr>
          <w:p>
            <w:pPr>
              <w:ind w:left="320"/>
              <w:spacing w:after="0"/>
              <w:rPr>
                <w:sz w:val="20"/>
                <w:szCs w:val="20"/>
                <w:color w:val="auto"/>
              </w:rPr>
            </w:pPr>
            <w:r>
              <w:rPr>
                <w:rFonts w:ascii="Arial" w:cs="Arial" w:eastAsia="Arial" w:hAnsi="Arial"/>
                <w:sz w:val="15"/>
                <w:szCs w:val="15"/>
                <w:color w:val="auto"/>
              </w:rPr>
              <w:t>Total single-family loans with credit enhancement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1,685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1,667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1"/>
        </w:trPr>
        <w:tc>
          <w:tcPr>
            <w:tcW w:w="55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8" w:name="page29"/>
    <w:bookmarkEnd w:id="28"/>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As of March 31, 2025 and December 31, 2024, the loans in our single-family conventional guaranty book of business that were currently without credit enhancement consisted primarily of loans with an LTV ratio less than or equal to 60% or loans with an original maturity of 20 years or less. See “MD&amp;A— Single-Family Business—Single-Family Credit Enhancement and Transfer of Mortgage Credit Risk" in our 2024 Form 10-K for more information about our single-family loans without credit enhancements.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Transfer of Mortgage Credit Risk</w:t>
      </w:r>
    </w:p>
    <w:p>
      <w:pPr>
        <w:spacing w:after="0" w:line="6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In addition to primary mortgage insurance, our Single-Family business has developed other risk-sharing capabilities to transfer portions of our single-family mortgage credit risk to the private market. For a description of our credit risk transfer transactions, see "MD&amp;A—Single-Family Business—Single-Family Mortgage Credit Risk Management—Single-Family Credit Enhancement and Transfer of Mortgage Credit Risk."</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2025, we transferred a portion of the mortgage credit risk on single-family mortgage loans with an unpaid principal balance of</w:t>
      </w:r>
    </w:p>
    <w:p>
      <w:pPr>
        <w:spacing w:after="0" w:line="25"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$51.0 billion at the time of the transactions. Our two primary single-family credit risk transfer programs are Connecticut Avenue Securities® (“CAS”) and Credit Insurance Risk Transfer™ (“CIRT™”).</w:t>
      </w:r>
    </w:p>
    <w:p>
      <w:pPr>
        <w:spacing w:after="0" w:line="31"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provide a portion of the guaranty fee to investors in our credit risk transfer transactions as compensation for their taking on a share of the credit risk of the related loans. We record the substantial majority of expenses related to our credit risk transfer transactions in “Credit enhancement expense” within our consolidated statements of operations and comprehensive income. For the first quarter of 2025, we paid $429 million in premiums on our outstanding single-family credit risk transfer transactions.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Problem Loan Management</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Overview</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problem loan management strategies focus primarily on reducing defaults to avoid losses that would otherwise occur and pursuing foreclosure alternatives to mitigate the severity of the losses we incur. See “MD&amp;A—Single-Family Business—Single-Family Mortgage Credit Risk Management— Single-Family Problem Loan Management” in our 2024 Form 10-K for a discussion of delinquency statistics on our problem loans, efforts undertaken to manage our problem loans, metrics regarding our loan workout activities, real estate owned (“REO”) management and other single-family credit-related information. The discussion below updates some of that information. We also provide ongoing credit performance information on loans underlying single-family Fannie Mae MBS and loans covered by single-family credit risk transfer transactions. For loans backing Fannie Mae MBS, see the “Forbearance and Delinquency Dashboard” available in the MBS section of our Data Dynamics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which is available at www.fanniemae.com/datadynamics. For loans covered by credit risk transfer transactions, see the “Deal Performance Data” report available in the CAS and CIRT sections of the tool. Information on our website is not incorporated into this report. Information in Data Dynamics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9" w:name="page30"/>
    <w:bookmarkEnd w:id="29"/>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Delinquency</w:t>
      </w:r>
    </w:p>
    <w:p>
      <w:pPr>
        <w:spacing w:after="0" w:line="80" w:lineRule="exact"/>
        <w:rPr>
          <w:sz w:val="20"/>
          <w:szCs w:val="20"/>
          <w:color w:val="auto"/>
        </w:rPr>
      </w:pPr>
    </w:p>
    <w:p>
      <w:pPr>
        <w:ind w:left="20" w:right="20"/>
        <w:spacing w:after="0" w:line="263" w:lineRule="auto"/>
        <w:rPr>
          <w:sz w:val="20"/>
          <w:szCs w:val="20"/>
          <w:color w:val="auto"/>
        </w:rPr>
      </w:pPr>
      <w:r>
        <w:rPr>
          <w:rFonts w:ascii="Arial" w:cs="Arial" w:eastAsia="Arial" w:hAnsi="Arial"/>
          <w:sz w:val="16"/>
          <w:szCs w:val="16"/>
          <w:color w:val="auto"/>
        </w:rPr>
        <w:t>The tables below display the delinquency status of loans and changes in the volume of seriously delinquent loans in our single-family conventional guaranty book of business based on the number of loans. Single-family seriously delinquent loans are loans that are 90 days or more past due or in the foreclosure process. Our single-family serious delinquency rate is expressed as a percentage of our single-family conventional guaranty book of business based on loan count. Management monitors the single-family serious delinquency rate as an indicator of potential future credit losses and loss mitigation activities. Serious delinquency rates are reflective of our performance in assessing and managing credit risk associated with single-family loans in our guaranty book of business. Typically, higher serious delinquency rates result in a higher allowance for loan losses.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Delinquency Status and Activity of Single-Family Conventional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713867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9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3"/>
          </w:tcPr>
          <w:p>
            <w:pPr>
              <w:jc w:val="center"/>
              <w:ind w:right="20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0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 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December 31, 2024</w:t>
            </w:r>
          </w:p>
        </w:tc>
        <w:tc>
          <w:tcPr>
            <w:tcW w:w="20" w:type="dxa"/>
            <w:vAlign w:val="bottom"/>
          </w:tcPr>
          <w:p>
            <w:pPr>
              <w:spacing w:after="0"/>
              <w:rPr>
                <w:sz w:val="16"/>
                <w:szCs w:val="16"/>
                <w:color w:val="auto"/>
              </w:rPr>
            </w:pPr>
          </w:p>
        </w:tc>
        <w:tc>
          <w:tcPr>
            <w:tcW w:w="1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07"/>
        </w:trPr>
        <w:tc>
          <w:tcPr>
            <w:tcW w:w="5260" w:type="dxa"/>
            <w:vAlign w:val="bottom"/>
            <w:gridSpan w:val="2"/>
          </w:tcPr>
          <w:p>
            <w:pPr>
              <w:spacing w:after="0"/>
              <w:rPr>
                <w:sz w:val="20"/>
                <w:szCs w:val="20"/>
                <w:color w:val="auto"/>
              </w:rPr>
            </w:pPr>
            <w:r>
              <w:rPr>
                <w:rFonts w:ascii="Arial" w:cs="Arial" w:eastAsia="Arial" w:hAnsi="Arial"/>
                <w:sz w:val="15"/>
                <w:szCs w:val="15"/>
                <w:b w:val="1"/>
                <w:bCs w:val="1"/>
                <w:color w:val="auto"/>
              </w:rPr>
              <w:t>Delinquency status:</w:t>
            </w:r>
          </w:p>
        </w:tc>
        <w:tc>
          <w:tcPr>
            <w:tcW w:w="190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820" w:type="dxa"/>
            <w:vAlign w:val="bottom"/>
            <w:tcBorders>
              <w:top w:val="single" w:sz="8" w:color="2C6937"/>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2C6937"/>
            </w:tcBorders>
          </w:tcPr>
          <w:p>
            <w:pPr>
              <w:spacing w:after="0"/>
              <w:rPr>
                <w:sz w:val="18"/>
                <w:szCs w:val="18"/>
                <w:color w:val="auto"/>
              </w:rPr>
            </w:pPr>
          </w:p>
        </w:tc>
        <w:tc>
          <w:tcPr>
            <w:tcW w:w="1860" w:type="dxa"/>
            <w:vAlign w:val="bottom"/>
            <w:tcBorders>
              <w:top w:val="single" w:sz="8" w:color="2C6937"/>
            </w:tcBorders>
          </w:tcPr>
          <w:p>
            <w:pPr>
              <w:spacing w:after="0"/>
              <w:rPr>
                <w:sz w:val="18"/>
                <w:szCs w:val="18"/>
                <w:color w:val="auto"/>
              </w:rPr>
            </w:pPr>
          </w:p>
        </w:tc>
        <w:tc>
          <w:tcPr>
            <w:tcW w:w="40" w:type="dxa"/>
            <w:vAlign w:val="bottom"/>
            <w:tcBorders>
              <w:top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30 to 59 days delinquent</w:t>
            </w:r>
          </w:p>
        </w:tc>
        <w:tc>
          <w:tcPr>
            <w:tcW w:w="1900" w:type="dxa"/>
            <w:vAlign w:val="bottom"/>
          </w:tcPr>
          <w:p>
            <w:pPr>
              <w:jc w:val="right"/>
              <w:spacing w:after="0"/>
              <w:rPr>
                <w:sz w:val="20"/>
                <w:szCs w:val="20"/>
                <w:color w:val="auto"/>
              </w:rPr>
            </w:pPr>
            <w:r>
              <w:rPr>
                <w:rFonts w:ascii="Arial" w:cs="Arial" w:eastAsia="Arial" w:hAnsi="Arial"/>
                <w:sz w:val="15"/>
                <w:szCs w:val="15"/>
                <w:b w:val="1"/>
                <w:bCs w:val="1"/>
                <w:color w:val="auto"/>
              </w:rPr>
              <w:t>0.90 %</w:t>
            </w:r>
          </w:p>
        </w:tc>
        <w:tc>
          <w:tcPr>
            <w:tcW w:w="100" w:type="dxa"/>
            <w:vAlign w:val="bottom"/>
          </w:tcPr>
          <w:p>
            <w:pPr>
              <w:spacing w:after="0"/>
              <w:rPr>
                <w:sz w:val="21"/>
                <w:szCs w:val="21"/>
                <w:color w:val="auto"/>
              </w:rPr>
            </w:pPr>
          </w:p>
        </w:tc>
        <w:tc>
          <w:tcPr>
            <w:tcW w:w="1940" w:type="dxa"/>
            <w:vAlign w:val="bottom"/>
            <w:gridSpan w:val="3"/>
          </w:tcPr>
          <w:p>
            <w:pPr>
              <w:ind w:left="1440"/>
              <w:spacing w:after="0"/>
              <w:rPr>
                <w:sz w:val="20"/>
                <w:szCs w:val="20"/>
                <w:color w:val="auto"/>
              </w:rPr>
            </w:pPr>
            <w:r>
              <w:rPr>
                <w:rFonts w:ascii="Arial" w:cs="Arial" w:eastAsia="Arial" w:hAnsi="Arial"/>
                <w:sz w:val="15"/>
                <w:szCs w:val="15"/>
                <w:color w:val="auto"/>
              </w:rPr>
              <w:t>1.05 %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5"/>
                <w:szCs w:val="15"/>
                <w:color w:val="auto"/>
              </w:rPr>
              <w:t>0.94 %</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60 to 89 days delinquent</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0.24</w:t>
            </w:r>
          </w:p>
        </w:tc>
        <w:tc>
          <w:tcPr>
            <w:tcW w:w="100" w:type="dxa"/>
            <w:vAlign w:val="bottom"/>
          </w:tcPr>
          <w:p>
            <w:pPr>
              <w:spacing w:after="0"/>
              <w:rPr>
                <w:sz w:val="20"/>
                <w:szCs w:val="20"/>
                <w:color w:val="auto"/>
              </w:rPr>
            </w:pPr>
          </w:p>
        </w:tc>
        <w:tc>
          <w:tcPr>
            <w:tcW w:w="1940" w:type="dxa"/>
            <w:vAlign w:val="bottom"/>
            <w:gridSpan w:val="3"/>
          </w:tcPr>
          <w:p>
            <w:pPr>
              <w:ind w:left="1440"/>
              <w:spacing w:after="0"/>
              <w:rPr>
                <w:sz w:val="20"/>
                <w:szCs w:val="20"/>
                <w:color w:val="auto"/>
              </w:rPr>
            </w:pPr>
            <w:r>
              <w:rPr>
                <w:rFonts w:ascii="Arial" w:cs="Arial" w:eastAsia="Arial" w:hAnsi="Arial"/>
                <w:sz w:val="15"/>
                <w:szCs w:val="15"/>
                <w:color w:val="auto"/>
              </w:rPr>
              <w:t>0.29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0.23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Seriously delinquent (“SDQ”):</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0.56</w:t>
            </w:r>
          </w:p>
        </w:tc>
        <w:tc>
          <w:tcPr>
            <w:tcW w:w="100" w:type="dxa"/>
            <w:vAlign w:val="bottom"/>
          </w:tcPr>
          <w:p>
            <w:pPr>
              <w:spacing w:after="0"/>
              <w:rPr>
                <w:sz w:val="20"/>
                <w:szCs w:val="20"/>
                <w:color w:val="auto"/>
              </w:rPr>
            </w:pPr>
          </w:p>
        </w:tc>
        <w:tc>
          <w:tcPr>
            <w:tcW w:w="1940" w:type="dxa"/>
            <w:vAlign w:val="bottom"/>
            <w:gridSpan w:val="3"/>
          </w:tcPr>
          <w:p>
            <w:pPr>
              <w:ind w:left="1440"/>
              <w:spacing w:after="0"/>
              <w:rPr>
                <w:sz w:val="20"/>
                <w:szCs w:val="20"/>
                <w:color w:val="auto"/>
              </w:rPr>
            </w:pPr>
            <w:r>
              <w:rPr>
                <w:rFonts w:ascii="Arial" w:cs="Arial" w:eastAsia="Arial" w:hAnsi="Arial"/>
                <w:sz w:val="15"/>
                <w:szCs w:val="15"/>
                <w:color w:val="auto"/>
              </w:rPr>
              <w:t>0.56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0.51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tcPr>
          <w:p>
            <w:pPr>
              <w:ind w:left="440"/>
              <w:spacing w:after="0"/>
              <w:rPr>
                <w:sz w:val="20"/>
                <w:szCs w:val="20"/>
                <w:color w:val="auto"/>
              </w:rPr>
            </w:pPr>
            <w:r>
              <w:rPr>
                <w:rFonts w:ascii="Arial" w:cs="Arial" w:eastAsia="Arial" w:hAnsi="Arial"/>
                <w:sz w:val="15"/>
                <w:szCs w:val="15"/>
                <w:color w:val="auto"/>
              </w:rPr>
              <w:t>180 days</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45</w:t>
            </w:r>
          </w:p>
        </w:tc>
        <w:tc>
          <w:tcPr>
            <w:tcW w:w="100" w:type="dxa"/>
            <w:vAlign w:val="bottom"/>
          </w:tcPr>
          <w:p>
            <w:pPr>
              <w:spacing w:after="0"/>
              <w:rPr>
                <w:sz w:val="20"/>
                <w:szCs w:val="20"/>
                <w:color w:val="auto"/>
              </w:rPr>
            </w:pPr>
          </w:p>
        </w:tc>
        <w:tc>
          <w:tcPr>
            <w:tcW w:w="1940" w:type="dxa"/>
            <w:vAlign w:val="bottom"/>
            <w:gridSpan w:val="3"/>
          </w:tcPr>
          <w:p>
            <w:pPr>
              <w:jc w:val="right"/>
              <w:ind w:right="128"/>
              <w:spacing w:after="0"/>
              <w:rPr>
                <w:sz w:val="20"/>
                <w:szCs w:val="20"/>
                <w:color w:val="auto"/>
              </w:rPr>
            </w:pPr>
            <w:r>
              <w:rPr>
                <w:rFonts w:ascii="Arial" w:cs="Arial" w:eastAsia="Arial" w:hAnsi="Arial"/>
                <w:sz w:val="15"/>
                <w:szCs w:val="15"/>
                <w:color w:val="auto"/>
              </w:rPr>
              <w:t>41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 two</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tcPr>
          <w:p>
            <w:pPr>
              <w:ind w:left="440"/>
              <w:spacing w:after="0"/>
              <w:rPr>
                <w:sz w:val="20"/>
                <w:szCs w:val="20"/>
                <w:color w:val="auto"/>
              </w:rPr>
            </w:pPr>
            <w:r>
              <w:rPr>
                <w:rFonts w:ascii="Arial" w:cs="Arial" w:eastAsia="Arial" w:hAnsi="Arial"/>
                <w:sz w:val="15"/>
                <w:szCs w:val="15"/>
                <w:color w:val="auto"/>
              </w:rPr>
              <w:t>years</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0"/>
                <w:szCs w:val="20"/>
                <w:color w:val="auto"/>
              </w:rPr>
            </w:pPr>
          </w:p>
        </w:tc>
        <w:tc>
          <w:tcPr>
            <w:tcW w:w="1940" w:type="dxa"/>
            <w:vAlign w:val="bottom"/>
            <w:gridSpan w:val="3"/>
          </w:tcPr>
          <w:p>
            <w:pPr>
              <w:jc w:val="right"/>
              <w:ind w:right="128"/>
              <w:spacing w:after="0"/>
              <w:rPr>
                <w:sz w:val="20"/>
                <w:szCs w:val="20"/>
                <w:color w:val="auto"/>
              </w:rPr>
            </w:pPr>
            <w:r>
              <w:rPr>
                <w:rFonts w:ascii="Arial" w:cs="Arial" w:eastAsia="Arial" w:hAnsi="Arial"/>
                <w:sz w:val="15"/>
                <w:szCs w:val="15"/>
                <w:color w:val="auto"/>
              </w:rPr>
              <w:t>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Borders>
              <w:bottom w:val="single" w:sz="8" w:color="2C6937"/>
            </w:tcBorders>
            <w:gridSpan w:val="5"/>
          </w:tcPr>
          <w:p>
            <w:pPr>
              <w:jc w:val="right"/>
              <w:ind w:right="547"/>
              <w:spacing w:after="0"/>
              <w:rPr>
                <w:sz w:val="20"/>
                <w:szCs w:val="20"/>
                <w:color w:val="auto"/>
              </w:rPr>
            </w:pPr>
            <w:r>
              <w:rPr>
                <w:rFonts w:ascii="Arial" w:cs="Arial" w:eastAsia="Arial" w:hAnsi="Arial"/>
                <w:sz w:val="14"/>
                <w:szCs w:val="14"/>
                <w:b w:val="1"/>
                <w:bCs w:val="1"/>
                <w:color w:val="auto"/>
              </w:rPr>
              <w:t>For the Three Months Ended 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820" w:type="dxa"/>
            <w:vAlign w:val="bottom"/>
            <w:tcBorders>
              <w:bottom w:val="single" w:sz="8" w:color="2C6937"/>
            </w:tcBorders>
          </w:tcPr>
          <w:p>
            <w:pPr>
              <w:jc w:val="right"/>
              <w:ind w:right="668"/>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Borders>
              <w:bottom w:val="single" w:sz="8" w:color="2C6937"/>
            </w:tcBorders>
          </w:tcPr>
          <w:p>
            <w:pPr>
              <w:jc w:val="right"/>
              <w:ind w:right="687"/>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5"/>
                <w:szCs w:val="15"/>
                <w:b w:val="1"/>
                <w:bCs w:val="1"/>
                <w:color w:val="auto"/>
              </w:rPr>
              <w:t>Single-family SDQ loans (number of loans):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vMerge w:val="restart"/>
          </w:tcPr>
          <w:p>
            <w:pPr>
              <w:ind w:left="1440"/>
              <w:spacing w:after="0"/>
              <w:rPr>
                <w:sz w:val="20"/>
                <w:szCs w:val="20"/>
                <w:color w:val="auto"/>
              </w:rPr>
            </w:pPr>
            <w:r>
              <w:rPr>
                <w:rFonts w:ascii="Arial" w:cs="Arial" w:eastAsia="Arial" w:hAnsi="Arial"/>
                <w:sz w:val="15"/>
                <w:szCs w:val="15"/>
                <w:b w:val="1"/>
                <w:bCs w:val="1"/>
                <w:color w:val="auto"/>
              </w:rPr>
              <w:t>97,129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5"/>
                <w:szCs w:val="15"/>
                <w:color w:val="auto"/>
              </w:rPr>
              <w:t>Beginning balance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96,479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5"/>
                <w:szCs w:val="15"/>
                <w:color w:val="auto"/>
              </w:rPr>
              <w:t>Additions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ind w:left="1440"/>
              <w:spacing w:after="0"/>
              <w:rPr>
                <w:sz w:val="20"/>
                <w:szCs w:val="20"/>
                <w:color w:val="auto"/>
              </w:rPr>
            </w:pPr>
            <w:r>
              <w:rPr>
                <w:rFonts w:ascii="Arial" w:cs="Arial" w:eastAsia="Arial" w:hAnsi="Arial"/>
                <w:sz w:val="15"/>
                <w:szCs w:val="15"/>
                <w:b w:val="1"/>
                <w:bCs w:val="1"/>
                <w:color w:val="auto"/>
              </w:rPr>
              <w:t>47,828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42,714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5"/>
                <w:szCs w:val="15"/>
                <w:color w:val="auto"/>
              </w:rPr>
              <w:t>Removals: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Pr>
          <w:p>
            <w:pPr>
              <w:ind w:left="480"/>
              <w:spacing w:after="0"/>
              <w:rPr>
                <w:sz w:val="20"/>
                <w:szCs w:val="20"/>
                <w:color w:val="auto"/>
              </w:rPr>
            </w:pPr>
            <w:r>
              <w:rPr>
                <w:rFonts w:ascii="Arial" w:cs="Arial" w:eastAsia="Arial" w:hAnsi="Arial"/>
                <w:sz w:val="15"/>
                <w:szCs w:val="15"/>
                <w:color w:val="auto"/>
              </w:rPr>
              <w:t>Modifications and other loan workouts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(21,265)</w:t>
            </w:r>
          </w:p>
        </w:tc>
        <w:tc>
          <w:tcPr>
            <w:tcW w:w="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(21,390)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480"/>
              <w:spacing w:after="0"/>
              <w:rPr>
                <w:sz w:val="20"/>
                <w:szCs w:val="20"/>
                <w:color w:val="auto"/>
              </w:rPr>
            </w:pPr>
            <w:r>
              <w:rPr>
                <w:rFonts w:ascii="Arial" w:cs="Arial" w:eastAsia="Arial" w:hAnsi="Arial"/>
                <w:sz w:val="15"/>
                <w:szCs w:val="15"/>
                <w:color w:val="auto"/>
              </w:rPr>
              <w:t>Liquidations and sales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(6,519)</w:t>
            </w:r>
          </w:p>
        </w:tc>
        <w:tc>
          <w:tcPr>
            <w:tcW w:w="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(6,756)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4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Cured or less than 90 days delinquent</w:t>
            </w:r>
          </w:p>
        </w:tc>
        <w:tc>
          <w:tcPr>
            <w:tcW w:w="19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(21,571)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(21,454)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 removals</w:t>
            </w:r>
          </w:p>
        </w:tc>
        <w:tc>
          <w:tcPr>
            <w:tcW w:w="19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(49,355)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40" w:type="dxa"/>
            <w:vAlign w:val="bottom"/>
          </w:tcPr>
          <w:p>
            <w:pPr>
              <w:ind w:left="20"/>
              <w:spacing w:after="0"/>
              <w:rPr>
                <w:sz w:val="20"/>
                <w:szCs w:val="20"/>
                <w:color w:val="auto"/>
              </w:rPr>
            </w:pPr>
            <w:r>
              <w:rPr>
                <w:rFonts w:ascii="Arial" w:cs="Arial" w:eastAsia="Arial" w:hAnsi="Arial"/>
                <w:sz w:val="15"/>
                <w:szCs w:val="15"/>
                <w:color w:val="auto"/>
              </w:rPr>
              <w:t>Ending balance</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ind w:left="1320"/>
              <w:spacing w:after="0"/>
              <w:rPr>
                <w:sz w:val="20"/>
                <w:szCs w:val="20"/>
                <w:color w:val="auto"/>
              </w:rPr>
            </w:pPr>
            <w:r>
              <w:rPr>
                <w:rFonts w:ascii="Arial" w:cs="Arial" w:eastAsia="Arial" w:hAnsi="Arial"/>
                <w:sz w:val="15"/>
                <w:szCs w:val="15"/>
                <w:b w:val="1"/>
                <w:bCs w:val="1"/>
                <w:color w:val="auto"/>
              </w:rPr>
              <w:t>95,602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89,593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2C6937"/>
              <w:bottom w:val="single" w:sz="8" w:color="2C6937"/>
            </w:tcBorders>
          </w:tcPr>
          <w:p>
            <w:pPr>
              <w:spacing w:after="0" w:line="20" w:lineRule="exact"/>
              <w:rPr>
                <w:sz w:val="1"/>
                <w:szCs w:val="1"/>
                <w:color w:val="auto"/>
              </w:rPr>
            </w:pPr>
          </w:p>
        </w:tc>
        <w:tc>
          <w:tcPr>
            <w:tcW w:w="1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 w:right="60"/>
        <w:spacing w:after="0" w:line="266" w:lineRule="auto"/>
        <w:rPr>
          <w:sz w:val="20"/>
          <w:szCs w:val="20"/>
          <w:color w:val="auto"/>
        </w:rPr>
      </w:pPr>
      <w:r>
        <w:rPr>
          <w:rFonts w:ascii="Arial" w:cs="Arial" w:eastAsia="Arial" w:hAnsi="Arial"/>
          <w:sz w:val="16"/>
          <w:szCs w:val="16"/>
          <w:color w:val="auto"/>
        </w:rPr>
        <w:t>Our single-family serious delinquency rate remained flat as of March 31, 2025, compared to December 31, 2024, and continues to remain low relative to historic levels. The impact of recent trade and fiscal policies are uncertain and could affect the credit performance of the loans in our single-family guaranty book of business compared to recent performance. This could lead to higher delinquencies or an increase in our single-family serious delinquency rate. For information about factors that affect our single-family serious delinquency rate, see “MD&amp;A—Single-Family Business—Single-Family Mortgage Credit Risk Management—Single-Family Problem Loan Management” in our 2024 Form 10-K.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0" w:name="page31"/>
    <w:bookmarkEnd w:id="30"/>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right="100"/>
        <w:spacing w:after="0" w:line="293" w:lineRule="auto"/>
        <w:rPr>
          <w:sz w:val="20"/>
          <w:szCs w:val="20"/>
          <w:color w:val="auto"/>
        </w:rPr>
      </w:pPr>
      <w:r>
        <w:rPr>
          <w:rFonts w:ascii="Arial" w:cs="Arial" w:eastAsia="Arial" w:hAnsi="Arial"/>
          <w:sz w:val="16"/>
          <w:szCs w:val="16"/>
          <w:color w:val="auto"/>
        </w:rPr>
        <w:t>The table below displays the serious delinquency rates for, and the percentage of our seriously delinquent single-family conventional loans represented by, the specified loan categories. The reported categories are not mutually exclusive.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Single-Family Conventional Seriously Delinquent Loan Concentration Analysis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360" w:type="dxa"/>
            <w:vAlign w:val="bottom"/>
            <w:tcBorders>
              <w:top w:val="single" w:sz="8" w:color="2C6937"/>
            </w:tcBorders>
          </w:tcPr>
          <w:p>
            <w:pPr>
              <w:spacing w:after="0"/>
              <w:rPr>
                <w:sz w:val="18"/>
                <w:szCs w:val="18"/>
                <w:color w:val="auto"/>
              </w:rPr>
            </w:pPr>
          </w:p>
        </w:tc>
        <w:tc>
          <w:tcPr>
            <w:tcW w:w="11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gridSpan w:val="2"/>
          </w:tcPr>
          <w:p>
            <w:pPr>
              <w:ind w:left="24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6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2340" w:type="dxa"/>
            <w:vAlign w:val="bottom"/>
            <w:tcBorders>
              <w:bottom w:val="single" w:sz="8" w:color="2C6937"/>
            </w:tcBorders>
            <w:gridSpan w:val="4"/>
          </w:tcPr>
          <w:p>
            <w:pPr>
              <w:ind w:left="1160"/>
              <w:spacing w:after="0"/>
              <w:rPr>
                <w:sz w:val="20"/>
                <w:szCs w:val="20"/>
                <w:color w:val="auto"/>
              </w:rPr>
            </w:pPr>
            <w:r>
              <w:rPr>
                <w:rFonts w:ascii="Arial" w:cs="Arial" w:eastAsia="Arial" w:hAnsi="Arial"/>
                <w:sz w:val="14"/>
                <w:szCs w:val="14"/>
                <w:b w:val="1"/>
                <w:bCs w:val="1"/>
                <w:color w:val="auto"/>
              </w:rPr>
              <w:t>March 31, 2025</w:t>
            </w:r>
          </w:p>
        </w:tc>
        <w:tc>
          <w:tcPr>
            <w:tcW w:w="9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2C6937"/>
            </w:tcBorders>
            <w:gridSpan w:val="4"/>
          </w:tcPr>
          <w:p>
            <w:pPr>
              <w:ind w:left="920"/>
              <w:spacing w:after="0"/>
              <w:rPr>
                <w:sz w:val="20"/>
                <w:szCs w:val="20"/>
                <w:color w:val="auto"/>
              </w:rPr>
            </w:pPr>
            <w:r>
              <w:rPr>
                <w:rFonts w:ascii="Arial" w:cs="Arial" w:eastAsia="Arial" w:hAnsi="Arial"/>
                <w:sz w:val="14"/>
                <w:szCs w:val="14"/>
                <w:b w:val="1"/>
                <w:bCs w:val="1"/>
                <w:color w:val="auto"/>
              </w:rPr>
              <w:t>December 31, 2024</w:t>
            </w:r>
          </w:p>
        </w:tc>
        <w:tc>
          <w:tcPr>
            <w:tcW w:w="9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gridSpan w:val="3"/>
          </w:tcPr>
          <w:p>
            <w:pPr>
              <w:spacing w:after="0"/>
              <w:rPr>
                <w:sz w:val="20"/>
                <w:szCs w:val="20"/>
                <w:color w:val="auto"/>
              </w:rPr>
            </w:pPr>
            <w:r>
              <w:rPr>
                <w:rFonts w:ascii="Arial" w:cs="Arial" w:eastAsia="Arial" w:hAnsi="Arial"/>
                <w:sz w:val="14"/>
                <w:szCs w:val="14"/>
                <w:b w:val="1"/>
                <w:bCs w:val="1"/>
                <w:color w:val="auto"/>
              </w:rPr>
              <w:t>March 31, 2024</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rPr>
              <w:t>Percentage of Book</w:t>
            </w: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Seriously</w:t>
            </w:r>
          </w:p>
        </w:tc>
        <w:tc>
          <w:tcPr>
            <w:tcW w:w="104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Serious</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rPr>
              <w:t>Percentage of Book</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Seriously</w:t>
            </w:r>
          </w:p>
        </w:tc>
        <w:tc>
          <w:tcPr>
            <w:tcW w:w="106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Serious</w:t>
            </w:r>
          </w:p>
        </w:tc>
        <w:tc>
          <w:tcPr>
            <w:tcW w:w="1080" w:type="dxa"/>
            <w:vAlign w:val="bottom"/>
            <w:vMerge w:val="restart"/>
          </w:tcPr>
          <w:p>
            <w:pPr>
              <w:jc w:val="right"/>
              <w:ind w:right="1"/>
              <w:spacing w:after="0"/>
              <w:rPr>
                <w:sz w:val="20"/>
                <w:szCs w:val="20"/>
                <w:color w:val="auto"/>
              </w:rPr>
            </w:pPr>
            <w:r>
              <w:rPr>
                <w:rFonts w:ascii="Arial" w:cs="Arial" w:eastAsia="Arial" w:hAnsi="Arial"/>
                <w:sz w:val="10"/>
                <w:szCs w:val="10"/>
                <w:b w:val="1"/>
                <w:bCs w:val="1"/>
                <w:color w:val="auto"/>
              </w:rPr>
              <w:t>Percentage of Book</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96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Serious</w:t>
            </w: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0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Delinquent</w:t>
            </w:r>
          </w:p>
        </w:tc>
        <w:tc>
          <w:tcPr>
            <w:tcW w:w="10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36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Arial" w:cs="Arial" w:eastAsia="Arial" w:hAnsi="Arial"/>
                <w:sz w:val="10"/>
                <w:szCs w:val="10"/>
                <w:b w:val="1"/>
                <w:bCs w:val="1"/>
                <w:color w:val="auto"/>
              </w:rPr>
              <w:t>Outstanding</w:t>
            </w:r>
            <w:r>
              <w:rPr>
                <w:rFonts w:ascii="Arial" w:cs="Arial" w:eastAsia="Arial" w:hAnsi="Arial"/>
                <w:sz w:val="13"/>
                <w:szCs w:val="13"/>
                <w:b w:val="1"/>
                <w:bCs w:val="1"/>
                <w:color w:val="auto"/>
                <w:vertAlign w:val="superscript"/>
              </w:rPr>
              <w:t>(1)</w:t>
            </w: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104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1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Outstanding</w:t>
            </w:r>
            <w:r>
              <w:rPr>
                <w:rFonts w:ascii="Arial" w:cs="Arial" w:eastAsia="Arial" w:hAnsi="Arial"/>
                <w:sz w:val="13"/>
                <w:szCs w:val="13"/>
                <w:b w:val="1"/>
                <w:bCs w:val="1"/>
                <w:color w:val="auto"/>
                <w:w w:val="97"/>
                <w:vertAlign w:val="superscript"/>
              </w:rPr>
              <w:t>(1)</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106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080" w:type="dxa"/>
            <w:vAlign w:val="bottom"/>
          </w:tcPr>
          <w:p>
            <w:pPr>
              <w:jc w:val="right"/>
              <w:ind w:right="141"/>
              <w:spacing w:after="0"/>
              <w:rPr>
                <w:sz w:val="20"/>
                <w:szCs w:val="20"/>
                <w:color w:val="auto"/>
              </w:rPr>
            </w:pPr>
            <w:r>
              <w:rPr>
                <w:rFonts w:ascii="Arial" w:cs="Arial" w:eastAsia="Arial" w:hAnsi="Arial"/>
                <w:sz w:val="10"/>
                <w:szCs w:val="10"/>
                <w:b w:val="1"/>
                <w:bCs w:val="1"/>
                <w:color w:val="auto"/>
              </w:rPr>
              <w:t>Outstanding</w:t>
            </w:r>
            <w:r>
              <w:rPr>
                <w:rFonts w:ascii="Arial" w:cs="Arial" w:eastAsia="Arial" w:hAnsi="Arial"/>
                <w:sz w:val="13"/>
                <w:szCs w:val="13"/>
                <w:b w:val="1"/>
                <w:bCs w:val="1"/>
                <w:color w:val="auto"/>
                <w:vertAlign w:val="superscript"/>
              </w:rPr>
              <w:t>(1)</w:t>
            </w: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Delinquency Rate</w:t>
            </w:r>
          </w:p>
        </w:tc>
        <w:tc>
          <w:tcPr>
            <w:tcW w:w="0" w:type="dxa"/>
            <w:vAlign w:val="bottom"/>
          </w:tcPr>
          <w:p>
            <w:pPr>
              <w:spacing w:after="0"/>
              <w:rPr>
                <w:sz w:val="1"/>
                <w:szCs w:val="1"/>
                <w:color w:val="auto"/>
              </w:rPr>
            </w:pPr>
          </w:p>
        </w:tc>
      </w:tr>
      <w:tr>
        <w:trPr>
          <w:trHeight w:val="153"/>
        </w:trPr>
        <w:tc>
          <w:tcPr>
            <w:tcW w:w="1360" w:type="dxa"/>
            <w:vAlign w:val="bottom"/>
          </w:tcPr>
          <w:p>
            <w:pPr>
              <w:ind w:left="20"/>
              <w:spacing w:after="0"/>
              <w:rPr>
                <w:sz w:val="20"/>
                <w:szCs w:val="20"/>
                <w:color w:val="auto"/>
              </w:rPr>
            </w:pPr>
            <w:r>
              <w:rPr>
                <w:rFonts w:ascii="Arial" w:cs="Arial" w:eastAsia="Arial" w:hAnsi="Arial"/>
                <w:sz w:val="12"/>
                <w:szCs w:val="12"/>
                <w:b w:val="1"/>
                <w:bCs w:val="1"/>
                <w:color w:val="auto"/>
              </w:rPr>
              <w:t>States:</w:t>
            </w:r>
          </w:p>
        </w:tc>
        <w:tc>
          <w:tcPr>
            <w:tcW w:w="11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2C6937"/>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2C6937"/>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360" w:type="dxa"/>
            <w:vAlign w:val="bottom"/>
          </w:tcPr>
          <w:p>
            <w:pPr>
              <w:ind w:left="120"/>
              <w:spacing w:after="0"/>
              <w:rPr>
                <w:sz w:val="20"/>
                <w:szCs w:val="20"/>
                <w:color w:val="auto"/>
              </w:rPr>
            </w:pPr>
            <w:r>
              <w:rPr>
                <w:rFonts w:ascii="Arial" w:cs="Arial" w:eastAsia="Arial" w:hAnsi="Arial"/>
                <w:sz w:val="12"/>
                <w:szCs w:val="12"/>
                <w:color w:val="auto"/>
              </w:rPr>
              <w:t>California</w:t>
            </w: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19 %</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10 %</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0.43 %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19 %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0.41 %</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19 %</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0.39 %</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Florida</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11</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0.96</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0.96</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0.68</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Illinois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0.69</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0.69</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New York</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6</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0.77</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0.79</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5</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0.85</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Texas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0.69</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7</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0.59</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All other states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60</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59</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0.50</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0.51</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60</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0.48</w:t>
            </w:r>
          </w:p>
        </w:tc>
        <w:tc>
          <w:tcPr>
            <w:tcW w:w="0" w:type="dxa"/>
            <w:vAlign w:val="bottom"/>
          </w:tcPr>
          <w:p>
            <w:pPr>
              <w:spacing w:after="0"/>
              <w:rPr>
                <w:sz w:val="1"/>
                <w:szCs w:val="1"/>
                <w:color w:val="auto"/>
              </w:rPr>
            </w:pPr>
          </w:p>
        </w:tc>
      </w:tr>
      <w:tr>
        <w:trPr>
          <w:trHeight w:val="170"/>
        </w:trPr>
        <w:tc>
          <w:tcPr>
            <w:tcW w:w="1360" w:type="dxa"/>
            <w:vAlign w:val="bottom"/>
          </w:tcPr>
          <w:p>
            <w:pPr>
              <w:ind w:left="20"/>
              <w:spacing w:after="0"/>
              <w:rPr>
                <w:sz w:val="20"/>
                <w:szCs w:val="20"/>
                <w:color w:val="auto"/>
              </w:rPr>
            </w:pPr>
            <w:r>
              <w:rPr>
                <w:rFonts w:ascii="Arial" w:cs="Arial" w:eastAsia="Arial" w:hAnsi="Arial"/>
                <w:sz w:val="12"/>
                <w:szCs w:val="12"/>
                <w:b w:val="1"/>
                <w:bCs w:val="1"/>
                <w:color w:val="auto"/>
              </w:rPr>
              <w:t>Estimated mark-to-</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Borders>
              <w:bottom w:val="single" w:sz="8" w:color="2C6937"/>
            </w:tcBorders>
          </w:tcPr>
          <w:p>
            <w:pPr>
              <w:ind w:left="120"/>
              <w:spacing w:after="0"/>
              <w:rPr>
                <w:sz w:val="20"/>
                <w:szCs w:val="20"/>
                <w:color w:val="auto"/>
              </w:rPr>
            </w:pPr>
            <w:r>
              <w:rPr>
                <w:rFonts w:ascii="Arial" w:cs="Arial" w:eastAsia="Arial" w:hAnsi="Arial"/>
                <w:sz w:val="12"/>
                <w:szCs w:val="12"/>
                <w:b w:val="1"/>
                <w:bCs w:val="1"/>
                <w:color w:val="auto"/>
              </w:rPr>
              <w:t>market LTV ratio:</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120"/>
              <w:spacing w:after="0"/>
              <w:rPr>
                <w:sz w:val="20"/>
                <w:szCs w:val="20"/>
                <w:color w:val="auto"/>
              </w:rPr>
            </w:pPr>
            <w:r>
              <w:rPr>
                <w:rFonts w:ascii="Arial" w:cs="Arial" w:eastAsia="Arial" w:hAnsi="Arial"/>
                <w:sz w:val="12"/>
                <w:szCs w:val="12"/>
                <w:color w:val="auto"/>
              </w:rPr>
              <w:t>&lt;= 60%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69</w:t>
            </w:r>
          </w:p>
        </w:tc>
        <w:tc>
          <w:tcPr>
            <w:tcW w:w="1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67</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0.46</w:t>
            </w:r>
          </w:p>
        </w:tc>
        <w:tc>
          <w:tcPr>
            <w:tcW w:w="10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0.47</w:t>
            </w:r>
          </w:p>
        </w:tc>
        <w:tc>
          <w:tcPr>
            <w:tcW w:w="100" w:type="dxa"/>
            <w:vAlign w:val="bottom"/>
          </w:tcPr>
          <w:p>
            <w:pPr>
              <w:spacing w:after="0"/>
              <w:rPr>
                <w:sz w:val="15"/>
                <w:szCs w:val="15"/>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68</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0.45</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60.01% to 70%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12</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14</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0.94</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0.94</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13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0.76</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70.01% to 80%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0.85</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0.85</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10</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0.73</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80.01% to 90%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6</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1.00</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0.97</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0.79</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90.01% to 100%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0.83</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0.77</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0.62</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Greater than 100%</w:t>
            </w:r>
          </w:p>
        </w:tc>
        <w:tc>
          <w:tcPr>
            <w:tcW w:w="118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6"/>
                <w:szCs w:val="16"/>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3.26</w:t>
            </w:r>
          </w:p>
        </w:tc>
        <w:tc>
          <w:tcPr>
            <w:tcW w:w="10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2.82</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201"/>
        </w:trPr>
        <w:tc>
          <w:tcPr>
            <w:tcW w:w="1360" w:type="dxa"/>
            <w:vAlign w:val="bottom"/>
            <w:tcBorders>
              <w:bottom w:val="single" w:sz="8" w:color="2C6937"/>
            </w:tcBorders>
          </w:tcPr>
          <w:p>
            <w:pPr>
              <w:ind w:left="20"/>
              <w:spacing w:after="0"/>
              <w:rPr>
                <w:sz w:val="20"/>
                <w:szCs w:val="20"/>
                <w:color w:val="auto"/>
              </w:rPr>
            </w:pPr>
            <w:r>
              <w:rPr>
                <w:rFonts w:ascii="Arial" w:cs="Arial" w:eastAsia="Arial" w:hAnsi="Arial"/>
                <w:sz w:val="12"/>
                <w:szCs w:val="12"/>
                <w:b w:val="1"/>
                <w:bCs w:val="1"/>
                <w:color w:val="auto"/>
              </w:rPr>
              <w:t>Credit enhanced:</w:t>
            </w:r>
            <w:r>
              <w:rPr>
                <w:rFonts w:ascii="Arial" w:cs="Arial" w:eastAsia="Arial" w:hAnsi="Arial"/>
                <w:sz w:val="15"/>
                <w:szCs w:val="15"/>
                <w:b w:val="1"/>
                <w:bCs w:val="1"/>
                <w:color w:val="auto"/>
                <w:vertAlign w:val="superscript"/>
              </w:rPr>
              <w:t>(3)</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60" w:type="dxa"/>
            <w:vAlign w:val="bottom"/>
          </w:tcPr>
          <w:p>
            <w:pPr>
              <w:ind w:left="120"/>
              <w:spacing w:after="0"/>
              <w:rPr>
                <w:sz w:val="20"/>
                <w:szCs w:val="20"/>
                <w:color w:val="auto"/>
              </w:rPr>
            </w:pPr>
            <w:r>
              <w:rPr>
                <w:rFonts w:ascii="Arial" w:cs="Arial" w:eastAsia="Arial" w:hAnsi="Arial"/>
                <w:sz w:val="12"/>
                <w:szCs w:val="12"/>
                <w:color w:val="auto"/>
              </w:rPr>
              <w:t>Primary MI &amp; other</w:t>
            </w:r>
            <w:r>
              <w:rPr>
                <w:rFonts w:ascii="Arial" w:cs="Arial" w:eastAsia="Arial" w:hAnsi="Arial"/>
                <w:sz w:val="15"/>
                <w:szCs w:val="15"/>
                <w:color w:val="auto"/>
                <w:vertAlign w:val="superscript"/>
              </w:rPr>
              <w:t>(4)</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21</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34</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1.17</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21</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Credit risk transfer</w:t>
            </w:r>
            <w:r>
              <w:rPr>
                <w:rFonts w:ascii="Arial" w:cs="Arial" w:eastAsia="Arial" w:hAnsi="Arial"/>
                <w:sz w:val="15"/>
                <w:szCs w:val="15"/>
                <w:color w:val="auto"/>
                <w:vertAlign w:val="superscript"/>
              </w:rPr>
              <w:t>(5)</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36</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31</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0.59</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0.61</w:t>
            </w:r>
          </w:p>
        </w:tc>
        <w:tc>
          <w:tcPr>
            <w:tcW w:w="10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37</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78"/>
        </w:trPr>
        <w:tc>
          <w:tcPr>
            <w:tcW w:w="1360" w:type="dxa"/>
            <w:vAlign w:val="bottom"/>
          </w:tcPr>
          <w:p>
            <w:pPr>
              <w:ind w:left="120"/>
              <w:spacing w:after="0"/>
              <w:rPr>
                <w:sz w:val="20"/>
                <w:szCs w:val="20"/>
                <w:color w:val="auto"/>
              </w:rPr>
            </w:pPr>
            <w:r>
              <w:rPr>
                <w:rFonts w:ascii="Arial" w:cs="Arial" w:eastAsia="Arial" w:hAnsi="Arial"/>
                <w:sz w:val="12"/>
                <w:szCs w:val="12"/>
                <w:color w:val="auto"/>
              </w:rPr>
              <w:t>Non-credit enhanced</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53</w:t>
            </w:r>
          </w:p>
        </w:tc>
        <w:tc>
          <w:tcPr>
            <w:tcW w:w="1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49</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0.44</w:t>
            </w:r>
          </w:p>
        </w:tc>
        <w:tc>
          <w:tcPr>
            <w:tcW w:w="10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0.44</w:t>
            </w:r>
          </w:p>
        </w:tc>
        <w:tc>
          <w:tcPr>
            <w:tcW w:w="100" w:type="dxa"/>
            <w:vAlign w:val="bottom"/>
          </w:tcPr>
          <w:p>
            <w:pPr>
              <w:spacing w:after="0"/>
              <w:rPr>
                <w:sz w:val="15"/>
                <w:szCs w:val="15"/>
                <w:color w:val="auto"/>
              </w:rPr>
            </w:pPr>
          </w:p>
        </w:tc>
        <w:tc>
          <w:tcPr>
            <w:tcW w:w="1080" w:type="dxa"/>
            <w:vAlign w:val="bottom"/>
          </w:tcPr>
          <w:p>
            <w:pPr>
              <w:jc w:val="right"/>
              <w:ind w:right="121"/>
              <w:spacing w:after="0"/>
              <w:rPr>
                <w:sz w:val="20"/>
                <w:szCs w:val="20"/>
                <w:color w:val="auto"/>
              </w:rPr>
            </w:pPr>
            <w:r>
              <w:rPr>
                <w:rFonts w:ascii="Arial" w:cs="Arial" w:eastAsia="Arial" w:hAnsi="Arial"/>
                <w:sz w:val="12"/>
                <w:szCs w:val="12"/>
                <w:color w:val="auto"/>
              </w:rPr>
              <w:t>54</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0.43</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0" w:hanging="217"/>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45" w:lineRule="exact"/>
        <w:rPr>
          <w:sz w:val="20"/>
          <w:szCs w:val="20"/>
          <w:color w:val="auto"/>
        </w:rPr>
      </w:pPr>
    </w:p>
    <w:p>
      <w:pPr>
        <w:ind w:left="260" w:right="560" w:hanging="237"/>
        <w:spacing w:after="0" w:line="226" w:lineRule="auto"/>
        <w:tabs>
          <w:tab w:leader="none" w:pos="25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Percentage of book amounts represent the unpaid principal balance of loans for each category divided by the unpaid principal balance of our total single-family conventional guaranty book of business.</w:t>
      </w:r>
    </w:p>
    <w:p>
      <w:pPr>
        <w:spacing w:after="0" w:line="27" w:lineRule="exact"/>
        <w:rPr>
          <w:rFonts w:ascii="Arial" w:cs="Arial" w:eastAsia="Arial" w:hAnsi="Arial"/>
          <w:sz w:val="18"/>
          <w:szCs w:val="18"/>
          <w:color w:val="auto"/>
          <w:vertAlign w:val="superscript"/>
        </w:rPr>
      </w:pPr>
    </w:p>
    <w:p>
      <w:pPr>
        <w:ind w:left="260" w:right="320" w:hanging="237"/>
        <w:spacing w:after="0" w:line="218" w:lineRule="auto"/>
        <w:tabs>
          <w:tab w:leader="none" w:pos="25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number of single-family loans that were seriously delinquent for each category divided by the total number of single-family conventional loans that were seriously delinquent.</w:t>
      </w:r>
    </w:p>
    <w:p>
      <w:pPr>
        <w:spacing w:after="0" w:line="26" w:lineRule="exact"/>
        <w:rPr>
          <w:rFonts w:ascii="Arial" w:cs="Arial" w:eastAsia="Arial" w:hAnsi="Arial"/>
          <w:sz w:val="18"/>
          <w:szCs w:val="18"/>
          <w:color w:val="auto"/>
          <w:vertAlign w:val="superscript"/>
        </w:rPr>
      </w:pPr>
    </w:p>
    <w:p>
      <w:pPr>
        <w:ind w:left="260" w:right="180" w:hanging="237"/>
        <w:spacing w:after="0" w:line="233" w:lineRule="auto"/>
        <w:tabs>
          <w:tab w:leader="none" w:pos="25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credit-enhanced categories are not mutually exclusive. A loan with primary mortgage insurance that is also covered by a credit risk transfer transaction will be included in both the “Primary MI &amp; other” category and the “Credit risk transfer” category. As a result, the “Credit enhanced” and “Non-credit enhanced” categories do not sum to 100%. The total percentage of our single-family conventional guaranty book of business with some form of credit enhancement as of March 31, 2025 was 47%.</w:t>
      </w:r>
    </w:p>
    <w:p>
      <w:pPr>
        <w:spacing w:after="0" w:line="27" w:lineRule="exact"/>
        <w:rPr>
          <w:rFonts w:ascii="Arial" w:cs="Arial" w:eastAsia="Arial" w:hAnsi="Arial"/>
          <w:sz w:val="18"/>
          <w:szCs w:val="18"/>
          <w:color w:val="auto"/>
          <w:vertAlign w:val="superscript"/>
        </w:rPr>
      </w:pPr>
    </w:p>
    <w:p>
      <w:pPr>
        <w:ind w:left="260" w:right="140" w:hanging="237"/>
        <w:spacing w:after="0" w:line="228" w:lineRule="auto"/>
        <w:tabs>
          <w:tab w:leader="none" w:pos="25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an agreement used to reduce credit risk by requiring primary mortgage insurance, collateral, letters of credit, corporate guarantees, or other agreements to provide an entity with some assurance that it will be compensated to some degree in the event of a financial loss. Excludes loans covered by credit risk transfer transactions unless such loans are also covered by primary mortgage insurance.</w:t>
      </w:r>
    </w:p>
    <w:p>
      <w:pPr>
        <w:spacing w:after="0" w:line="26" w:lineRule="exact"/>
        <w:rPr>
          <w:rFonts w:ascii="Arial" w:cs="Arial" w:eastAsia="Arial" w:hAnsi="Arial"/>
          <w:sz w:val="18"/>
          <w:szCs w:val="18"/>
          <w:color w:val="auto"/>
          <w:vertAlign w:val="superscript"/>
        </w:rPr>
      </w:pPr>
    </w:p>
    <w:p>
      <w:pPr>
        <w:ind w:left="260" w:right="160" w:hanging="237"/>
        <w:spacing w:after="0" w:line="233" w:lineRule="auto"/>
        <w:tabs>
          <w:tab w:leader="none" w:pos="25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reference pools for credit risk transfer transactions, including loans in these transactions that are also covered by primary mortgage insurance. For CAS and some lender risk-sharing transactions, this represents the outstanding unpaid principal balance of the underlying loans on the single-family mortgage credit book, not the outstanding reference pool, as of the specified date. Loans included in our credit risk transfer transactions have all been acquired since 2009.</w:t>
      </w:r>
    </w:p>
    <w:p>
      <w:pPr>
        <w:spacing w:after="0" w:line="79"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Forbearance Plans and Loan Workouts</w:t>
      </w:r>
    </w:p>
    <w:p>
      <w:pPr>
        <w:spacing w:after="0" w:line="106" w:lineRule="exact"/>
        <w:rPr>
          <w:sz w:val="20"/>
          <w:szCs w:val="20"/>
          <w:color w:val="auto"/>
        </w:rPr>
      </w:pPr>
    </w:p>
    <w:p>
      <w:pPr>
        <w:ind w:left="20" w:right="100"/>
        <w:spacing w:after="0" w:line="271" w:lineRule="auto"/>
        <w:rPr>
          <w:sz w:val="20"/>
          <w:szCs w:val="20"/>
          <w:color w:val="auto"/>
        </w:rPr>
      </w:pPr>
      <w:r>
        <w:rPr>
          <w:rFonts w:ascii="Arial" w:cs="Arial" w:eastAsia="Arial" w:hAnsi="Arial"/>
          <w:sz w:val="16"/>
          <w:szCs w:val="16"/>
          <w:color w:val="auto"/>
        </w:rPr>
        <w:t>As a part of our credit risk management efforts, we offer several types of loss mitigation options to help homeowners stay in their home or to otherwise avoid foreclosure. Loss mitigation options can consist of a forbearance plan or a loan workout. Our loan workouts reflect additional types of home retention solutions that help reinstate loans to current status, including repayment plans, payment deferrals, and loan modifications. Our loan workouts also include foreclosure alternatives, such as short sales and deeds-in-lieu of foreclosure.</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1" w:name="page32"/>
    <w:bookmarkEnd w:id="31"/>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As of March 31, 2025, the unpaid principal balance of single-family loans in forbearance was $6.7 billion, or 0.2% of our single-family conventional guaranty book of business, compared with $8.0 billion, or 0.2% of our single-family conventional guaranty book of business, as of December 31, 2024.</w:t>
      </w:r>
    </w:p>
    <w:p>
      <w:pPr>
        <w:spacing w:after="0" w:line="15"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The chart below displays the unpaid principal balance of our completed single-family loan workouts by type, as well as the number of loan workouts, for the first quarter of 2024 compared with the first quarter of 2025. This table does not include loans in an active forbearance arrangement, trial modifications, and repayment plans that have been initiated but not completed.</w:t>
      </w:r>
    </w:p>
    <w:p>
      <w:pPr>
        <w:spacing w:after="0" w:line="6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Completed Loan Workout Activity</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7620</wp:posOffset>
            </wp:positionV>
            <wp:extent cx="5721985" cy="29800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21985" cy="298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hanging="217"/>
        <w:spacing w:after="0"/>
        <w:tabs>
          <w:tab w:leader="none" w:pos="2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There were approximately 24,000 loans and 18,000 loans in a trial modification period that was not yet complete as of March 31, 2025 and 2024, respectively.</w:t>
      </w:r>
    </w:p>
    <w:p>
      <w:pPr>
        <w:spacing w:after="0" w:line="37" w:lineRule="exact"/>
        <w:rPr>
          <w:rFonts w:ascii="Arial" w:cs="Arial" w:eastAsia="Arial" w:hAnsi="Arial"/>
          <w:sz w:val="18"/>
          <w:szCs w:val="18"/>
          <w:color w:val="auto"/>
          <w:vertAlign w:val="superscript"/>
        </w:rPr>
      </w:pPr>
    </w:p>
    <w:p>
      <w:pPr>
        <w:ind w:left="240" w:right="620" w:hanging="237"/>
        <w:spacing w:after="0" w:line="210"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Other was $158 million and $179 million for the first quarter of 2025 and the first quarter of 2024, respectively. Other includes repayment plans and foreclosure alternatives. Repayment plans reflect only those plans associated with loans that were 60 days or more delinquent.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29</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2" w:name="page33"/>
    <w:bookmarkEnd w:id="32"/>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REO Management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If a loan defaults, we may acquire the property through foreclosure or a deed-in-lieu of foreclosure. The table below displays our REO activity by region.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Regional REO acquisition trends generally follow a pattern that is similar to, but lags, that of regional delinquency trends.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REO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3180" w:type="dxa"/>
            <w:vAlign w:val="bottom"/>
            <w:tcBorders>
              <w:bottom w:val="single" w:sz="8" w:color="2C6937"/>
            </w:tcBorders>
            <w:gridSpan w:val="5"/>
          </w:tcPr>
          <w:p>
            <w:pPr>
              <w:jc w:val="right"/>
              <w:ind w:right="303"/>
              <w:spacing w:after="0"/>
              <w:rPr>
                <w:sz w:val="20"/>
                <w:szCs w:val="20"/>
                <w:color w:val="auto"/>
              </w:rPr>
            </w:pPr>
            <w:r>
              <w:rPr>
                <w:rFonts w:ascii="Arial" w:cs="Arial" w:eastAsia="Arial" w:hAnsi="Arial"/>
                <w:sz w:val="14"/>
                <w:szCs w:val="14"/>
                <w:b w:val="1"/>
                <w:bCs w:val="1"/>
                <w:color w:val="auto"/>
              </w:rPr>
              <w:t>For the Three Months Ended March 31,</w:t>
            </w:r>
          </w:p>
        </w:tc>
        <w:tc>
          <w:tcPr>
            <w:tcW w:w="260" w:type="dxa"/>
            <w:vAlign w:val="bottom"/>
            <w:tcBorders>
              <w:bottom w:val="single" w:sz="8" w:color="2C6937"/>
            </w:tcBorders>
          </w:tcPr>
          <w:p>
            <w:pPr>
              <w:spacing w:after="0"/>
              <w:rPr>
                <w:sz w:val="16"/>
                <w:szCs w:val="16"/>
                <w:color w:val="auto"/>
              </w:rPr>
            </w:pPr>
          </w:p>
        </w:tc>
      </w:tr>
      <w:tr>
        <w:trPr>
          <w:trHeight w:val="185"/>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jc w:val="right"/>
              <w:ind w:right="444"/>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ind w:right="443"/>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2C6937"/>
            </w:tcBorders>
          </w:tcPr>
          <w:p>
            <w:pPr>
              <w:spacing w:after="0"/>
              <w:rPr>
                <w:sz w:val="16"/>
                <w:szCs w:val="16"/>
                <w:color w:val="auto"/>
              </w:rPr>
            </w:pPr>
          </w:p>
        </w:tc>
      </w:tr>
      <w:tr>
        <w:trPr>
          <w:trHeight w:val="207"/>
        </w:trPr>
        <w:tc>
          <w:tcPr>
            <w:tcW w:w="7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REO properties (number of properties):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0"/>
        </w:trPr>
        <w:tc>
          <w:tcPr>
            <w:tcW w:w="7420" w:type="dxa"/>
            <w:vAlign w:val="bottom"/>
            <w:gridSpan w:val="2"/>
          </w:tcPr>
          <w:p>
            <w:pPr>
              <w:ind w:left="180"/>
              <w:spacing w:after="0"/>
              <w:rPr>
                <w:sz w:val="20"/>
                <w:szCs w:val="20"/>
                <w:color w:val="auto"/>
              </w:rPr>
            </w:pPr>
            <w:r>
              <w:rPr>
                <w:rFonts w:ascii="Arial" w:cs="Arial" w:eastAsia="Arial" w:hAnsi="Arial"/>
                <w:sz w:val="15"/>
                <w:szCs w:val="15"/>
                <w:color w:val="auto"/>
              </w:rPr>
              <w:t>Beginning of period inventory of single-family REO properties</w:t>
            </w:r>
            <w:r>
              <w:rPr>
                <w:rFonts w:ascii="Arial" w:cs="Arial" w:eastAsia="Arial" w:hAnsi="Arial"/>
                <w:sz w:val="20"/>
                <w:szCs w:val="20"/>
                <w:color w:val="auto"/>
                <w:vertAlign w:val="superscript"/>
              </w:rPr>
              <w:t>(1)</w:t>
            </w:r>
          </w:p>
        </w:tc>
        <w:tc>
          <w:tcPr>
            <w:tcW w:w="380" w:type="dxa"/>
            <w:vAlign w:val="bottom"/>
          </w:tcPr>
          <w:p>
            <w:pPr>
              <w:spacing w:after="0"/>
              <w:rPr>
                <w:sz w:val="21"/>
                <w:szCs w:val="21"/>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5,895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8,403</w:t>
            </w:r>
          </w:p>
        </w:tc>
        <w:tc>
          <w:tcPr>
            <w:tcW w:w="260" w:type="dxa"/>
            <w:vAlign w:val="bottom"/>
          </w:tcPr>
          <w:p>
            <w:pPr>
              <w:spacing w:after="0"/>
              <w:rPr>
                <w:sz w:val="21"/>
                <w:szCs w:val="21"/>
                <w:color w:val="auto"/>
              </w:rPr>
            </w:pPr>
          </w:p>
        </w:tc>
      </w:tr>
      <w:tr>
        <w:trPr>
          <w:trHeight w:val="234"/>
        </w:trPr>
        <w:tc>
          <w:tcPr>
            <w:tcW w:w="7420" w:type="dxa"/>
            <w:vAlign w:val="bottom"/>
            <w:gridSpan w:val="2"/>
          </w:tcPr>
          <w:p>
            <w:pPr>
              <w:ind w:left="320"/>
              <w:spacing w:after="0"/>
              <w:rPr>
                <w:sz w:val="20"/>
                <w:szCs w:val="20"/>
                <w:color w:val="auto"/>
              </w:rPr>
            </w:pPr>
            <w:r>
              <w:rPr>
                <w:rFonts w:ascii="Arial" w:cs="Arial" w:eastAsia="Arial" w:hAnsi="Arial"/>
                <w:sz w:val="15"/>
                <w:szCs w:val="15"/>
                <w:b w:val="1"/>
                <w:bCs w:val="1"/>
                <w:color w:val="auto"/>
              </w:rPr>
              <w:t>Acquisitions by geographic area:</w:t>
            </w:r>
            <w:r>
              <w:rPr>
                <w:rFonts w:ascii="Arial" w:cs="Arial" w:eastAsia="Arial" w:hAnsi="Arial"/>
                <w:sz w:val="20"/>
                <w:szCs w:val="20"/>
                <w:b w:val="1"/>
                <w:bCs w:val="1"/>
                <w:color w:val="auto"/>
                <w:vertAlign w:val="superscript"/>
              </w:rPr>
              <w:t>(2)</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Midwest</w:t>
            </w:r>
          </w:p>
        </w:tc>
        <w:tc>
          <w:tcPr>
            <w:tcW w:w="380" w:type="dxa"/>
            <w:vAlign w:val="bottom"/>
          </w:tcPr>
          <w:p>
            <w:pPr>
              <w:spacing w:after="0"/>
              <w:rPr>
                <w:sz w:val="19"/>
                <w:szCs w:val="19"/>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145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274</w:t>
            </w:r>
          </w:p>
        </w:tc>
        <w:tc>
          <w:tcPr>
            <w:tcW w:w="260" w:type="dxa"/>
            <w:vAlign w:val="bottom"/>
          </w:tcPr>
          <w:p>
            <w:pPr>
              <w:spacing w:after="0"/>
              <w:rPr>
                <w:sz w:val="19"/>
                <w:szCs w:val="19"/>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Northeast</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87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151</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Southeast</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167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214</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Southwest</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117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168</w:t>
            </w:r>
          </w:p>
        </w:tc>
        <w:tc>
          <w:tcPr>
            <w:tcW w:w="260" w:type="dxa"/>
            <w:vAlign w:val="bottom"/>
          </w:tcPr>
          <w:p>
            <w:pPr>
              <w:spacing w:after="0"/>
              <w:rPr>
                <w:sz w:val="20"/>
                <w:szCs w:val="20"/>
                <w:color w:val="auto"/>
              </w:rPr>
            </w:pPr>
          </w:p>
        </w:tc>
      </w:tr>
      <w:tr>
        <w:trPr>
          <w:trHeight w:val="226"/>
        </w:trPr>
        <w:tc>
          <w:tcPr>
            <w:tcW w:w="728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West</w:t>
            </w:r>
          </w:p>
        </w:tc>
        <w:tc>
          <w:tcPr>
            <w:tcW w:w="140" w:type="dxa"/>
            <w:vAlign w:val="bottom"/>
          </w:tcPr>
          <w:p>
            <w:pPr>
              <w:spacing w:after="0"/>
              <w:rPr>
                <w:sz w:val="19"/>
                <w:szCs w:val="19"/>
                <w:color w:val="auto"/>
              </w:rPr>
            </w:pPr>
          </w:p>
        </w:tc>
        <w:tc>
          <w:tcPr>
            <w:tcW w:w="380" w:type="dxa"/>
            <w:vAlign w:val="bottom"/>
            <w:tcBorders>
              <w:bottom w:val="single" w:sz="8" w:color="2C6937"/>
            </w:tcBorders>
          </w:tcPr>
          <w:p>
            <w:pPr>
              <w:spacing w:after="0"/>
              <w:rPr>
                <w:sz w:val="19"/>
                <w:szCs w:val="19"/>
                <w:color w:val="auto"/>
              </w:rPr>
            </w:pPr>
          </w:p>
        </w:tc>
        <w:tc>
          <w:tcPr>
            <w:tcW w:w="12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86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106</w:t>
            </w:r>
          </w:p>
        </w:tc>
        <w:tc>
          <w:tcPr>
            <w:tcW w:w="260" w:type="dxa"/>
            <w:vAlign w:val="bottom"/>
          </w:tcPr>
          <w:p>
            <w:pPr>
              <w:spacing w:after="0"/>
              <w:rPr>
                <w:sz w:val="19"/>
                <w:szCs w:val="19"/>
                <w:color w:val="auto"/>
              </w:rPr>
            </w:pPr>
          </w:p>
        </w:tc>
      </w:tr>
      <w:tr>
        <w:trPr>
          <w:trHeight w:val="239"/>
        </w:trPr>
        <w:tc>
          <w:tcPr>
            <w:tcW w:w="7420" w:type="dxa"/>
            <w:vAlign w:val="bottom"/>
            <w:gridSpan w:val="2"/>
          </w:tcPr>
          <w:p>
            <w:pPr>
              <w:ind w:left="320"/>
              <w:spacing w:after="0"/>
              <w:rPr>
                <w:sz w:val="20"/>
                <w:szCs w:val="20"/>
                <w:color w:val="auto"/>
              </w:rPr>
            </w:pPr>
            <w:r>
              <w:rPr>
                <w:rFonts w:ascii="Arial" w:cs="Arial" w:eastAsia="Arial" w:hAnsi="Arial"/>
                <w:sz w:val="15"/>
                <w:szCs w:val="15"/>
                <w:color w:val="auto"/>
              </w:rPr>
              <w:t>Total REO acquisitions</w:t>
            </w:r>
            <w:r>
              <w:rPr>
                <w:rFonts w:ascii="Arial" w:cs="Arial" w:eastAsia="Arial" w:hAnsi="Arial"/>
                <w:sz w:val="20"/>
                <w:szCs w:val="20"/>
                <w:color w:val="auto"/>
                <w:vertAlign w:val="superscript"/>
              </w:rPr>
              <w:t>(1)</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602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913</w:t>
            </w:r>
          </w:p>
        </w:tc>
        <w:tc>
          <w:tcPr>
            <w:tcW w:w="260" w:type="dxa"/>
            <w:vAlign w:val="bottom"/>
          </w:tcPr>
          <w:p>
            <w:pPr>
              <w:spacing w:after="0"/>
              <w:rPr>
                <w:sz w:val="20"/>
                <w:szCs w:val="20"/>
                <w:color w:val="auto"/>
              </w:rPr>
            </w:pPr>
          </w:p>
        </w:tc>
      </w:tr>
      <w:tr>
        <w:trPr>
          <w:trHeight w:val="218"/>
        </w:trPr>
        <w:tc>
          <w:tcPr>
            <w:tcW w:w="72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Dispositions of REO</w:t>
            </w:r>
          </w:p>
        </w:tc>
        <w:tc>
          <w:tcPr>
            <w:tcW w:w="14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(1,345)</w:t>
            </w:r>
          </w:p>
        </w:tc>
        <w:tc>
          <w:tcPr>
            <w:tcW w:w="260" w:type="dxa"/>
            <w:vAlign w:val="bottom"/>
          </w:tcPr>
          <w:p>
            <w:pPr>
              <w:spacing w:after="0"/>
              <w:rPr>
                <w:sz w:val="18"/>
                <w:szCs w:val="18"/>
                <w:color w:val="auto"/>
              </w:rPr>
            </w:pPr>
          </w:p>
        </w:tc>
      </w:tr>
      <w:tr>
        <w:trPr>
          <w:trHeight w:val="225"/>
        </w:trPr>
        <w:tc>
          <w:tcPr>
            <w:tcW w:w="7280" w:type="dxa"/>
            <w:vAlign w:val="bottom"/>
            <w:tcBorders>
              <w:bottom w:val="single" w:sz="8" w:color="2C6937"/>
            </w:tcBorders>
          </w:tcPr>
          <w:p>
            <w:pPr>
              <w:ind w:left="180"/>
              <w:spacing w:after="0" w:line="225" w:lineRule="exact"/>
              <w:rPr>
                <w:sz w:val="20"/>
                <w:szCs w:val="20"/>
                <w:color w:val="auto"/>
              </w:rPr>
            </w:pPr>
            <w:r>
              <w:rPr>
                <w:rFonts w:ascii="Arial" w:cs="Arial" w:eastAsia="Arial" w:hAnsi="Arial"/>
                <w:sz w:val="15"/>
                <w:szCs w:val="15"/>
                <w:color w:val="auto"/>
              </w:rPr>
              <w:t>End of period inventory of single-family REO properties</w:t>
            </w:r>
            <w:r>
              <w:rPr>
                <w:rFonts w:ascii="Arial" w:cs="Arial" w:eastAsia="Arial" w:hAnsi="Arial"/>
                <w:sz w:val="20"/>
                <w:szCs w:val="20"/>
                <w:color w:val="auto"/>
                <w:vertAlign w:val="superscript"/>
              </w:rPr>
              <w:t>(1)</w:t>
            </w:r>
          </w:p>
        </w:tc>
        <w:tc>
          <w:tcPr>
            <w:tcW w:w="140" w:type="dxa"/>
            <w:vAlign w:val="bottom"/>
          </w:tcPr>
          <w:p>
            <w:pPr>
              <w:spacing w:after="0"/>
              <w:rPr>
                <w:sz w:val="19"/>
                <w:szCs w:val="19"/>
                <w:color w:val="auto"/>
              </w:rPr>
            </w:pPr>
          </w:p>
        </w:tc>
        <w:tc>
          <w:tcPr>
            <w:tcW w:w="380" w:type="dxa"/>
            <w:vAlign w:val="bottom"/>
            <w:tcBorders>
              <w:bottom w:val="single" w:sz="8" w:color="2C6937"/>
            </w:tcBorders>
          </w:tcPr>
          <w:p>
            <w:pPr>
              <w:spacing w:after="0"/>
              <w:rPr>
                <w:sz w:val="19"/>
                <w:szCs w:val="19"/>
                <w:color w:val="auto"/>
              </w:rPr>
            </w:pPr>
          </w:p>
        </w:tc>
        <w:tc>
          <w:tcPr>
            <w:tcW w:w="12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5,236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7,971</w:t>
            </w:r>
          </w:p>
        </w:tc>
        <w:tc>
          <w:tcPr>
            <w:tcW w:w="260" w:type="dxa"/>
            <w:vAlign w:val="bottom"/>
          </w:tcPr>
          <w:p>
            <w:pPr>
              <w:spacing w:after="0"/>
              <w:rPr>
                <w:sz w:val="19"/>
                <w:szCs w:val="19"/>
                <w:color w:val="auto"/>
              </w:rPr>
            </w:pPr>
          </w:p>
        </w:tc>
      </w:tr>
      <w:tr>
        <w:trPr>
          <w:trHeight w:val="20"/>
        </w:trPr>
        <w:tc>
          <w:tcPr>
            <w:tcW w:w="728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122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Carrying value of single-family REO properties (dollars in millions)</w:t>
            </w:r>
          </w:p>
        </w:tc>
        <w:tc>
          <w:tcPr>
            <w:tcW w:w="380" w:type="dxa"/>
            <w:vAlign w:val="bottom"/>
          </w:tcPr>
          <w:p>
            <w:pPr>
              <w:jc w:val="right"/>
              <w:ind w:right="183"/>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1,000</w:t>
            </w:r>
          </w:p>
        </w:tc>
        <w:tc>
          <w:tcPr>
            <w:tcW w:w="80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1,384</w:t>
            </w:r>
          </w:p>
        </w:tc>
        <w:tc>
          <w:tcPr>
            <w:tcW w:w="260" w:type="dxa"/>
            <w:vAlign w:val="bottom"/>
          </w:tcPr>
          <w:p>
            <w:pPr>
              <w:spacing w:after="0"/>
              <w:rPr>
                <w:sz w:val="20"/>
                <w:szCs w:val="20"/>
                <w:color w:val="auto"/>
              </w:rPr>
            </w:pPr>
          </w:p>
        </w:tc>
      </w:tr>
      <w:tr>
        <w:trPr>
          <w:trHeight w:val="239"/>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Single-family foreclosure rate</w:t>
            </w:r>
            <w:r>
              <w:rPr>
                <w:rFonts w:ascii="Arial" w:cs="Arial" w:eastAsia="Arial" w:hAnsi="Arial"/>
                <w:sz w:val="20"/>
                <w:szCs w:val="20"/>
                <w:color w:val="auto"/>
                <w:vertAlign w:val="superscript"/>
              </w:rPr>
              <w:t>(3)</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0.01</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0.02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w:t>
            </w:r>
            <w:r>
              <w:rPr>
                <w:rFonts w:ascii="Arial" w:cs="Arial" w:eastAsia="Arial" w:hAnsi="Arial"/>
                <w:sz w:val="20"/>
                <w:szCs w:val="20"/>
                <w:color w:val="auto"/>
                <w:vertAlign w:val="superscript"/>
              </w:rPr>
              <w:t>(4)</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146</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140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 and costs to repair</w:t>
            </w:r>
            <w:r>
              <w:rPr>
                <w:rFonts w:ascii="Arial" w:cs="Arial" w:eastAsia="Arial" w:hAnsi="Arial"/>
                <w:sz w:val="20"/>
                <w:szCs w:val="20"/>
                <w:color w:val="auto"/>
                <w:vertAlign w:val="superscript"/>
              </w:rPr>
              <w:t>(5)</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84</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1"/>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Short sales net sales price to unpaid principal balance</w:t>
            </w:r>
            <w:r>
              <w:rPr>
                <w:rFonts w:ascii="Arial" w:cs="Arial" w:eastAsia="Arial" w:hAnsi="Arial"/>
                <w:sz w:val="20"/>
                <w:szCs w:val="20"/>
                <w:color w:val="auto"/>
                <w:vertAlign w:val="superscript"/>
              </w:rPr>
              <w:t>(6)</w:t>
            </w:r>
          </w:p>
        </w:tc>
        <w:tc>
          <w:tcPr>
            <w:tcW w:w="3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82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42" w:lineRule="exact"/>
        <w:rPr>
          <w:sz w:val="20"/>
          <w:szCs w:val="20"/>
          <w:color w:val="auto"/>
        </w:rPr>
      </w:pPr>
    </w:p>
    <w:p>
      <w:pPr>
        <w:ind w:left="220" w:hanging="217"/>
        <w:spacing w:after="0"/>
        <w:tabs>
          <w:tab w:leader="none" w:pos="2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Consists of held-for sale and held-for-use properties, which are reported in our condensed consolidated balance sheets as a component of “Other assets.”</w:t>
      </w:r>
    </w:p>
    <w:p>
      <w:pPr>
        <w:spacing w:after="0" w:line="37" w:lineRule="exact"/>
        <w:rPr>
          <w:rFonts w:ascii="Arial" w:cs="Arial" w:eastAsia="Arial" w:hAnsi="Arial"/>
          <w:sz w:val="18"/>
          <w:szCs w:val="18"/>
          <w:color w:val="auto"/>
          <w:vertAlign w:val="superscript"/>
        </w:rPr>
      </w:pPr>
    </w:p>
    <w:p>
      <w:pPr>
        <w:ind w:left="220" w:hanging="217"/>
        <w:spacing w:after="0" w:line="206" w:lineRule="auto"/>
        <w:tabs>
          <w:tab w:leader="none" w:pos="220" w:val="left"/>
        </w:tabs>
        <w:numPr>
          <w:ilvl w:val="0"/>
          <w:numId w:val="28"/>
        </w:numPr>
        <w:rPr>
          <w:rFonts w:ascii="Arial" w:cs="Arial" w:eastAsia="Arial" w:hAnsi="Arial"/>
          <w:sz w:val="17"/>
          <w:szCs w:val="17"/>
          <w:color w:val="auto"/>
          <w:vertAlign w:val="superscript"/>
        </w:rPr>
      </w:pPr>
      <w:r>
        <w:rPr>
          <w:rFonts w:ascii="Arial" w:cs="Arial" w:eastAsia="Arial" w:hAnsi="Arial"/>
          <w:sz w:val="13"/>
          <w:szCs w:val="13"/>
          <w:color w:val="auto"/>
        </w:rPr>
        <w:t>See footnote 9 to the “Key Risk Characteristics of Single-Family Conventional Business Volume and Guaranty Book of Business” table for states included in each geographic region.</w:t>
      </w:r>
    </w:p>
    <w:p>
      <w:pPr>
        <w:spacing w:after="0" w:line="25" w:lineRule="exact"/>
        <w:rPr>
          <w:rFonts w:ascii="Arial" w:cs="Arial" w:eastAsia="Arial" w:hAnsi="Arial"/>
          <w:sz w:val="17"/>
          <w:szCs w:val="17"/>
          <w:color w:val="auto"/>
          <w:vertAlign w:val="superscript"/>
        </w:rPr>
      </w:pPr>
    </w:p>
    <w:p>
      <w:pPr>
        <w:ind w:left="240" w:right="60" w:hanging="237"/>
        <w:spacing w:after="0" w:line="260" w:lineRule="auto"/>
        <w:tabs>
          <w:tab w:leader="none" w:pos="233" w:val="left"/>
        </w:tabs>
        <w:numPr>
          <w:ilvl w:val="0"/>
          <w:numId w:val="28"/>
        </w:numPr>
        <w:rPr>
          <w:rFonts w:ascii="Arial" w:cs="Arial" w:eastAsia="Arial" w:hAnsi="Arial"/>
          <w:sz w:val="9"/>
          <w:szCs w:val="9"/>
          <w:color w:val="auto"/>
        </w:rPr>
      </w:pPr>
      <w:r>
        <w:rPr>
          <w:rFonts w:ascii="Arial" w:cs="Arial" w:eastAsia="Arial" w:hAnsi="Arial"/>
          <w:sz w:val="14"/>
          <w:szCs w:val="14"/>
          <w:color w:val="auto"/>
        </w:rPr>
        <w:t>Estimated based on the annualized total number of properties acquired through foreclosure or deeds-in-lieu of foreclosure as a percentage of the total number of loans in our single-family conventional guaranty book of business as of the end of each period.</w:t>
      </w:r>
    </w:p>
    <w:p>
      <w:pPr>
        <w:spacing w:after="0" w:line="13" w:lineRule="exact"/>
        <w:rPr>
          <w:rFonts w:ascii="Arial" w:cs="Arial" w:eastAsia="Arial" w:hAnsi="Arial"/>
          <w:sz w:val="9"/>
          <w:szCs w:val="9"/>
          <w:color w:val="auto"/>
        </w:rPr>
      </w:pPr>
    </w:p>
    <w:p>
      <w:pPr>
        <w:ind w:left="240" w:right="160" w:hanging="237"/>
        <w:spacing w:after="0" w:line="233" w:lineRule="auto"/>
        <w:tabs>
          <w:tab w:leader="none" w:pos="233"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Net sales price represents the contract sales price less selling costs for the property and other charges paid by the seller at closing, and excludes the costs associated with any property repairs.</w:t>
      </w:r>
    </w:p>
    <w:p>
      <w:pPr>
        <w:spacing w:after="0" w:line="15" w:lineRule="exact"/>
        <w:rPr>
          <w:rFonts w:ascii="Arial" w:cs="Arial" w:eastAsia="Arial" w:hAnsi="Arial"/>
          <w:sz w:val="18"/>
          <w:szCs w:val="18"/>
          <w:color w:val="auto"/>
          <w:vertAlign w:val="superscript"/>
        </w:rPr>
      </w:pPr>
    </w:p>
    <w:p>
      <w:pPr>
        <w:ind w:left="240" w:right="180" w:hanging="237"/>
        <w:spacing w:after="0" w:line="264" w:lineRule="auto"/>
        <w:tabs>
          <w:tab w:leader="none" w:pos="233" w:val="left"/>
        </w:tabs>
        <w:numPr>
          <w:ilvl w:val="0"/>
          <w:numId w:val="28"/>
        </w:numPr>
        <w:rPr>
          <w:rFonts w:ascii="Arial" w:cs="Arial" w:eastAsia="Arial" w:hAnsi="Arial"/>
          <w:sz w:val="9"/>
          <w:szCs w:val="9"/>
          <w:color w:val="auto"/>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and costs to repair the property. Net sales price represents the contract sales price less selling costs for the property and other charges paid by the seller at closing.</w:t>
      </w:r>
    </w:p>
    <w:p>
      <w:pPr>
        <w:spacing w:after="0" w:line="10" w:lineRule="exact"/>
        <w:rPr>
          <w:rFonts w:ascii="Arial" w:cs="Arial" w:eastAsia="Arial" w:hAnsi="Arial"/>
          <w:sz w:val="9"/>
          <w:szCs w:val="9"/>
          <w:color w:val="auto"/>
        </w:rPr>
      </w:pPr>
    </w:p>
    <w:p>
      <w:pPr>
        <w:ind w:left="240" w:right="140" w:hanging="237"/>
        <w:spacing w:after="0" w:line="226" w:lineRule="auto"/>
        <w:tabs>
          <w:tab w:leader="none" w:pos="233"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properties sold in short sale transactions during the respective periods divided by the aggregate unpaid principal balance of the related loans. Net sales price includes borrower relocation incentive payments and subordinate lien(s) negotiated payoffs.</w:t>
      </w:r>
    </w:p>
    <w:p>
      <w:pPr>
        <w:spacing w:after="0" w:line="3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Although our REO net sales price to unpaid principal balance rose to 146% for the first three months of 2025 from 140% for the first three months of 2024, that increase was more than offset by the impact of increased costs we incurred to repair the condition of properties, which resulted in a decline in our REO net sales price to unpaid principal balance and costs to repair to 84% for the first three months of 2025 from 93% for the first three months of 2024. In March 2025, FHFA directed us to revise our approach to repairing REO properties. We expect our revised approach will result in lower costs to repair REO properties than we would have incurred under our prior approach.</w:t>
      </w:r>
    </w:p>
    <w:p>
      <w:pPr>
        <w:spacing w:after="0" w:line="12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Credit Loss Performance Metrics and Loan Sale Performance</w:t>
      </w:r>
    </w:p>
    <w:p>
      <w:pPr>
        <w:spacing w:after="0" w:line="8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single-family credit loss performance metrics and loan sale performance measures below present information about losses or gains we realized on our single-family loans during the periods presented. For the purposes of our single-family credit loss performance metrics, credit losses or gains represent write-offs net of recoveries and foreclosed property income or expense. The amount of these losses or gains in a given period is driven by foreclosures, pre-foreclosure sales, post-foreclosure REO activity, mortgage loan redesignations, and other events that trigger write-offs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3" w:name="page34"/>
    <w:bookmarkEnd w:id="33"/>
    <w:p>
      <w:pPr>
        <w:ind w:left="6060"/>
        <w:spacing w:after="0"/>
        <w:rPr>
          <w:sz w:val="20"/>
          <w:szCs w:val="20"/>
          <w:color w:val="auto"/>
        </w:rPr>
      </w:pPr>
      <w:r>
        <w:rPr>
          <w:rFonts w:ascii="Arial" w:cs="Arial" w:eastAsia="Arial" w:hAnsi="Arial"/>
          <w:sz w:val="13"/>
          <w:szCs w:val="13"/>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and recoveries. The single-family credit loss metrics we present are not defined terms and may not be calculated in the same manner as similarly titled measures reported by other companies. Management uses these measures to evaluate the effectiveness of our single-family credit risk management strategies in conjunction with leading indicators such as serious delinquency and forbearance rates, which are potential indicators of future realized single-family credit losses. We believe these measures provide useful information about our single-family credit performance and the factors that impact it.</w:t>
      </w:r>
    </w:p>
    <w:p>
      <w:pPr>
        <w:spacing w:after="0" w:line="3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table below displays the components of our single-family credit loss performance metrics. Because sales of nonperforming and reperforming loans are a part of our credit loss mitigation strategy, we also provide information in the table below on our loan sale performance through the “Gains (losses) on sales and other valuation adjustments” line item.</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Single-Family Credit Loss Performance Metrics and Loan Sale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Write-offs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Recoveries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Foreclosed property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5434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Credit gains (losses)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Write-offs on the redesignation of mortgage loans from HFI to HFS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45434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9" w:lineRule="exact"/>
        <w:rPr>
          <w:sz w:val="20"/>
          <w:szCs w:val="20"/>
          <w:color w:val="auto"/>
        </w:rPr>
      </w:pPr>
    </w:p>
    <w:p>
      <w:pPr>
        <w:ind w:left="20" w:right="2880" w:firstLine="155"/>
        <w:spacing w:after="0" w:line="330" w:lineRule="auto"/>
        <w:rPr>
          <w:sz w:val="20"/>
          <w:szCs w:val="20"/>
          <w:color w:val="auto"/>
        </w:rPr>
      </w:pPr>
      <w:r>
        <w:rPr>
          <w:rFonts w:ascii="Arial" w:cs="Arial" w:eastAsia="Arial" w:hAnsi="Arial"/>
          <w:sz w:val="15"/>
          <w:szCs w:val="15"/>
          <w:color w:val="auto"/>
        </w:rPr>
        <w:t>Net credit gains (losses) and write-offs on redesignations Gains (losses) on sales and other valuation adjustments</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45434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ind w:left="180" w:hanging="154"/>
        <w:spacing w:after="0" w:line="293" w:lineRule="auto"/>
        <w:rPr>
          <w:sz w:val="20"/>
          <w:szCs w:val="20"/>
          <w:color w:val="auto"/>
        </w:rPr>
      </w:pPr>
      <w:r>
        <w:rPr>
          <w:rFonts w:ascii="Arial" w:cs="Arial" w:eastAsia="Arial" w:hAnsi="Arial"/>
          <w:sz w:val="15"/>
          <w:szCs w:val="15"/>
          <w:color w:val="auto"/>
        </w:rPr>
        <w:t>Net credit gains (losses), write-offs on redesignations and gains (losses) on sales and other valuation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45434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434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9525</wp:posOffset>
            </wp:positionV>
            <wp:extent cx="45434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p>
      <w:pPr>
        <w:spacing w:after="0" w:line="16" w:lineRule="exact"/>
        <w:rPr>
          <w:sz w:val="20"/>
          <w:szCs w:val="20"/>
          <w:color w:val="auto"/>
        </w:rPr>
      </w:pPr>
    </w:p>
    <w:p>
      <w:pPr>
        <w:ind w:left="180" w:hanging="154"/>
        <w:spacing w:after="0" w:line="289" w:lineRule="auto"/>
        <w:rPr>
          <w:sz w:val="20"/>
          <w:szCs w:val="20"/>
          <w:color w:val="auto"/>
        </w:rPr>
      </w:pPr>
      <w:r>
        <w:rPr>
          <w:rFonts w:ascii="Arial" w:cs="Arial" w:eastAsia="Arial" w:hAnsi="Arial"/>
          <w:sz w:val="15"/>
          <w:szCs w:val="15"/>
          <w:color w:val="auto"/>
        </w:rPr>
        <w:t>Net credit gains (losses), write-offs on redesignations and gains (losses) on sales and other valuation adjustments ratio (in bps)</w:t>
      </w:r>
      <w:r>
        <w:rPr>
          <w:rFonts w:ascii="Arial" w:cs="Arial" w:eastAsia="Arial" w:hAnsi="Arial"/>
          <w:sz w:val="20"/>
          <w:szCs w:val="20"/>
          <w:color w:val="auto"/>
          <w:vertAlign w:val="superscript"/>
        </w:rPr>
        <w:t>(4)</w:t>
      </w:r>
    </w:p>
    <w:p>
      <w:pPr>
        <w:spacing w:after="0" w:line="8" w:lineRule="exact"/>
        <w:rPr>
          <w:sz w:val="20"/>
          <w:szCs w:val="20"/>
          <w:color w:val="auto"/>
        </w:rPr>
      </w:pPr>
    </w:p>
    <w:p>
      <w:pPr>
        <w:ind w:left="220" w:hanging="217"/>
        <w:spacing w:after="0"/>
        <w:tabs>
          <w:tab w:leader="none" w:pos="2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Consists of the lower of cost or fair value adjustment at time of redesignation.</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For the 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0" w:type="dxa"/>
            <w:vAlign w:val="bottom"/>
            <w:tcBorders>
              <w:top w:val="single" w:sz="8" w:color="2C6937"/>
              <w:bottom w:val="single" w:sz="8" w:color="2C6937"/>
            </w:tcBorders>
          </w:tcPr>
          <w:p>
            <w:pPr>
              <w:spacing w:after="0"/>
              <w:rPr>
                <w:sz w:val="17"/>
                <w:szCs w:val="17"/>
                <w:color w:val="auto"/>
              </w:rPr>
            </w:pPr>
          </w:p>
        </w:tc>
        <w:tc>
          <w:tcPr>
            <w:tcW w:w="1520" w:type="dxa"/>
            <w:vAlign w:val="bottom"/>
            <w:tcBorders>
              <w:top w:val="single" w:sz="8" w:color="2C6937"/>
              <w:bottom w:val="single" w:sz="8" w:color="2C6937"/>
            </w:tcBorders>
          </w:tcPr>
          <w:p>
            <w:pPr>
              <w:jc w:val="right"/>
              <w:ind w:right="74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bottom w:val="single" w:sz="8" w:color="2C6937"/>
            </w:tcBorders>
          </w:tcPr>
          <w:p>
            <w:pPr>
              <w:spacing w:after="0"/>
              <w:rPr>
                <w:sz w:val="17"/>
                <w:szCs w:val="17"/>
                <w:color w:val="auto"/>
              </w:rPr>
            </w:pPr>
          </w:p>
        </w:tc>
        <w:tc>
          <w:tcPr>
            <w:tcW w:w="720" w:type="dxa"/>
            <w:vAlign w:val="bottom"/>
            <w:tcBorders>
              <w:top w:val="single" w:sz="8" w:color="2C6937"/>
              <w:bottom w:val="single" w:sz="8" w:color="2C6937"/>
            </w:tcBorders>
          </w:tcPr>
          <w:p>
            <w:pPr>
              <w:spacing w:after="0"/>
              <w:rPr>
                <w:sz w:val="17"/>
                <w:szCs w:val="17"/>
                <w:color w:val="auto"/>
              </w:rPr>
            </w:pPr>
          </w:p>
        </w:tc>
        <w:tc>
          <w:tcPr>
            <w:tcW w:w="1200" w:type="dxa"/>
            <w:vAlign w:val="bottom"/>
            <w:tcBorders>
              <w:top w:val="single" w:sz="8" w:color="2C6937"/>
              <w:bottom w:val="single" w:sz="8" w:color="2C6937"/>
            </w:tcBorders>
          </w:tcPr>
          <w:p>
            <w:pPr>
              <w:jc w:val="right"/>
              <w:ind w:right="703"/>
              <w:spacing w:after="0"/>
              <w:rPr>
                <w:sz w:val="20"/>
                <w:szCs w:val="20"/>
                <w:color w:val="auto"/>
              </w:rPr>
            </w:pPr>
            <w:r>
              <w:rPr>
                <w:rFonts w:ascii="Arial" w:cs="Arial" w:eastAsia="Arial" w:hAnsi="Arial"/>
                <w:sz w:val="15"/>
                <w:szCs w:val="15"/>
                <w:b w:val="1"/>
                <w:bCs w:val="1"/>
                <w:color w:val="auto"/>
              </w:rPr>
              <w:t>2024</w:t>
            </w:r>
          </w:p>
        </w:tc>
      </w:tr>
      <w:tr>
        <w:trPr>
          <w:trHeight w:val="296"/>
        </w:trPr>
        <w:tc>
          <w:tcPr>
            <w:tcW w:w="460" w:type="dxa"/>
            <w:vAlign w:val="bottom"/>
          </w:tcPr>
          <w:p>
            <w:pPr>
              <w:spacing w:after="0"/>
              <w:rPr>
                <w:sz w:val="24"/>
                <w:szCs w:val="24"/>
                <w:color w:val="auto"/>
              </w:rPr>
            </w:pPr>
          </w:p>
        </w:tc>
        <w:tc>
          <w:tcPr>
            <w:tcW w:w="2340" w:type="dxa"/>
            <w:vAlign w:val="bottom"/>
            <w:gridSpan w:val="3"/>
          </w:tcPr>
          <w:p>
            <w:pPr>
              <w:jc w:val="right"/>
              <w:ind w:right="3"/>
              <w:spacing w:after="0"/>
              <w:rPr>
                <w:sz w:val="20"/>
                <w:szCs w:val="20"/>
                <w:color w:val="auto"/>
              </w:rPr>
            </w:pPr>
            <w:r>
              <w:rPr>
                <w:rFonts w:ascii="Arial" w:cs="Arial" w:eastAsia="Arial" w:hAnsi="Arial"/>
                <w:sz w:val="15"/>
                <w:szCs w:val="15"/>
                <w:b w:val="1"/>
                <w:bCs w:val="1"/>
                <w:color w:val="auto"/>
              </w:rPr>
              <w:t>(Dollars in millions)</w:t>
            </w:r>
          </w:p>
        </w:tc>
        <w:tc>
          <w:tcPr>
            <w:tcW w:w="1200" w:type="dxa"/>
            <w:vAlign w:val="bottom"/>
          </w:tcPr>
          <w:p>
            <w:pPr>
              <w:spacing w:after="0"/>
              <w:rPr>
                <w:sz w:val="24"/>
                <w:szCs w:val="24"/>
                <w:color w:val="auto"/>
              </w:rPr>
            </w:pPr>
          </w:p>
        </w:tc>
      </w:tr>
      <w:tr>
        <w:trPr>
          <w:trHeight w:val="322"/>
        </w:trPr>
        <w:tc>
          <w:tcPr>
            <w:tcW w:w="460" w:type="dxa"/>
            <w:vAlign w:val="bottom"/>
          </w:tcPr>
          <w:p>
            <w:pPr>
              <w:jc w:val="right"/>
              <w:ind w:right="263"/>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(122)</w:t>
            </w:r>
          </w:p>
        </w:tc>
        <w:tc>
          <w:tcPr>
            <w:tcW w:w="100" w:type="dxa"/>
            <w:vAlign w:val="bottom"/>
          </w:tcPr>
          <w:p>
            <w:pPr>
              <w:spacing w:after="0"/>
              <w:rPr>
                <w:sz w:val="24"/>
                <w:szCs w:val="24"/>
                <w:color w:val="auto"/>
              </w:rPr>
            </w:pPr>
          </w:p>
        </w:tc>
        <w:tc>
          <w:tcPr>
            <w:tcW w:w="720" w:type="dxa"/>
            <w:vAlign w:val="bottom"/>
          </w:tcPr>
          <w:p>
            <w:pPr>
              <w:jc w:val="right"/>
              <w:ind w:right="54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(97)</w:t>
            </w:r>
          </w:p>
        </w:tc>
      </w:tr>
      <w:tr>
        <w:trPr>
          <w:trHeight w:val="302"/>
        </w:trPr>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33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08"/>
        </w:trPr>
        <w:tc>
          <w:tcPr>
            <w:tcW w:w="460" w:type="dxa"/>
            <w:vAlign w:val="bottom"/>
            <w:tcBorders>
              <w:bottom w:val="single" w:sz="8" w:color="2C6937"/>
            </w:tcBorders>
          </w:tcPr>
          <w:p>
            <w:pPr>
              <w:spacing w:after="0"/>
              <w:rPr>
                <w:sz w:val="18"/>
                <w:szCs w:val="18"/>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(65)</w:t>
            </w:r>
          </w:p>
        </w:tc>
        <w:tc>
          <w:tcPr>
            <w:tcW w:w="100" w:type="dxa"/>
            <w:vAlign w:val="bottom"/>
          </w:tcPr>
          <w:p>
            <w:pPr>
              <w:spacing w:after="0"/>
              <w:rPr>
                <w:sz w:val="18"/>
                <w:szCs w:val="18"/>
                <w:color w:val="auto"/>
              </w:rPr>
            </w:pPr>
          </w:p>
        </w:tc>
        <w:tc>
          <w:tcPr>
            <w:tcW w:w="72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w:t>
            </w:r>
          </w:p>
        </w:tc>
      </w:tr>
      <w:tr>
        <w:trPr>
          <w:trHeight w:val="309"/>
        </w:trPr>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(117)</w:t>
            </w:r>
          </w:p>
        </w:tc>
      </w:tr>
      <w:tr>
        <w:trPr>
          <w:trHeight w:val="303"/>
        </w:trPr>
        <w:tc>
          <w:tcPr>
            <w:tcW w:w="460" w:type="dxa"/>
            <w:vAlign w:val="bottom"/>
            <w:tcBorders>
              <w:bottom w:val="single" w:sz="8" w:color="2C6937"/>
            </w:tcBorders>
          </w:tcPr>
          <w:p>
            <w:pPr>
              <w:spacing w:after="0"/>
              <w:rPr>
                <w:sz w:val="24"/>
                <w:szCs w:val="24"/>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(69)</w:t>
            </w:r>
          </w:p>
        </w:tc>
        <w:tc>
          <w:tcPr>
            <w:tcW w:w="100" w:type="dxa"/>
            <w:vAlign w:val="bottom"/>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w:t>
            </w:r>
          </w:p>
        </w:tc>
      </w:tr>
      <w:tr>
        <w:trPr>
          <w:trHeight w:val="231"/>
        </w:trPr>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(223)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(137)</w:t>
            </w:r>
          </w:p>
        </w:tc>
      </w:tr>
      <w:tr>
        <w:trPr>
          <w:trHeight w:val="303"/>
        </w:trPr>
        <w:tc>
          <w:tcPr>
            <w:tcW w:w="460" w:type="dxa"/>
            <w:vAlign w:val="bottom"/>
            <w:tcBorders>
              <w:bottom w:val="single" w:sz="8" w:color="2C6937"/>
            </w:tcBorders>
          </w:tcPr>
          <w:p>
            <w:pPr>
              <w:spacing w:after="0"/>
              <w:rPr>
                <w:sz w:val="24"/>
                <w:szCs w:val="24"/>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w:t>
            </w:r>
          </w:p>
        </w:tc>
      </w:tr>
      <w:tr>
        <w:trPr>
          <w:trHeight w:val="418"/>
        </w:trPr>
        <w:tc>
          <w:tcPr>
            <w:tcW w:w="460" w:type="dxa"/>
            <w:vAlign w:val="bottom"/>
            <w:tcBorders>
              <w:bottom w:val="single" w:sz="8" w:color="2C6937"/>
            </w:tcBorders>
          </w:tcPr>
          <w:p>
            <w:pPr>
              <w:jc w:val="right"/>
              <w:ind w:right="263"/>
              <w:spacing w:after="0"/>
              <w:rPr>
                <w:sz w:val="20"/>
                <w:szCs w:val="20"/>
                <w:color w:val="auto"/>
              </w:rPr>
            </w:pPr>
            <w:r>
              <w:rPr>
                <w:rFonts w:ascii="Arial" w:cs="Arial" w:eastAsia="Arial" w:hAnsi="Arial"/>
                <w:sz w:val="15"/>
                <w:szCs w:val="15"/>
                <w:b w:val="1"/>
                <w:bCs w:val="1"/>
                <w:color w:val="auto"/>
              </w:rPr>
              <w:t>$</w:t>
            </w: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(226)</w:t>
            </w:r>
          </w:p>
        </w:tc>
        <w:tc>
          <w:tcPr>
            <w:tcW w:w="100" w:type="dxa"/>
            <w:vAlign w:val="bottom"/>
          </w:tcPr>
          <w:p>
            <w:pPr>
              <w:spacing w:after="0"/>
              <w:rPr>
                <w:sz w:val="24"/>
                <w:szCs w:val="24"/>
                <w:color w:val="auto"/>
              </w:rPr>
            </w:pPr>
          </w:p>
        </w:tc>
        <w:tc>
          <w:tcPr>
            <w:tcW w:w="720" w:type="dxa"/>
            <w:vAlign w:val="bottom"/>
            <w:tcBorders>
              <w:bottom w:val="single" w:sz="8" w:color="2C6937"/>
            </w:tcBorders>
          </w:tcPr>
          <w:p>
            <w:pPr>
              <w:jc w:val="right"/>
              <w:ind w:right="54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(123)</w:t>
            </w:r>
          </w:p>
        </w:tc>
      </w:tr>
      <w:tr>
        <w:trPr>
          <w:trHeight w:val="20"/>
        </w:trPr>
        <w:tc>
          <w:tcPr>
            <w:tcW w:w="460" w:type="dxa"/>
            <w:vAlign w:val="bottom"/>
            <w:tcBorders>
              <w:bottom w:val="single" w:sz="8" w:color="2C6937"/>
            </w:tcBorders>
          </w:tcPr>
          <w:p>
            <w:pPr>
              <w:spacing w:after="0" w:line="20" w:lineRule="exact"/>
              <w:rPr>
                <w:sz w:val="1"/>
                <w:szCs w:val="1"/>
                <w:color w:val="auto"/>
              </w:rPr>
            </w:pPr>
          </w:p>
        </w:tc>
        <w:tc>
          <w:tcPr>
            <w:tcW w:w="1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r>
      <w:tr>
        <w:trPr>
          <w:trHeight w:val="462"/>
        </w:trPr>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425"/>
        </w:trPr>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w:t>
            </w:r>
          </w:p>
        </w:tc>
      </w:tr>
    </w:tbl>
    <w:p>
      <w:pPr>
        <w:spacing w:after="0" w:line="325" w:lineRule="exact"/>
        <w:rPr>
          <w:sz w:val="20"/>
          <w:szCs w:val="20"/>
          <w:color w:val="auto"/>
        </w:rPr>
      </w:pPr>
    </w:p>
    <w:p>
      <w:pPr>
        <w:sectPr>
          <w:pgSz w:w="11900" w:h="16838" w:orient="portrait"/>
          <w:cols w:equalWidth="0" w:num="2">
            <w:col w:w="6940" w:space="300"/>
            <w:col w:w="4000"/>
          </w:cols>
          <w:pgMar w:left="320" w:top="248" w:right="339" w:bottom="1440" w:gutter="0" w:footer="0" w:header="0"/>
          <w:type w:val="continuous"/>
        </w:sectPr>
      </w:pPr>
    </w:p>
    <w:p>
      <w:pPr>
        <w:ind w:left="240" w:right="200" w:hanging="237"/>
        <w:spacing w:after="0" w:line="224" w:lineRule="auto"/>
        <w:tabs>
          <w:tab w:leader="none" w:pos="233"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Consists of gains or losses realized on the sales of nonperforming and reperforming mortgage loans during the period and temporary lower-of-cost-or-market adjustments on HFS loans, which are recognized in “Investment gains (losses), net” in our condensed consolidated statements of operations and comprehensive income.</w:t>
      </w:r>
    </w:p>
    <w:p>
      <w:pPr>
        <w:ind w:left="220" w:hanging="217"/>
        <w:spacing w:after="0"/>
        <w:tabs>
          <w:tab w:leader="none" w:pos="2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divided by the average single-family conventional guaranty book of business during the period.</w:t>
      </w:r>
    </w:p>
    <w:p>
      <w:pPr>
        <w:spacing w:after="0" w:line="24" w:lineRule="exact"/>
        <w:rPr>
          <w:rFonts w:ascii="Arial" w:cs="Arial" w:eastAsia="Arial" w:hAnsi="Arial"/>
          <w:sz w:val="18"/>
          <w:szCs w:val="18"/>
          <w:color w:val="auto"/>
          <w:vertAlign w:val="superscript"/>
        </w:rPr>
      </w:pPr>
    </w:p>
    <w:p>
      <w:pPr>
        <w:ind w:left="240" w:right="240" w:hanging="237"/>
        <w:spacing w:after="0" w:line="260" w:lineRule="auto"/>
        <w:tabs>
          <w:tab w:leader="none" w:pos="233" w:val="left"/>
        </w:tabs>
        <w:numPr>
          <w:ilvl w:val="0"/>
          <w:numId w:val="30"/>
        </w:numPr>
        <w:rPr>
          <w:rFonts w:ascii="Arial" w:cs="Arial" w:eastAsia="Arial" w:hAnsi="Arial"/>
          <w:sz w:val="9"/>
          <w:szCs w:val="9"/>
          <w:color w:val="auto"/>
        </w:rPr>
      </w:pPr>
      <w:r>
        <w:rPr>
          <w:rFonts w:ascii="Arial" w:cs="Arial" w:eastAsia="Arial" w:hAnsi="Arial"/>
          <w:sz w:val="14"/>
          <w:szCs w:val="14"/>
          <w:color w:val="auto"/>
        </w:rPr>
        <w:t>Calculated based on the annualized amount of “Net credit gains (losses), write-offs on redesignations and gains (losses) on sales and other valuation adjustments” divided by the average single-family conventional guaranty book of business during the period.</w:t>
      </w:r>
    </w:p>
    <w:p>
      <w:pPr>
        <w:spacing w:after="0" w:line="37"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The primary drivers of our net credit gains (losses), write-offs on redesignations and gains (losses) on sales and other valuation adjustments in the first quarter of 2025 were write-offs on loans for which collectability was no longer reasonably assured as well as an increase in mortgage loans redesignated from HFI to HFS resulting in an increase in write-offs on redesignations.</w:t>
      </w:r>
    </w:p>
    <w:p>
      <w:pPr>
        <w:spacing w:after="0" w:line="45"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The primary drivers of our net credit gains (losses), write-offs on redesignations and gains (losses) on sales and other valuation adjustments in the first quarter of 2024 were write-offs on loans for which collectability was no longer reasonably assured as well as foreclosed property expense due to increased repairs on the REO properties we acquired.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34" w:name="page35"/>
    <w:bookmarkEnd w:id="34"/>
    <w:p>
      <w:pPr>
        <w:ind w:left="9360"/>
        <w:spacing w:after="0"/>
        <w:rPr>
          <w:sz w:val="20"/>
          <w:szCs w:val="20"/>
          <w:color w:val="auto"/>
        </w:rPr>
      </w:pPr>
      <w:r>
        <w:rPr>
          <w:rFonts w:ascii="Arial" w:cs="Arial" w:eastAsia="Arial" w:hAnsi="Arial"/>
          <w:sz w:val="14"/>
          <w:szCs w:val="14"/>
          <w:color w:val="05314D"/>
        </w:rPr>
        <w:t>MD&amp;A | 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This section supplements and updates information regarding our Multifamily business segment in our 2024 Form 10-K. See “MD&amp;A—Multifamily Business” in our 2024 Form 10-K for additional information regarding the primary business activities, lenders, investors and competition of our Multifamily business.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Market</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multifamily market, ongoing rental demand remained strong in the first quarter of 2025 despite elevated levels of new supply entering various markets across the country.</w:t>
      </w:r>
    </w:p>
    <w:p>
      <w:pPr>
        <w:spacing w:after="0" w:line="15" w:lineRule="exact"/>
        <w:rPr>
          <w:sz w:val="20"/>
          <w:szCs w:val="20"/>
          <w:color w:val="auto"/>
        </w:rPr>
      </w:pPr>
    </w:p>
    <w:p>
      <w:pPr>
        <w:ind w:left="620" w:right="380" w:hanging="307"/>
        <w:spacing w:after="0" w:line="272" w:lineRule="auto"/>
        <w:tabs>
          <w:tab w:leader="none" w:pos="612"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Vacancy rates</w:t>
      </w:r>
      <w:r>
        <w:rPr>
          <w:rFonts w:ascii="Arial" w:cs="Arial" w:eastAsia="Arial" w:hAnsi="Arial"/>
          <w:sz w:val="16"/>
          <w:szCs w:val="16"/>
          <w:color w:val="auto"/>
        </w:rPr>
        <w:t>. Based on preliminary third-party data, we estimate that the national multifamily vacancy rate for institutional investment-type</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 properties remained steady at 6.0% as of March 31, 2025, the same as of December 31, 2024, and March 31, 2024. The estimated average national multifamily vacancy rate over the last 15 years is approximately 5.8%.</w:t>
      </w:r>
    </w:p>
    <w:p>
      <w:pPr>
        <w:spacing w:after="0" w:line="44" w:lineRule="exact"/>
        <w:rPr>
          <w:rFonts w:ascii="Arial" w:cs="Arial" w:eastAsia="Arial" w:hAnsi="Arial"/>
          <w:sz w:val="16"/>
          <w:szCs w:val="16"/>
          <w:color w:val="auto"/>
        </w:rPr>
      </w:pPr>
    </w:p>
    <w:p>
      <w:pPr>
        <w:ind w:left="620" w:right="120" w:hanging="307"/>
        <w:spacing w:after="0" w:line="272" w:lineRule="auto"/>
        <w:tabs>
          <w:tab w:leader="none" w:pos="612"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Rents</w:t>
      </w:r>
      <w:r>
        <w:rPr>
          <w:rFonts w:ascii="Arial" w:cs="Arial" w:eastAsia="Arial" w:hAnsi="Arial"/>
          <w:sz w:val="16"/>
          <w:szCs w:val="16"/>
          <w:color w:val="auto"/>
        </w:rPr>
        <w:t>. Based on preliminary third-party data, we estimate that effective rents increased approximately 0.3% during the first quarter of 2025,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decrease of 0.5% during the fourth quarter of 2024, and an increase of 0.3% during the first quarter of 2024. Rents have increased 1% from the first quarter of 2024.</w:t>
      </w:r>
    </w:p>
    <w:p>
      <w:pPr>
        <w:spacing w:after="0" w:line="32"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Vacancy rates and rents are important to loan performance because multifamily loans are generally repaid from the cash flows generated by the underlying property. Several years of low vacancy rates and rising rents helped to increase property values in most metropolitan areas, but that trend reversed starting in early 2023. Based on preliminary multifamily property sales data, transaction volumes for the first quarter of 2025 remained well below the 2015 through 2019 average first-quarter level of between $30 billion and $40 billion. Multifamily property capitalization rates, the indicated rate of return on investment in a commercial property, are estimated at 5.7% in the first quarter of 2025, reflecting an increase from 5.4% in the fourth quarter of 2024 and a return to the same level as in the first quarter of 2024.</w:t>
      </w:r>
    </w:p>
    <w:p>
      <w:pPr>
        <w:spacing w:after="0" w:line="41"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We estimate that more than 600,000 multifamily rental units were delivered to the U.S. housing market in 2024, which is well above the past 10 year average of 409,000 units delivered annually. Multifamily construction remains elevated. There were more than 860,000 rental units underway as of February 2025, and based on recent historical trends we expect between 450,000 and 500,000 units will be completed in 2025.</w:t>
      </w:r>
    </w:p>
    <w:p>
      <w:pPr>
        <w:spacing w:after="0" w:line="2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believe vacancy levels could rise to 6.25% sometime in 2025, due to elevated new construction completions. Despite elevated levels of new supply, we expect rent growth in the 2.0% to 2.5% range during 2025, if job growth continues at its recent pace and elevated single-family housing prices in many places continue to keep a number of tenants renting longer. If job growth slows substantially, that could result in slower renter household demand, thereby pushing up vacancies and keeping rent growth subdued throughout the year.</w:t>
      </w:r>
    </w:p>
    <w:p>
      <w:pPr>
        <w:spacing w:after="0" w:line="48"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During the last two years, high interest rates and investor yield requirements have reduced multifamily property sales transactions and placed downward pressure on multifamily property valuations. According to data from the MSCI RCA Commercial Property Price Index (“RCA CPPI</w:t>
      </w:r>
      <w:r>
        <w:rPr>
          <w:rFonts w:ascii="Arial" w:cs="Arial" w:eastAsia="Arial" w:hAnsi="Arial"/>
          <w:sz w:val="21"/>
          <w:szCs w:val="21"/>
          <w:color w:val="auto"/>
          <w:vertAlign w:val="superscript"/>
        </w:rPr>
        <w:t>TM</w:t>
      </w:r>
      <w:r>
        <w:rPr>
          <w:rFonts w:ascii="Arial" w:cs="Arial" w:eastAsia="Arial" w:hAnsi="Arial"/>
          <w:sz w:val="16"/>
          <w:szCs w:val="16"/>
          <w:color w:val="auto"/>
        </w:rPr>
        <w:t>”), multifamily property values declined 18% from their peak in the second quarter of 2022 to the first quarter of 2025 and are down approximately 1% compared to the first quarter of 2024. Future rental household demand is dependent upon job growth and demographic trends, and some investors may pause on new acquisitions in the short term to see how the job market performs over the next few months.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5" w:name="page36"/>
    <w:bookmarkEnd w:id="35"/>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New Business Volume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our new multifamily loan acquisitions by unpaid principal balance and number of units financed.</w:t>
      </w:r>
    </w:p>
    <w:p>
      <w:pPr>
        <w:spacing w:after="0" w:line="178"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Multifamily New Business Volume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203835</wp:posOffset>
            </wp:positionV>
            <wp:extent cx="5460365" cy="1637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603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hanging="237"/>
        <w:spacing w:after="0" w:line="228" w:lineRule="auto"/>
        <w:tabs>
          <w:tab w:leader="none" w:pos="233"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Reflects unpaid principal balance of new multifamily loans securitized or purchased as well as credit enhancements provided during the period. These figures will not agree to Fannie Mae MBS issued during the period, as Fannie Mae MBS issued also include portfolio securitizations and certain conversions that result in a new Fannie Mae MBS issuance without a newly created loan and exclude bond or mortgage loan credit enhancements.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2"/>
        </w:numPr>
        <w:rPr>
          <w:rFonts w:ascii="Arial" w:cs="Arial" w:eastAsia="Arial" w:hAnsi="Arial"/>
          <w:sz w:val="9"/>
          <w:szCs w:val="9"/>
          <w:color w:val="auto"/>
        </w:rPr>
      </w:pPr>
      <w:r>
        <w:rPr>
          <w:rFonts w:ascii="Arial" w:cs="Arial" w:eastAsia="Arial" w:hAnsi="Arial"/>
          <w:sz w:val="14"/>
          <w:szCs w:val="14"/>
          <w:color w:val="auto"/>
        </w:rPr>
        <w:t>Reflects new units financed by first liens and excludes manufactured housing rentals.</w:t>
      </w:r>
    </w:p>
    <w:p>
      <w:pPr>
        <w:spacing w:after="0" w:line="70"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Multifamily business volumes increased by 17% in the first quarter of 2025 compared with the first quarter of 2024. For 2025, FHFA has capped our multifamily loan purchases at $73 billion.</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of Business and Average Charged Guaranty Fee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the unpaid principal balance and average charged guaranty fee related to our multifamily guaranty book of business.</w:t>
      </w:r>
    </w:p>
    <w:p>
      <w:pPr>
        <w:spacing w:after="0" w:line="12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 xml:space="preserve">Multifamily Guaranty Book of Business </w:t>
      </w:r>
      <w:r>
        <w:rPr>
          <w:rFonts w:ascii="Georgia" w:cs="Georgia" w:eastAsia="Georgia" w:hAnsi="Georgia"/>
          <w:sz w:val="19"/>
          <w:szCs w:val="19"/>
          <w:b w:val="1"/>
          <w:bCs w:val="1"/>
          <w:color w:val="05314D"/>
        </w:rPr>
        <w:t>and Charged Fee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56515</wp:posOffset>
            </wp:positionV>
            <wp:extent cx="5501005" cy="1964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0100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40" w:right="100" w:hanging="237"/>
        <w:spacing w:after="0" w:line="233"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Our multifamily guaranty book of business primarily consists of multifamily mortgage loans underlying Fannie Mae MBS outstanding, multifamily mortgage loans of Fannie Mae held in our retained mortgage portfolio, and other credit enhancements that we provide on multifamily mortgage assets. It does not include non-Fannie Mae multifamily mortgage-related securities held in our retained mortgage portfolio for which we do not provide a guaranty.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6" w:name="page37"/>
    <w:bookmarkEnd w:id="36"/>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multifamily guaranty book of business grew to $504.5 billion as of March 31, 2025, a 5.8% increase from March 31, 2024. The average charged guaranty fee on our multifamily guaranty book of business decreased 1.7 bps as of March 31, 2025 compared with March 31, 2024. For additional information regarding our average charged guaranty fee, see “MD&amp;A—Multifamily Business—Multifamily Business Metrics—Multifamily Guaranty Book of Business and Average Charged Guaranty Fee” in our 2024 Form 10-K.</w:t>
      </w:r>
    </w:p>
    <w:p>
      <w:pPr>
        <w:spacing w:after="0" w:line="7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Credit Risk Management</w:t>
      </w:r>
    </w:p>
    <w:p>
      <w:pPr>
        <w:spacing w:after="0" w:line="63"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This section supplements and updates our discussion of multifamily mortgage credit risk management in our 2024 Form 10-K in “MD&amp;A—Multifamily Business—Multifamily Mortgage Credit Risk Management.” For additional information on the primary components of our strategy for managing multifamily credit risk, the factors that influence the credit risk profile of our multifamily guaranty book of business, our multifamily acquisition policy and underwriting standards, our multifamily guaranty book diversification and monitoring, and our transfer of mortgage credit risk, as well as our reliance on representations from lenders and servicers regarding the accuracy of credit information on loans in our guaranty book of business, see that discussion in our 2024 Form 10-K.</w:t>
      </w:r>
    </w:p>
    <w:p>
      <w:pPr>
        <w:spacing w:after="0" w:line="278"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Diversification and Monitoring</w:t>
      </w:r>
    </w:p>
    <w:p>
      <w:pPr>
        <w:spacing w:after="0" w:line="80"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The following table displays our multifamily business volumes and our multifamily guaranty book of business, based on certain key risk characteristics that we use to evaluate the risk profile and credit quality of our multifamily loans. For additional information on our multifamily guaranty book diversification and monitoring see “MD&amp;A—Multifamily Business—Multifamily Mortgage Credit Risk Management—Multifamily Guaranty Book Diversification and Monitoring” in our 2024 Form 10-K.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7" w:name="page38"/>
    <w:bookmarkEnd w:id="37"/>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We provide additional information on the credit characteristics of our multifamily loans in quarterly financial supplements, which we furnish to the SEC with current reports on Form 8-K and make available on our website. Information in our quarterly financial supplements is not incorporated by reference into this report.</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Multifamily Business Volume and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692594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5945" cy="16510"/>
                    </a:xfrm>
                    <a:prstGeom prst="rect">
                      <a:avLst/>
                    </a:prstGeom>
                    <a:noFill/>
                  </pic:spPr>
                </pic:pic>
              </a:graphicData>
            </a:graphic>
          </wp:anchor>
        </w:drawing>
      </w:r>
    </w:p>
    <w:p>
      <w:pPr>
        <w:spacing w:after="0" w:line="146"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Multifamily Business Volume at Acquisition</w:t>
      </w:r>
      <w:r>
        <w:rPr>
          <w:rFonts w:ascii="Arial" w:cs="Arial" w:eastAsia="Arial" w:hAnsi="Arial"/>
          <w:sz w:val="17"/>
          <w:szCs w:val="17"/>
          <w:b w:val="1"/>
          <w:bCs w:val="1"/>
          <w:color w:val="auto"/>
          <w:vertAlign w:val="superscript"/>
        </w:rPr>
        <w:t>(1)</w:t>
      </w:r>
    </w:p>
    <w:tbl>
      <w:tblPr>
        <w:tblLayout w:type="fixed"/>
        <w:tblInd w:w="0" w:type="dxa"/>
        <w:tblCellMar>
          <w:top w:w="0" w:type="dxa"/>
          <w:left w:w="0" w:type="dxa"/>
          <w:bottom w:w="0" w:type="dxa"/>
          <w:right w:w="0" w:type="dxa"/>
        </w:tblCellMar>
      </w:tblPr>
      <w:tr>
        <w:trPr>
          <w:trHeight w:val="111"/>
        </w:trPr>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2C6937"/>
            </w:tcBorders>
          </w:tcPr>
          <w:p>
            <w:pPr>
              <w:spacing w:after="0"/>
              <w:rPr>
                <w:sz w:val="9"/>
                <w:szCs w:val="9"/>
                <w:color w:val="auto"/>
              </w:rPr>
            </w:pPr>
          </w:p>
        </w:tc>
        <w:tc>
          <w:tcPr>
            <w:tcW w:w="480" w:type="dxa"/>
            <w:vAlign w:val="bottom"/>
            <w:tcBorders>
              <w:bottom w:val="single" w:sz="8" w:color="2C6937"/>
            </w:tcBorders>
          </w:tcPr>
          <w:p>
            <w:pPr>
              <w:spacing w:after="0"/>
              <w:rPr>
                <w:sz w:val="9"/>
                <w:szCs w:val="9"/>
                <w:color w:val="auto"/>
              </w:rPr>
            </w:pPr>
          </w:p>
        </w:tc>
        <w:tc>
          <w:tcPr>
            <w:tcW w:w="240" w:type="dxa"/>
            <w:vAlign w:val="bottom"/>
            <w:tcBorders>
              <w:bottom w:val="single" w:sz="8" w:color="2C6937"/>
            </w:tcBorders>
          </w:tcPr>
          <w:p>
            <w:pPr>
              <w:spacing w:after="0"/>
              <w:rPr>
                <w:sz w:val="9"/>
                <w:szCs w:val="9"/>
                <w:color w:val="auto"/>
              </w:rPr>
            </w:pPr>
          </w:p>
        </w:tc>
        <w:tc>
          <w:tcPr>
            <w:tcW w:w="1240" w:type="dxa"/>
            <w:vAlign w:val="bottom"/>
            <w:tcBorders>
              <w:bottom w:val="single" w:sz="8" w:color="2C6937"/>
            </w:tcBorders>
          </w:tcPr>
          <w:p>
            <w:pPr>
              <w:spacing w:after="0"/>
              <w:rPr>
                <w:sz w:val="9"/>
                <w:szCs w:val="9"/>
                <w:color w:val="auto"/>
              </w:rPr>
            </w:pPr>
          </w:p>
        </w:tc>
        <w:tc>
          <w:tcPr>
            <w:tcW w:w="400" w:type="dxa"/>
            <w:vAlign w:val="bottom"/>
            <w:tcBorders>
              <w:bottom w:val="single" w:sz="8" w:color="2C6937"/>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340" w:type="dxa"/>
            <w:vAlign w:val="bottom"/>
            <w:gridSpan w:val="5"/>
          </w:tcPr>
          <w:p>
            <w:pPr>
              <w:jc w:val="center"/>
              <w:ind w:right="151"/>
              <w:spacing w:after="0" w:line="105" w:lineRule="exact"/>
              <w:rPr>
                <w:sz w:val="20"/>
                <w:szCs w:val="20"/>
                <w:color w:val="auto"/>
              </w:rPr>
            </w:pPr>
            <w:r>
              <w:rPr>
                <w:rFonts w:ascii="Arial" w:cs="Arial" w:eastAsia="Arial" w:hAnsi="Arial"/>
                <w:sz w:val="11"/>
                <w:szCs w:val="11"/>
                <w:b w:val="1"/>
                <w:bCs w:val="1"/>
                <w:color w:val="auto"/>
              </w:rPr>
              <w:t>Multifamily</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4"/>
            <w:vMerge w:val="restart"/>
          </w:tcPr>
          <w:p>
            <w:pPr>
              <w:jc w:val="center"/>
              <w:ind w:left="331"/>
              <w:spacing w:after="0"/>
              <w:rPr>
                <w:sz w:val="20"/>
                <w:szCs w:val="20"/>
                <w:color w:val="auto"/>
              </w:rPr>
            </w:pPr>
            <w:r>
              <w:rPr>
                <w:rFonts w:ascii="Arial" w:cs="Arial" w:eastAsia="Arial" w:hAnsi="Arial"/>
                <w:sz w:val="14"/>
                <w:szCs w:val="14"/>
                <w:b w:val="1"/>
                <w:bCs w:val="1"/>
                <w:color w:val="auto"/>
                <w:w w:val="98"/>
              </w:rPr>
              <w:t>For the Three Months Ended March 31,</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gridSpan w:val="5"/>
          </w:tcPr>
          <w:p>
            <w:pPr>
              <w:jc w:val="center"/>
              <w:ind w:right="151"/>
              <w:spacing w:after="0"/>
              <w:rPr>
                <w:sz w:val="20"/>
                <w:szCs w:val="20"/>
                <w:color w:val="auto"/>
              </w:rPr>
            </w:pPr>
            <w:r>
              <w:rPr>
                <w:rFonts w:ascii="Arial" w:cs="Arial" w:eastAsia="Arial" w:hAnsi="Arial"/>
                <w:sz w:val="14"/>
                <w:szCs w:val="14"/>
                <w:b w:val="1"/>
                <w:bCs w:val="1"/>
                <w:color w:val="auto"/>
                <w:w w:val="99"/>
              </w:rPr>
              <w:t>Guaranty Book of Business</w:t>
            </w:r>
            <w:r>
              <w:rPr>
                <w:rFonts w:ascii="Arial" w:cs="Arial" w:eastAsia="Arial" w:hAnsi="Arial"/>
                <w:sz w:val="8"/>
                <w:szCs w:val="8"/>
                <w:b w:val="1"/>
                <w:bCs w:val="1"/>
                <w:color w:val="auto"/>
                <w:w w:val="99"/>
              </w:rPr>
              <w:t>(2)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40" w:type="dxa"/>
            <w:vAlign w:val="bottom"/>
            <w:gridSpan w:val="4"/>
            <w:vMerge w:val="continue"/>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1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2C6937"/>
            </w:tcBorders>
          </w:tcPr>
          <w:p>
            <w:pPr>
              <w:spacing w:after="0"/>
              <w:rPr>
                <w:sz w:val="8"/>
                <w:szCs w:val="8"/>
                <w:color w:val="auto"/>
              </w:rPr>
            </w:pPr>
          </w:p>
        </w:tc>
        <w:tc>
          <w:tcPr>
            <w:tcW w:w="480" w:type="dxa"/>
            <w:vAlign w:val="bottom"/>
            <w:tcBorders>
              <w:bottom w:val="single" w:sz="8" w:color="2C6937"/>
            </w:tcBorders>
          </w:tcPr>
          <w:p>
            <w:pPr>
              <w:spacing w:after="0"/>
              <w:rPr>
                <w:sz w:val="8"/>
                <w:szCs w:val="8"/>
                <w:color w:val="auto"/>
              </w:rPr>
            </w:pPr>
          </w:p>
        </w:tc>
        <w:tc>
          <w:tcPr>
            <w:tcW w:w="240" w:type="dxa"/>
            <w:vAlign w:val="bottom"/>
            <w:tcBorders>
              <w:bottom w:val="single" w:sz="8" w:color="2C6937"/>
            </w:tcBorders>
          </w:tcPr>
          <w:p>
            <w:pPr>
              <w:spacing w:after="0"/>
              <w:rPr>
                <w:sz w:val="8"/>
                <w:szCs w:val="8"/>
                <w:color w:val="auto"/>
              </w:rPr>
            </w:pPr>
          </w:p>
        </w:tc>
        <w:tc>
          <w:tcPr>
            <w:tcW w:w="1240" w:type="dxa"/>
            <w:vAlign w:val="bottom"/>
            <w:tcBorders>
              <w:bottom w:val="single" w:sz="8" w:color="2C6937"/>
            </w:tcBorders>
          </w:tcPr>
          <w:p>
            <w:pPr>
              <w:spacing w:after="0"/>
              <w:rPr>
                <w:sz w:val="8"/>
                <w:szCs w:val="8"/>
                <w:color w:val="auto"/>
              </w:rPr>
            </w:pPr>
          </w:p>
        </w:tc>
        <w:tc>
          <w:tcPr>
            <w:tcW w:w="400" w:type="dxa"/>
            <w:vAlign w:val="bottom"/>
            <w:tcBorders>
              <w:bottom w:val="single" w:sz="8" w:color="2C6937"/>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2C6937"/>
            </w:tcBorders>
          </w:tcPr>
          <w:p>
            <w:pPr>
              <w:spacing w:after="0"/>
              <w:rPr>
                <w:sz w:val="8"/>
                <w:szCs w:val="8"/>
                <w:color w:val="auto"/>
              </w:rPr>
            </w:pPr>
          </w:p>
        </w:tc>
        <w:tc>
          <w:tcPr>
            <w:tcW w:w="1380" w:type="dxa"/>
            <w:vAlign w:val="bottom"/>
            <w:tcBorders>
              <w:bottom w:val="single" w:sz="8" w:color="2C6937"/>
            </w:tcBorders>
          </w:tcPr>
          <w:p>
            <w:pPr>
              <w:spacing w:after="0"/>
              <w:rPr>
                <w:sz w:val="8"/>
                <w:szCs w:val="8"/>
                <w:color w:val="auto"/>
              </w:rPr>
            </w:pPr>
          </w:p>
        </w:tc>
        <w:tc>
          <w:tcPr>
            <w:tcW w:w="460" w:type="dxa"/>
            <w:vAlign w:val="bottom"/>
            <w:tcBorders>
              <w:bottom w:val="single" w:sz="8" w:color="2C6937"/>
            </w:tcBorders>
            <w:gridSpan w:val="3"/>
            <w:vMerge w:val="continue"/>
          </w:tcPr>
          <w:p>
            <w:pPr>
              <w:spacing w:after="0"/>
              <w:rPr>
                <w:sz w:val="8"/>
                <w:szCs w:val="8"/>
                <w:color w:val="auto"/>
              </w:rPr>
            </w:pPr>
          </w:p>
        </w:tc>
        <w:tc>
          <w:tcPr>
            <w:tcW w:w="1500" w:type="dxa"/>
            <w:vAlign w:val="bottom"/>
            <w:tcBorders>
              <w:bottom w:val="single" w:sz="8" w:color="2C6937"/>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6"/>
                <w:szCs w:val="16"/>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12"/>
              <w:spacing w:after="0"/>
              <w:rPr>
                <w:sz w:val="20"/>
                <w:szCs w:val="20"/>
                <w:color w:val="auto"/>
              </w:rPr>
            </w:pPr>
            <w:r>
              <w:rPr>
                <w:rFonts w:ascii="Arial" w:cs="Arial" w:eastAsia="Arial" w:hAnsi="Arial"/>
                <w:sz w:val="14"/>
                <w:szCs w:val="14"/>
                <w:b w:val="1"/>
                <w:bCs w:val="1"/>
                <w:color w:val="auto"/>
              </w:rPr>
              <w:t>March 31, 2025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31"/>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LTV ratio:</w:t>
            </w:r>
          </w:p>
        </w:tc>
        <w:tc>
          <w:tcPr>
            <w:tcW w:w="1180" w:type="dxa"/>
            <w:vAlign w:val="bottom"/>
            <w:tcBorders>
              <w:top w:val="single" w:sz="8" w:color="2C6937"/>
            </w:tcBorders>
          </w:tcPr>
          <w:p>
            <w:pPr>
              <w:spacing w:after="0"/>
              <w:rPr>
                <w:sz w:val="16"/>
                <w:szCs w:val="16"/>
                <w:color w:val="auto"/>
              </w:rPr>
            </w:pPr>
          </w:p>
        </w:tc>
        <w:tc>
          <w:tcPr>
            <w:tcW w:w="480" w:type="dxa"/>
            <w:vAlign w:val="bottom"/>
            <w:tcBorders>
              <w:top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2C6937"/>
            </w:tcBorders>
          </w:tcPr>
          <w:p>
            <w:pPr>
              <w:spacing w:after="0"/>
              <w:rPr>
                <w:sz w:val="16"/>
                <w:szCs w:val="16"/>
                <w:color w:val="auto"/>
              </w:rPr>
            </w:pPr>
          </w:p>
        </w:tc>
        <w:tc>
          <w:tcPr>
            <w:tcW w:w="400" w:type="dxa"/>
            <w:vAlign w:val="bottom"/>
            <w:tcBorders>
              <w:top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2C6937"/>
            </w:tcBorders>
          </w:tcPr>
          <w:p>
            <w:pPr>
              <w:spacing w:after="0"/>
              <w:rPr>
                <w:sz w:val="16"/>
                <w:szCs w:val="16"/>
                <w:color w:val="auto"/>
              </w:rPr>
            </w:pPr>
          </w:p>
        </w:tc>
        <w:tc>
          <w:tcPr>
            <w:tcW w:w="138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1500" w:type="dxa"/>
            <w:vAlign w:val="bottom"/>
            <w:tcBorders>
              <w:top w:val="single" w:sz="8" w:color="2C6937"/>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Weighted-average original LTV ratio</w:t>
            </w:r>
          </w:p>
        </w:tc>
        <w:tc>
          <w:tcPr>
            <w:tcW w:w="1180" w:type="dxa"/>
            <w:vAlign w:val="bottom"/>
          </w:tcPr>
          <w:p>
            <w:pPr>
              <w:spacing w:after="0"/>
              <w:rPr>
                <w:sz w:val="20"/>
                <w:szCs w:val="20"/>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61</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Service Coverage Ratio (“DSCR”):</w:t>
            </w: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Weighted-average DSCR</w:t>
            </w:r>
            <w:r>
              <w:rPr>
                <w:rFonts w:ascii="Arial" w:cs="Arial" w:eastAsia="Arial" w:hAnsi="Arial"/>
                <w:sz w:val="17"/>
                <w:szCs w:val="17"/>
                <w:color w:val="auto"/>
                <w:vertAlign w:val="superscript"/>
              </w:rPr>
              <w:t>(3)</w:t>
            </w:r>
          </w:p>
        </w:tc>
        <w:tc>
          <w:tcPr>
            <w:tcW w:w="11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Current DSCR below 1.0</w:t>
            </w:r>
            <w:r>
              <w:rPr>
                <w:rFonts w:ascii="Arial" w:cs="Arial" w:eastAsia="Arial" w:hAnsi="Arial"/>
                <w:sz w:val="17"/>
                <w:szCs w:val="17"/>
                <w:color w:val="auto"/>
                <w:vertAlign w:val="superscript"/>
              </w:rPr>
              <w:t>(3)</w:t>
            </w: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 amount and count:</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Average loan amount (in millions)</w:t>
            </w:r>
          </w:p>
        </w:tc>
        <w:tc>
          <w:tcPr>
            <w:tcW w:w="1180" w:type="dxa"/>
            <w:vAlign w:val="bottom"/>
          </w:tcPr>
          <w:p>
            <w:pPr>
              <w:jc w:val="right"/>
              <w:ind w:right="1011"/>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18</w:t>
            </w:r>
          </w:p>
        </w:tc>
        <w:tc>
          <w:tcPr>
            <w:tcW w:w="1480" w:type="dxa"/>
            <w:vAlign w:val="bottom"/>
            <w:gridSpan w:val="2"/>
          </w:tcPr>
          <w:p>
            <w:pPr>
              <w:jc w:val="right"/>
              <w:ind w:right="114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4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Loan count</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654</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552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29,817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29,651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type:</w:t>
            </w: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gridSpan w:val="2"/>
          </w:tcPr>
          <w:p>
            <w:pPr>
              <w:ind w:left="140"/>
              <w:spacing w:after="0"/>
              <w:rPr>
                <w:sz w:val="20"/>
                <w:szCs w:val="20"/>
                <w:color w:val="auto"/>
              </w:rPr>
            </w:pPr>
            <w:r>
              <w:rPr>
                <w:rFonts w:ascii="Arial" w:cs="Arial" w:eastAsia="Arial" w:hAnsi="Arial"/>
                <w:sz w:val="14"/>
                <w:szCs w:val="14"/>
                <w:color w:val="auto"/>
              </w:rPr>
              <w:t>Fixed-rate</w:t>
            </w:r>
          </w:p>
        </w:tc>
        <w:tc>
          <w:tcPr>
            <w:tcW w:w="1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40" w:type="dxa"/>
            <w:vAlign w:val="bottom"/>
            <w:tcBorders>
              <w:bottom w:val="single" w:sz="8" w:color="2C6937"/>
            </w:tcBorders>
          </w:tcPr>
          <w:p>
            <w:pPr>
              <w:spacing w:after="0"/>
              <w:rPr>
                <w:sz w:val="16"/>
                <w:szCs w:val="16"/>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Borders>
              <w:bottom w:val="single" w:sz="8" w:color="2C6937"/>
            </w:tcBorders>
          </w:tcPr>
          <w:p>
            <w:pPr>
              <w:spacing w:after="0"/>
              <w:rPr>
                <w:sz w:val="16"/>
                <w:szCs w:val="16"/>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60" w:type="dxa"/>
            <w:vAlign w:val="bottom"/>
            <w:tcBorders>
              <w:bottom w:val="single" w:sz="8" w:color="2C6937"/>
            </w:tcBorders>
          </w:tcPr>
          <w:p>
            <w:pPr>
              <w:spacing w:after="0"/>
              <w:rPr>
                <w:sz w:val="16"/>
                <w:szCs w:val="16"/>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60" w:type="dxa"/>
            <w:vAlign w:val="bottom"/>
            <w:tcBorders>
              <w:bottom w:val="single" w:sz="8" w:color="2C6937"/>
            </w:tcBorders>
          </w:tcPr>
          <w:p>
            <w:pPr>
              <w:spacing w:after="0"/>
              <w:rPr>
                <w:sz w:val="16"/>
                <w:szCs w:val="16"/>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2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4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2C6937"/>
            </w:tcBorders>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38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50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type:</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ind w:left="140"/>
              <w:spacing w:after="0"/>
              <w:rPr>
                <w:sz w:val="20"/>
                <w:szCs w:val="20"/>
                <w:color w:val="auto"/>
              </w:rPr>
            </w:pPr>
            <w:r>
              <w:rPr>
                <w:rFonts w:ascii="Arial" w:cs="Arial" w:eastAsia="Arial" w:hAnsi="Arial"/>
                <w:sz w:val="14"/>
                <w:szCs w:val="14"/>
                <w:color w:val="auto"/>
              </w:rPr>
              <w:t>Full interest-only</w:t>
            </w:r>
          </w:p>
        </w:tc>
        <w:tc>
          <w:tcPr>
            <w:tcW w:w="11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54</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300" w:type="dxa"/>
            <w:vAlign w:val="bottom"/>
            <w:gridSpan w:val="2"/>
          </w:tcPr>
          <w:p>
            <w:pPr>
              <w:ind w:left="140"/>
              <w:spacing w:after="0"/>
              <w:rPr>
                <w:sz w:val="20"/>
                <w:szCs w:val="20"/>
                <w:color w:val="auto"/>
              </w:rPr>
            </w:pPr>
            <w:r>
              <w:rPr>
                <w:rFonts w:ascii="Arial" w:cs="Arial" w:eastAsia="Arial" w:hAnsi="Arial"/>
                <w:sz w:val="14"/>
                <w:szCs w:val="14"/>
                <w:color w:val="auto"/>
              </w:rPr>
              <w:t>Partial interest-only</w:t>
            </w:r>
            <w:r>
              <w:rPr>
                <w:rFonts w:ascii="Arial" w:cs="Arial" w:eastAsia="Arial" w:hAnsi="Arial"/>
                <w:sz w:val="17"/>
                <w:szCs w:val="17"/>
                <w:color w:val="auto"/>
                <w:vertAlign w:val="superscript"/>
              </w:rPr>
              <w:t>(4)</w:t>
            </w:r>
          </w:p>
        </w:tc>
        <w:tc>
          <w:tcPr>
            <w:tcW w:w="1180" w:type="dxa"/>
            <w:vAlign w:val="bottom"/>
          </w:tcPr>
          <w:p>
            <w:pPr>
              <w:spacing w:after="0"/>
              <w:rPr>
                <w:sz w:val="17"/>
                <w:szCs w:val="17"/>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39</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0" w:type="dxa"/>
            <w:vAlign w:val="bottom"/>
            <w:tcBorders>
              <w:bottom w:val="single" w:sz="8" w:color="2C6937"/>
            </w:tcBorders>
          </w:tcPr>
          <w:p>
            <w:pPr>
              <w:ind w:left="140"/>
              <w:spacing w:after="0"/>
              <w:rPr>
                <w:sz w:val="20"/>
                <w:szCs w:val="20"/>
                <w:color w:val="auto"/>
              </w:rPr>
            </w:pPr>
            <w:r>
              <w:rPr>
                <w:rFonts w:ascii="Arial" w:cs="Arial" w:eastAsia="Arial" w:hAnsi="Arial"/>
                <w:sz w:val="14"/>
                <w:szCs w:val="14"/>
                <w:color w:val="auto"/>
              </w:rPr>
              <w:t>Fully amortizing</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6"/>
                <w:szCs w:val="16"/>
                <w:color w:val="auto"/>
              </w:rPr>
            </w:pPr>
          </w:p>
        </w:tc>
        <w:tc>
          <w:tcPr>
            <w:tcW w:w="1240" w:type="dxa"/>
            <w:vAlign w:val="bottom"/>
            <w:tcBorders>
              <w:bottom w:val="single" w:sz="8" w:color="2C6937"/>
            </w:tcBorders>
          </w:tcPr>
          <w:p>
            <w:pPr>
              <w:spacing w:after="0"/>
              <w:rPr>
                <w:sz w:val="16"/>
                <w:szCs w:val="16"/>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Borders>
              <w:bottom w:val="single" w:sz="8" w:color="2C6937"/>
            </w:tcBorders>
          </w:tcPr>
          <w:p>
            <w:pPr>
              <w:spacing w:after="0"/>
              <w:rPr>
                <w:sz w:val="16"/>
                <w:szCs w:val="16"/>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22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60" w:type="dxa"/>
            <w:vAlign w:val="bottom"/>
            <w:tcBorders>
              <w:bottom w:val="single" w:sz="8" w:color="2C6937"/>
            </w:tcBorders>
          </w:tcPr>
          <w:p>
            <w:pPr>
              <w:spacing w:after="0"/>
              <w:rPr>
                <w:sz w:val="16"/>
                <w:szCs w:val="16"/>
                <w:color w:val="auto"/>
              </w:rPr>
            </w:pP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60" w:type="dxa"/>
            <w:vAlign w:val="bottom"/>
            <w:tcBorders>
              <w:bottom w:val="single" w:sz="8" w:color="2C6937"/>
            </w:tcBorders>
          </w:tcPr>
          <w:p>
            <w:pPr>
              <w:spacing w:after="0"/>
              <w:rPr>
                <w:sz w:val="16"/>
                <w:szCs w:val="16"/>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4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2C6937"/>
            </w:tcBorders>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38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50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 type:</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Conventional/co-op</w:t>
            </w:r>
          </w:p>
        </w:tc>
        <w:tc>
          <w:tcPr>
            <w:tcW w:w="11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95</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Seniors housing</w:t>
            </w:r>
          </w:p>
        </w:tc>
        <w:tc>
          <w:tcPr>
            <w:tcW w:w="11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Student housing</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Manufactured housing</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1240" w:type="dxa"/>
            <w:vAlign w:val="bottom"/>
            <w:tcBorders>
              <w:bottom w:val="single" w:sz="8" w:color="2C6937"/>
            </w:tcBorders>
          </w:tcPr>
          <w:p>
            <w:pPr>
              <w:spacing w:after="0"/>
              <w:rPr>
                <w:sz w:val="16"/>
                <w:szCs w:val="16"/>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Borders>
              <w:bottom w:val="single" w:sz="8" w:color="2C6937"/>
            </w:tcBorders>
          </w:tcPr>
          <w:p>
            <w:pPr>
              <w:spacing w:after="0"/>
              <w:rPr>
                <w:sz w:val="16"/>
                <w:szCs w:val="16"/>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22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60" w:type="dxa"/>
            <w:vAlign w:val="bottom"/>
            <w:tcBorders>
              <w:bottom w:val="single" w:sz="8" w:color="2C6937"/>
            </w:tcBorders>
          </w:tcPr>
          <w:p>
            <w:pPr>
              <w:spacing w:after="0"/>
              <w:rPr>
                <w:sz w:val="16"/>
                <w:szCs w:val="16"/>
                <w:color w:val="auto"/>
              </w:rPr>
            </w:pP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60" w:type="dxa"/>
            <w:vAlign w:val="bottom"/>
            <w:tcBorders>
              <w:bottom w:val="single" w:sz="8" w:color="2C6937"/>
            </w:tcBorders>
          </w:tcPr>
          <w:p>
            <w:pPr>
              <w:spacing w:after="0"/>
              <w:rPr>
                <w:sz w:val="16"/>
                <w:szCs w:val="16"/>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48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Borders>
              <w:bottom w:val="single" w:sz="8" w:color="2C6937"/>
            </w:tcBorders>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2C6937"/>
            </w:tcBorders>
          </w:tcPr>
          <w:p>
            <w:pPr>
              <w:spacing w:after="0" w:line="20" w:lineRule="exact"/>
              <w:rPr>
                <w:sz w:val="1"/>
                <w:szCs w:val="1"/>
                <w:color w:val="auto"/>
              </w:rPr>
            </w:pPr>
          </w:p>
        </w:tc>
        <w:tc>
          <w:tcPr>
            <w:tcW w:w="138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500" w:type="dxa"/>
            <w:vAlign w:val="bottom"/>
            <w:tcBorders>
              <w:bottom w:val="single" w:sz="8" w:color="2C6937"/>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6"/>
        </w:trPr>
        <w:tc>
          <w:tcPr>
            <w:tcW w:w="330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Affordable</w:t>
            </w:r>
            <w:r>
              <w:rPr>
                <w:rFonts w:ascii="Arial" w:cs="Arial" w:eastAsia="Arial" w:hAnsi="Arial"/>
                <w:sz w:val="17"/>
                <w:szCs w:val="17"/>
                <w:color w:val="auto"/>
                <w:vertAlign w:val="superscript"/>
              </w:rPr>
              <w:t>(5)</w:t>
            </w:r>
          </w:p>
        </w:tc>
        <w:tc>
          <w:tcPr>
            <w:tcW w:w="11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ind w:left="40"/>
              <w:spacing w:after="0" w:line="194" w:lineRule="exact"/>
              <w:rPr>
                <w:sz w:val="20"/>
                <w:szCs w:val="20"/>
                <w:color w:val="auto"/>
              </w:rPr>
            </w:pPr>
            <w:r>
              <w:rPr>
                <w:rFonts w:ascii="Arial" w:cs="Arial" w:eastAsia="Arial" w:hAnsi="Arial"/>
                <w:sz w:val="14"/>
                <w:szCs w:val="14"/>
                <w:color w:val="auto"/>
              </w:rPr>
              <w:t>Small balance loans</w:t>
            </w:r>
            <w:r>
              <w:rPr>
                <w:rFonts w:ascii="Arial" w:cs="Arial" w:eastAsia="Arial" w:hAnsi="Arial"/>
                <w:sz w:val="17"/>
                <w:szCs w:val="17"/>
                <w:color w:val="auto"/>
                <w:vertAlign w:val="superscript"/>
              </w:rPr>
              <w:t>(6)</w:t>
            </w:r>
          </w:p>
        </w:tc>
        <w:tc>
          <w:tcPr>
            <w:tcW w:w="11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37</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(7)</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Midwest</w:t>
            </w:r>
          </w:p>
        </w:tc>
        <w:tc>
          <w:tcPr>
            <w:tcW w:w="11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Northeast</w:t>
            </w:r>
          </w:p>
        </w:tc>
        <w:tc>
          <w:tcPr>
            <w:tcW w:w="11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Southeast</w:t>
            </w:r>
          </w:p>
        </w:tc>
        <w:tc>
          <w:tcPr>
            <w:tcW w:w="11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Southwest</w:t>
            </w:r>
          </w:p>
        </w:tc>
        <w:tc>
          <w:tcPr>
            <w:tcW w:w="11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6"/>
                <w:szCs w:val="16"/>
                <w:color w:val="auto"/>
              </w:rPr>
            </w:pPr>
          </w:p>
        </w:tc>
        <w:tc>
          <w:tcPr>
            <w:tcW w:w="1240" w:type="dxa"/>
            <w:vAlign w:val="bottom"/>
            <w:tcBorders>
              <w:bottom w:val="single" w:sz="8" w:color="2C6937"/>
            </w:tcBorders>
          </w:tcPr>
          <w:p>
            <w:pPr>
              <w:spacing w:after="0"/>
              <w:rPr>
                <w:sz w:val="16"/>
                <w:szCs w:val="16"/>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30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00" w:hanging="197"/>
        <w:spacing w:after="0"/>
        <w:tabs>
          <w:tab w:leader="none" w:pos="2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less than 0.5% of multifamily business volume or guaranty book of business.</w:t>
      </w:r>
    </w:p>
    <w:p>
      <w:pPr>
        <w:spacing w:after="0" w:line="45" w:lineRule="exact"/>
        <w:rPr>
          <w:sz w:val="20"/>
          <w:szCs w:val="20"/>
          <w:color w:val="auto"/>
        </w:rPr>
      </w:pPr>
    </w:p>
    <w:p>
      <w:pPr>
        <w:ind w:left="240" w:right="340" w:hanging="237"/>
        <w:spacing w:after="0" w:line="226" w:lineRule="auto"/>
        <w:tabs>
          <w:tab w:leader="none" w:pos="23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for each category divided by the aggregate unpaid principal balance at time of acquisition, excluding small balance loans which is calculated based on loan count rather than unpaid principal balance.</w:t>
      </w:r>
    </w:p>
    <w:p>
      <w:pPr>
        <w:spacing w:after="0" w:line="27" w:lineRule="exact"/>
        <w:rPr>
          <w:rFonts w:ascii="Arial" w:cs="Arial" w:eastAsia="Arial" w:hAnsi="Arial"/>
          <w:sz w:val="18"/>
          <w:szCs w:val="18"/>
          <w:color w:val="auto"/>
          <w:vertAlign w:val="superscript"/>
        </w:rPr>
      </w:pPr>
    </w:p>
    <w:p>
      <w:pPr>
        <w:ind w:left="240" w:right="400" w:hanging="237"/>
        <w:spacing w:after="0" w:line="244" w:lineRule="auto"/>
        <w:tabs>
          <w:tab w:leader="none" w:pos="233"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Calculated based on the aggregate unpaid principal balance of multifamily loans for each category divided by the aggregate unpaid principal balance of loans in our multifamily guaranty book of business as of the end of each period, excluding small balance loans which is calculated based on loan count rather than unpaid principal balance.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8" w:name="page39"/>
    <w:bookmarkEnd w:id="38"/>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140" w:hanging="237"/>
        <w:spacing w:after="0" w:line="233" w:lineRule="auto"/>
        <w:tabs>
          <w:tab w:leader="none" w:pos="233"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For our business volumes, the DSCR is calculated using the actual debt service payments for the loan. For our book of business, our estimates of current DSCRs are based on the latest available income information, including the related debt service covering a 12-month period, from quarterly and annual statements for these properties. When an annual statement is the latest statement available, it is used. When operating statement information is not available, the underwritten DSCR is used. Co-op loans are excluded from this metric.</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6"/>
        </w:numPr>
        <w:rPr>
          <w:rFonts w:ascii="Arial" w:cs="Arial" w:eastAsia="Arial" w:hAnsi="Arial"/>
          <w:sz w:val="9"/>
          <w:szCs w:val="9"/>
          <w:color w:val="auto"/>
        </w:rPr>
      </w:pPr>
      <w:r>
        <w:rPr>
          <w:rFonts w:ascii="Arial" w:cs="Arial" w:eastAsia="Arial" w:hAnsi="Arial"/>
          <w:sz w:val="14"/>
          <w:szCs w:val="14"/>
          <w:color w:val="auto"/>
        </w:rPr>
        <w:t>Consists of mortgage loans that were underwritten with an interest-only term, regardless of whether the loan is currently in its interest-only period.</w:t>
      </w:r>
    </w:p>
    <w:p>
      <w:pPr>
        <w:spacing w:after="0" w:line="45" w:lineRule="exact"/>
        <w:rPr>
          <w:rFonts w:ascii="Arial" w:cs="Arial" w:eastAsia="Arial" w:hAnsi="Arial"/>
          <w:sz w:val="9"/>
          <w:szCs w:val="9"/>
          <w:color w:val="auto"/>
        </w:rPr>
      </w:pPr>
    </w:p>
    <w:p>
      <w:pPr>
        <w:ind w:left="240" w:right="260" w:hanging="237"/>
        <w:spacing w:after="0" w:line="226" w:lineRule="auto"/>
        <w:tabs>
          <w:tab w:leader="none" w:pos="233"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Represents Multifamily Affordable Housing (“MAH”) loans, which are defined as financing for properties that are under an agreement that provides long-term affordability, such as properties with rent subsidies or income restrictions. MAH loans are included within the asset class categories referenced above.</w:t>
      </w:r>
    </w:p>
    <w:p>
      <w:pPr>
        <w:spacing w:after="0" w:line="27" w:lineRule="exact"/>
        <w:rPr>
          <w:rFonts w:ascii="Arial" w:cs="Arial" w:eastAsia="Arial" w:hAnsi="Arial"/>
          <w:sz w:val="18"/>
          <w:szCs w:val="18"/>
          <w:color w:val="auto"/>
          <w:vertAlign w:val="superscript"/>
        </w:rPr>
      </w:pPr>
    </w:p>
    <w:p>
      <w:pPr>
        <w:ind w:left="240" w:right="20" w:hanging="237"/>
        <w:spacing w:after="0" w:line="228" w:lineRule="auto"/>
        <w:tabs>
          <w:tab w:leader="none" w:pos="233"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Small balance loans refer to multifamily loans with an original unpaid principal balance of up to $9 million. Small balance loans are included within the asset class categories referenced above. We present this metric in the table based on loan count rather than unpaid principal balance. Small balance loans comprised 10% of our multifamily guaranty book of business as of both March 31, 2025 and December 31, 2024, based on unpaid principal balance of the loan.</w:t>
      </w:r>
    </w:p>
    <w:p>
      <w:pPr>
        <w:spacing w:after="0" w:line="26" w:lineRule="exact"/>
        <w:rPr>
          <w:rFonts w:ascii="Arial" w:cs="Arial" w:eastAsia="Arial" w:hAnsi="Arial"/>
          <w:sz w:val="18"/>
          <w:szCs w:val="18"/>
          <w:color w:val="auto"/>
          <w:vertAlign w:val="superscript"/>
        </w:rPr>
      </w:pPr>
    </w:p>
    <w:p>
      <w:pPr>
        <w:ind w:left="240" w:right="160" w:hanging="237"/>
        <w:spacing w:after="0" w:line="244" w:lineRule="auto"/>
        <w:tabs>
          <w:tab w:leader="none" w:pos="233" w:val="left"/>
        </w:tabs>
        <w:numPr>
          <w:ilvl w:val="0"/>
          <w:numId w:val="36"/>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8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Transfer of Mortgage Credit Risk</w:t>
      </w:r>
    </w:p>
    <w:p>
      <w:pPr>
        <w:spacing w:after="0" w:line="10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Front-End Credit Risk Sharing</w:t>
      </w:r>
    </w:p>
    <w:p>
      <w:pPr>
        <w:spacing w:after="0" w:line="80"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We primarily transfer credit risk on the multifamily loans we guarantee through our Delegated Underwriting and Servicing (“DUS</w:t>
      </w:r>
      <w:r>
        <w:rPr>
          <w:rFonts w:ascii="Arial" w:cs="Arial" w:eastAsia="Arial" w:hAnsi="Arial"/>
          <w:sz w:val="21"/>
          <w:szCs w:val="21"/>
          <w:color w:val="auto"/>
          <w:vertAlign w:val="superscript"/>
        </w:rPr>
        <w:t>®</w:t>
      </w:r>
      <w:r>
        <w:rPr>
          <w:rFonts w:ascii="Arial" w:cs="Arial" w:eastAsia="Arial" w:hAnsi="Arial"/>
          <w:sz w:val="16"/>
          <w:szCs w:val="16"/>
          <w:color w:val="auto"/>
        </w:rPr>
        <w:t>”) program, which delegates to DUS lenders the ability to underwrite and service multifamily loans, in accordance with our standards and requirements. Loans serviced by DUS lenders and their affiliates represented substantially all of our multifamily guaranty book of business as of March 31, 2025 and December 31, 2024. See “MD&amp;A—Multifamily Business—Multifamily Mortgage Credit Risk Management—Multifamily Transfer of Mortgage Credit Risk</w:t>
      </w:r>
      <w:r>
        <w:rPr>
          <w:rFonts w:ascii="Arial" w:cs="Arial" w:eastAsia="Arial" w:hAnsi="Arial"/>
          <w:sz w:val="16"/>
          <w:szCs w:val="16"/>
          <w:color w:val="05314D"/>
        </w:rPr>
        <w:t>”</w:t>
      </w:r>
      <w:r>
        <w:rPr>
          <w:rFonts w:ascii="Arial" w:cs="Arial" w:eastAsia="Arial" w:hAnsi="Arial"/>
          <w:sz w:val="16"/>
          <w:szCs w:val="16"/>
          <w:color w:val="auto"/>
        </w:rPr>
        <w:t xml:space="preserve"> in our 2024 Form 10-K for a description of our DUS program.</w:t>
      </w:r>
    </w:p>
    <w:p>
      <w:pPr>
        <w:spacing w:after="0" w:line="9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Back-End Credit Risk Sharing</w:t>
      </w:r>
    </w:p>
    <w:p>
      <w:pPr>
        <w:spacing w:after="0" w:line="8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To complement our DUS front-end lender-risk sharing program, we also engage in back-end credit risk transfer transactions through our MCIRT and MCAS programs. Our back-end MCAS and MCIRT credit risk transfer programs transfer a portion of the credit risk associated with a reference pool of multifamily mortgage loans to insurers, reinsurers, or investors. During the first quarter of 2025, we entered into one new multifamily credit risk transfer transaction through our MCIRT program.</w:t>
      </w:r>
    </w:p>
    <w:p>
      <w:pPr>
        <w:spacing w:after="0" w:line="35"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The table below displays the total unpaid principal balance of multifamily loans and the percentage of our multifamily guaranty book of business, based on unpaid principal balance, that is covered by a back-end credit risk transfer transaction. The table does not reflect front-end lender risk-sharing arrangements, as only a small portion of our multifamily guaranty book of business is not covered by these arrangements.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Loans in Back-End Credit Risk Transfer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3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20" w:type="dxa"/>
            <w:vAlign w:val="bottom"/>
            <w:tcBorders>
              <w:bottom w:val="single" w:sz="8" w:color="2C6937"/>
            </w:tcBorders>
            <w:gridSpan w:val="3"/>
          </w:tcPr>
          <w:p>
            <w:pPr>
              <w:jc w:val="center"/>
              <w:ind w:left="1328"/>
              <w:spacing w:after="0"/>
              <w:rPr>
                <w:sz w:val="20"/>
                <w:szCs w:val="20"/>
                <w:color w:val="auto"/>
              </w:rPr>
            </w:pPr>
            <w:r>
              <w:rPr>
                <w:rFonts w:ascii="Arial" w:cs="Arial" w:eastAsia="Arial" w:hAnsi="Arial"/>
                <w:sz w:val="14"/>
                <w:szCs w:val="14"/>
                <w:b w:val="1"/>
                <w:bCs w:val="1"/>
                <w:color w:val="auto"/>
                <w:w w:val="97"/>
              </w:rPr>
              <w:t>As of</w:t>
            </w:r>
          </w:p>
        </w:tc>
        <w:tc>
          <w:tcPr>
            <w:tcW w:w="12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960" w:type="dxa"/>
            <w:vAlign w:val="bottom"/>
            <w:tcBorders>
              <w:bottom w:val="single" w:sz="8" w:color="2C6937"/>
            </w:tcBorders>
            <w:gridSpan w:val="3"/>
          </w:tcPr>
          <w:p>
            <w:pPr>
              <w:jc w:val="right"/>
              <w:ind w:right="988"/>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940" w:type="dxa"/>
            <w:vAlign w:val="bottom"/>
            <w:tcBorders>
              <w:bottom w:val="single" w:sz="8" w:color="2C6937"/>
            </w:tcBorders>
            <w:gridSpan w:val="3"/>
          </w:tcPr>
          <w:p>
            <w:pPr>
              <w:jc w:val="right"/>
              <w:ind w:right="847"/>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78"/>
        </w:trPr>
        <w:tc>
          <w:tcPr>
            <w:tcW w:w="4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Unpaid Principal</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w:t>
            </w:r>
          </w:p>
        </w:tc>
        <w:tc>
          <w:tcPr>
            <w:tcW w:w="160" w:type="dxa"/>
            <w:vAlign w:val="bottom"/>
          </w:tcPr>
          <w:p>
            <w:pPr>
              <w:spacing w:after="0"/>
              <w:rPr>
                <w:sz w:val="15"/>
                <w:szCs w:val="15"/>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Unpaid Principal</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6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Balance</w:t>
            </w:r>
          </w:p>
        </w:tc>
        <w:tc>
          <w:tcPr>
            <w:tcW w:w="1660" w:type="dxa"/>
            <w:vAlign w:val="bottom"/>
            <w:tcBorders>
              <w:bottom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Book of Business</w:t>
            </w:r>
          </w:p>
        </w:tc>
        <w:tc>
          <w:tcPr>
            <w:tcW w:w="160" w:type="dxa"/>
            <w:vAlign w:val="bottom"/>
            <w:tcBorders>
              <w:bottom w:val="single" w:sz="8" w:color="2C6937"/>
            </w:tcBorders>
          </w:tcPr>
          <w:p>
            <w:pPr>
              <w:spacing w:after="0"/>
              <w:rPr>
                <w:sz w:val="17"/>
                <w:szCs w:val="17"/>
                <w:color w:val="auto"/>
              </w:rPr>
            </w:pPr>
          </w:p>
        </w:tc>
        <w:tc>
          <w:tcPr>
            <w:tcW w:w="138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Balance</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Book of Business</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940" w:type="dxa"/>
            <w:vAlign w:val="bottom"/>
            <w:gridSpan w:val="2"/>
          </w:tcPr>
          <w:p>
            <w:pPr>
              <w:ind w:left="20"/>
              <w:spacing w:after="0"/>
              <w:rPr>
                <w:sz w:val="20"/>
                <w:szCs w:val="20"/>
                <w:color w:val="auto"/>
              </w:rPr>
            </w:pPr>
            <w:r>
              <w:rPr>
                <w:rFonts w:ascii="Arial" w:cs="Arial" w:eastAsia="Arial" w:hAnsi="Arial"/>
                <w:sz w:val="15"/>
                <w:szCs w:val="15"/>
                <w:color w:val="auto"/>
              </w:rPr>
              <w:t>MCIRT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111,249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22 %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101,181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20 %</w:t>
            </w:r>
          </w:p>
        </w:tc>
        <w:tc>
          <w:tcPr>
            <w:tcW w:w="0" w:type="dxa"/>
            <w:vAlign w:val="bottom"/>
          </w:tcPr>
          <w:p>
            <w:pPr>
              <w:spacing w:after="0"/>
              <w:rPr>
                <w:sz w:val="1"/>
                <w:szCs w:val="1"/>
                <w:color w:val="auto"/>
              </w:rPr>
            </w:pPr>
          </w:p>
        </w:tc>
      </w:tr>
      <w:tr>
        <w:trPr>
          <w:trHeight w:val="226"/>
        </w:trPr>
        <w:tc>
          <w:tcPr>
            <w:tcW w:w="486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MCAS</w:t>
            </w: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30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55,894</w:t>
            </w:r>
          </w:p>
        </w:tc>
        <w:tc>
          <w:tcPr>
            <w:tcW w:w="100" w:type="dxa"/>
            <w:vAlign w:val="bottom"/>
          </w:tcPr>
          <w:p>
            <w:pPr>
              <w:spacing w:after="0"/>
              <w:rPr>
                <w:sz w:val="19"/>
                <w:szCs w:val="19"/>
                <w:color w:val="auto"/>
              </w:rPr>
            </w:pPr>
          </w:p>
        </w:tc>
        <w:tc>
          <w:tcPr>
            <w:tcW w:w="1560" w:type="dxa"/>
            <w:vAlign w:val="bottom"/>
            <w:tcBorders>
              <w:bottom w:val="single" w:sz="8" w:color="2C6937"/>
            </w:tcBorders>
          </w:tcPr>
          <w:p>
            <w:pPr>
              <w:jc w:val="right"/>
              <w:ind w:right="128"/>
              <w:spacing w:after="0"/>
              <w:rPr>
                <w:sz w:val="20"/>
                <w:szCs w:val="20"/>
                <w:color w:val="auto"/>
              </w:rPr>
            </w:pPr>
            <w:r>
              <w:rPr>
                <w:rFonts w:ascii="Arial" w:cs="Arial" w:eastAsia="Arial" w:hAnsi="Arial"/>
                <w:sz w:val="15"/>
                <w:szCs w:val="15"/>
                <w:b w:val="1"/>
                <w:bCs w:val="1"/>
                <w:color w:val="auto"/>
              </w:rPr>
              <w:t>11</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56,142</w:t>
            </w:r>
          </w:p>
        </w:tc>
        <w:tc>
          <w:tcPr>
            <w:tcW w:w="100" w:type="dxa"/>
            <w:vAlign w:val="bottom"/>
          </w:tcPr>
          <w:p>
            <w:pPr>
              <w:spacing w:after="0"/>
              <w:rPr>
                <w:sz w:val="19"/>
                <w:szCs w:val="19"/>
                <w:color w:val="auto"/>
              </w:rPr>
            </w:pPr>
          </w:p>
        </w:tc>
        <w:tc>
          <w:tcPr>
            <w:tcW w:w="1560" w:type="dxa"/>
            <w:vAlign w:val="bottom"/>
            <w:tcBorders>
              <w:bottom w:val="single" w:sz="8" w:color="2C6937"/>
            </w:tcBorders>
          </w:tcPr>
          <w:p>
            <w:pPr>
              <w:jc w:val="right"/>
              <w:ind w:right="127"/>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25"/>
        </w:trPr>
        <w:tc>
          <w:tcPr>
            <w:tcW w:w="494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167,143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33 %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157,323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31 %</w:t>
            </w:r>
          </w:p>
        </w:tc>
        <w:tc>
          <w:tcPr>
            <w:tcW w:w="0" w:type="dxa"/>
            <w:vAlign w:val="bottom"/>
          </w:tcPr>
          <w:p>
            <w:pPr>
              <w:spacing w:after="0"/>
              <w:rPr>
                <w:sz w:val="1"/>
                <w:szCs w:val="1"/>
                <w:color w:val="auto"/>
              </w:rPr>
            </w:pPr>
          </w:p>
        </w:tc>
      </w:tr>
      <w:tr>
        <w:trPr>
          <w:trHeight w:val="20"/>
        </w:trPr>
        <w:tc>
          <w:tcPr>
            <w:tcW w:w="48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2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9" w:name="page40"/>
    <w:bookmarkEnd w:id="39"/>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Problem Loan Management</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Credit Performance Statistics on Multifamily Problem Loans</w:t>
      </w:r>
    </w:p>
    <w:p>
      <w:pPr>
        <w:spacing w:after="0" w:line="6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percentage of loans in our multifamily guaranty book of business that were criticized was 6% as of March 31, 2025, compared with 7% as of December 31, 2024. Our criticized loan population remains elevated, largely driven by properties financed with adjustable-rate mortgages. The criticized loans category substantially consists of loans classified as “Substandard” and also includes loans classified as “Special Mention” or “Doubtful.” Substandard loans are loans that have a well-defined weakness that could impact their timely full repayment. While the majority of the substandard loans in our multifamily guaranty book of business are currently making timely payments, we continue to monitor the performance of our substandard loan population. For more information on our credit quality indicators, including our population of substandard loans, see “Note 4, Mortgage Loans.”</w:t>
      </w:r>
    </w:p>
    <w:p>
      <w:pPr>
        <w:spacing w:after="0" w:line="4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Our multifamily serious delinquency rate increased to 0.63% as of March 31, 2025, compared with 0.57% as of December 31, 2024. The new entrants to the seriously delinquent population consisted primarily of fixed-rate conventional loans. Our multifamily serious delinquency rate consists of multifamily loans that were 60 days or more past due based on unpaid principal balance, expressed as a percentage of our multifamily guaranty book of business.</w:t>
      </w:r>
    </w:p>
    <w:p>
      <w:pPr>
        <w:spacing w:after="0" w:line="2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Management monitors the multifamily serious delinquency rate as an indicator of potential future credit losses and loss mitigation activities. Typically, higher serious delinquency rates result in a higher allowance for loan losses. Serious delinquency rates are reflective of our performance in assessing and managing credit risk associated with multifamily loans in our guaranty book of business. The percentage of loans in our multifamily guaranty book of business that were 180 days or more delinquent was 0.49% as of March 31, 2025, compared with 0.44% as of December 31, 2024.</w:t>
      </w:r>
    </w:p>
    <w:p>
      <w:pPr>
        <w:spacing w:after="0" w:line="48"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In addition to the credit performance information on our multifamily loans provided in this report, we provide additional information about the performance of our multifamily loans that back MBS and whole loan REMICs in the “Data Collections” section of our DUS Disclose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available at www.fanniemae.com/dusdisclose. Information on our website is not incorporated into this report. Information in Data Collections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107"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REO Management</w:t>
      </w:r>
    </w:p>
    <w:p>
      <w:pPr>
        <w:spacing w:after="0" w:line="6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of March 31, 2025, we held 148 multifamily REO properties with a carrying value of $708 million, compared with 139 properties with a carrying value of $638 million as of December 31, 2024.</w:t>
      </w:r>
    </w:p>
    <w:p>
      <w:pPr>
        <w:spacing w:after="0" w:line="67"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Credit Loss Performance Metrics</w:t>
      </w:r>
    </w:p>
    <w:p>
      <w:pPr>
        <w:spacing w:after="0" w:line="6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amount of multifamily credit losses or gains we realize in a given period is driven by foreclosures, pre-foreclosure sales, post-foreclosure REO activity and other events that trigger write-offs and recoveries. Our multifamily credit loss performance metrics are not defined terms and may not be calculated in the same manner as similarly titled measures reported by other companies. For the purposes of our multifamily credit loss performance metrics, credit losses or gains represent write-offs net of recoveries and foreclosed property income or expense. We believe our multifamily credit losses, and our multifamily credit losses net of freestanding loss-sharing arrangements, provide useful information about our multifamily credit performance because they display our multifamily credit losses in the context of our multifamily guaranty book of business, including changes to the benefit we expect to receive from loss-sharing arrangements. Management views multifamily credit losses, net of freestanding loss-sharing arrangements, as a key metric related to our multifamily business model and our strategy to share multifamily credit risk.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0" w:name="page41"/>
    <w:bookmarkEnd w:id="40"/>
    <w:p>
      <w:pPr>
        <w:ind w:left="642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17145</wp:posOffset>
            </wp:positionV>
            <wp:extent cx="69748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the components of our multifamily credit loss performance metrics, as well as our multifamily initial write-off severity rate and write-off loan count.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Multifamily Credit Loss Performance Metrics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00" w:type="dxa"/>
            <w:vAlign w:val="bottom"/>
            <w:tcBorders>
              <w:top w:val="single" w:sz="8" w:color="2C6937"/>
            </w:tcBorders>
          </w:tcPr>
          <w:p>
            <w:pPr>
              <w:spacing w:after="0"/>
              <w:rPr>
                <w:sz w:val="20"/>
                <w:szCs w:val="20"/>
                <w:color w:val="auto"/>
              </w:rPr>
            </w:pPr>
          </w:p>
        </w:tc>
        <w:tc>
          <w:tcPr>
            <w:tcW w:w="80" w:type="dxa"/>
            <w:vAlign w:val="bottom"/>
            <w:tcBorders>
              <w:top w:val="single" w:sz="8" w:color="2C6937"/>
            </w:tcBorders>
          </w:tcPr>
          <w:p>
            <w:pPr>
              <w:spacing w:after="0"/>
              <w:rPr>
                <w:sz w:val="20"/>
                <w:szCs w:val="20"/>
                <w:color w:val="auto"/>
              </w:rPr>
            </w:pPr>
          </w:p>
        </w:tc>
        <w:tc>
          <w:tcPr>
            <w:tcW w:w="3640" w:type="dxa"/>
            <w:vAlign w:val="bottom"/>
            <w:tcBorders>
              <w:top w:val="single" w:sz="8" w:color="2C6937"/>
              <w:bottom w:val="single" w:sz="8" w:color="2C6937"/>
            </w:tcBorders>
            <w:gridSpan w:val="4"/>
          </w:tcPr>
          <w:p>
            <w:pPr>
              <w:jc w:val="right"/>
              <w:ind w:right="43"/>
              <w:spacing w:after="0"/>
              <w:rPr>
                <w:sz w:val="20"/>
                <w:szCs w:val="20"/>
                <w:color w:val="auto"/>
              </w:rPr>
            </w:pPr>
            <w:r>
              <w:rPr>
                <w:rFonts w:ascii="Arial" w:cs="Arial" w:eastAsia="Arial" w:hAnsi="Arial"/>
                <w:sz w:val="15"/>
                <w:szCs w:val="15"/>
                <w:b w:val="1"/>
                <w:bCs w:val="1"/>
                <w:color w:val="auto"/>
              </w:rPr>
              <w:t>For the Three Months Ended March 31,</w:t>
            </w:r>
          </w:p>
        </w:tc>
        <w:tc>
          <w:tcPr>
            <w:tcW w:w="520" w:type="dxa"/>
            <w:vAlign w:val="bottom"/>
            <w:tcBorders>
              <w:top w:val="single" w:sz="8" w:color="2C6937"/>
              <w:bottom w:val="single" w:sz="8" w:color="2C6937"/>
            </w:tcBorders>
          </w:tcPr>
          <w:p>
            <w:pPr>
              <w:spacing w:after="0"/>
              <w:rPr>
                <w:sz w:val="20"/>
                <w:szCs w:val="20"/>
                <w:color w:val="auto"/>
              </w:rPr>
            </w:pPr>
          </w:p>
        </w:tc>
        <w:tc>
          <w:tcPr>
            <w:tcW w:w="300" w:type="dxa"/>
            <w:vAlign w:val="bottom"/>
            <w:tcBorders>
              <w:top w:val="single" w:sz="8" w:color="2C6937"/>
              <w:bottom w:val="single" w:sz="8" w:color="2C6937"/>
            </w:tcBorders>
          </w:tcPr>
          <w:p>
            <w:pPr>
              <w:spacing w:after="0"/>
              <w:rPr>
                <w:sz w:val="20"/>
                <w:szCs w:val="20"/>
                <w:color w:val="auto"/>
              </w:rPr>
            </w:pPr>
          </w:p>
        </w:tc>
      </w:tr>
      <w:tr>
        <w:trPr>
          <w:trHeight w:val="199"/>
        </w:trPr>
        <w:tc>
          <w:tcPr>
            <w:tcW w:w="6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bottom w:val="single" w:sz="8" w:color="2C6937"/>
            </w:tcBorders>
          </w:tcPr>
          <w:p>
            <w:pPr>
              <w:jc w:val="right"/>
              <w:ind w:right="43"/>
              <w:spacing w:after="0"/>
              <w:rPr>
                <w:sz w:val="20"/>
                <w:szCs w:val="20"/>
                <w:color w:val="auto"/>
              </w:rPr>
            </w:pPr>
            <w:r>
              <w:rPr>
                <w:rFonts w:ascii="Arial" w:cs="Arial" w:eastAsia="Arial" w:hAnsi="Arial"/>
                <w:sz w:val="15"/>
                <w:szCs w:val="15"/>
                <w:b w:val="1"/>
                <w:bCs w:val="1"/>
                <w:color w:val="auto"/>
              </w:rPr>
              <w:t>2025</w:t>
            </w:r>
          </w:p>
        </w:tc>
        <w:tc>
          <w:tcPr>
            <w:tcW w:w="520" w:type="dxa"/>
            <w:vAlign w:val="bottom"/>
            <w:tcBorders>
              <w:bottom w:val="single" w:sz="8" w:color="2C6937"/>
            </w:tcBorders>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rPr>
              <w:t>2024</w:t>
            </w:r>
          </w:p>
        </w:tc>
        <w:tc>
          <w:tcPr>
            <w:tcW w:w="52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r>
      <w:tr>
        <w:trPr>
          <w:trHeight w:val="296"/>
        </w:trPr>
        <w:tc>
          <w:tcPr>
            <w:tcW w:w="6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gridSpan w:val="3"/>
          </w:tcPr>
          <w:p>
            <w:pPr>
              <w:jc w:val="right"/>
              <w:ind w:right="603"/>
              <w:spacing w:after="0"/>
              <w:rPr>
                <w:sz w:val="20"/>
                <w:szCs w:val="20"/>
                <w:color w:val="auto"/>
              </w:rPr>
            </w:pPr>
            <w:r>
              <w:rPr>
                <w:rFonts w:ascii="Arial" w:cs="Arial" w:eastAsia="Arial" w:hAnsi="Arial"/>
                <w:sz w:val="15"/>
                <w:szCs w:val="15"/>
                <w:b w:val="1"/>
                <w:bCs w:val="1"/>
                <w:color w:val="auto"/>
              </w:rPr>
              <w:t>(Dollars in millions)</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68"/>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Write-offs</w:t>
            </w:r>
            <w:r>
              <w:rPr>
                <w:rFonts w:ascii="Arial" w:cs="Arial" w:eastAsia="Arial" w:hAnsi="Arial"/>
                <w:sz w:val="20"/>
                <w:szCs w:val="20"/>
                <w:color w:val="auto"/>
                <w:vertAlign w:val="superscript"/>
              </w:rPr>
              <w:t>(1)</w:t>
            </w:r>
          </w:p>
        </w:tc>
        <w:tc>
          <w:tcPr>
            <w:tcW w:w="1380" w:type="dxa"/>
            <w:vAlign w:val="bottom"/>
          </w:tcPr>
          <w:p>
            <w:pPr>
              <w:jc w:val="right"/>
              <w:ind w:right="1203"/>
              <w:spacing w:after="0"/>
              <w:rPr>
                <w:sz w:val="20"/>
                <w:szCs w:val="20"/>
                <w:color w:val="auto"/>
              </w:rPr>
            </w:pPr>
            <w:r>
              <w:rPr>
                <w:rFonts w:ascii="Arial" w:cs="Arial" w:eastAsia="Arial" w:hAnsi="Arial"/>
                <w:sz w:val="15"/>
                <w:szCs w:val="15"/>
                <w:b w:val="1"/>
                <w:bCs w:val="1"/>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(61)</w:t>
            </w:r>
          </w:p>
        </w:tc>
        <w:tc>
          <w:tcPr>
            <w:tcW w:w="380" w:type="dxa"/>
            <w:vAlign w:val="bottom"/>
          </w:tcPr>
          <w:p>
            <w:pPr>
              <w:spacing w:after="0"/>
              <w:rPr>
                <w:sz w:val="24"/>
                <w:szCs w:val="24"/>
                <w:color w:val="auto"/>
              </w:rPr>
            </w:pPr>
          </w:p>
        </w:tc>
        <w:tc>
          <w:tcPr>
            <w:tcW w:w="1360" w:type="dxa"/>
            <w:vAlign w:val="bottom"/>
          </w:tcPr>
          <w:p>
            <w:pPr>
              <w:jc w:val="right"/>
              <w:ind w:right="1183"/>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(133)</w:t>
            </w:r>
          </w:p>
        </w:tc>
        <w:tc>
          <w:tcPr>
            <w:tcW w:w="300" w:type="dxa"/>
            <w:vAlign w:val="bottom"/>
          </w:tcPr>
          <w:p>
            <w:pPr>
              <w:spacing w:after="0"/>
              <w:rPr>
                <w:sz w:val="24"/>
                <w:szCs w:val="24"/>
                <w:color w:val="auto"/>
              </w:rPr>
            </w:pPr>
          </w:p>
        </w:tc>
      </w:tr>
      <w:tr>
        <w:trPr>
          <w:trHeight w:val="263"/>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13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21</w:t>
            </w:r>
          </w:p>
        </w:tc>
        <w:tc>
          <w:tcPr>
            <w:tcW w:w="300" w:type="dxa"/>
            <w:vAlign w:val="bottom"/>
          </w:tcPr>
          <w:p>
            <w:pPr>
              <w:spacing w:after="0"/>
              <w:rPr>
                <w:sz w:val="22"/>
                <w:szCs w:val="22"/>
                <w:color w:val="auto"/>
              </w:rPr>
            </w:pPr>
          </w:p>
        </w:tc>
      </w:tr>
      <w:tr>
        <w:trPr>
          <w:trHeight w:val="303"/>
        </w:trPr>
        <w:tc>
          <w:tcPr>
            <w:tcW w:w="67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income (expense)</w:t>
            </w:r>
          </w:p>
        </w:tc>
        <w:tc>
          <w:tcPr>
            <w:tcW w:w="80" w:type="dxa"/>
            <w:vAlign w:val="bottom"/>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w:t>
            </w:r>
          </w:p>
        </w:tc>
        <w:tc>
          <w:tcPr>
            <w:tcW w:w="380" w:type="dxa"/>
            <w:vAlign w:val="bottom"/>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w:t>
            </w:r>
          </w:p>
        </w:tc>
        <w:tc>
          <w:tcPr>
            <w:tcW w:w="300" w:type="dxa"/>
            <w:vAlign w:val="bottom"/>
          </w:tcPr>
          <w:p>
            <w:pPr>
              <w:spacing w:after="0"/>
              <w:rPr>
                <w:sz w:val="24"/>
                <w:szCs w:val="24"/>
                <w:color w:val="auto"/>
              </w:rPr>
            </w:pPr>
          </w:p>
        </w:tc>
      </w:tr>
      <w:tr>
        <w:trPr>
          <w:trHeight w:val="309"/>
        </w:trPr>
        <w:tc>
          <w:tcPr>
            <w:tcW w:w="678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1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(76)</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(132)</w:t>
            </w:r>
          </w:p>
        </w:tc>
        <w:tc>
          <w:tcPr>
            <w:tcW w:w="300" w:type="dxa"/>
            <w:vAlign w:val="bottom"/>
          </w:tcPr>
          <w:p>
            <w:pPr>
              <w:spacing w:after="0"/>
              <w:rPr>
                <w:sz w:val="24"/>
                <w:szCs w:val="24"/>
                <w:color w:val="auto"/>
              </w:rPr>
            </w:pPr>
          </w:p>
        </w:tc>
      </w:tr>
      <w:tr>
        <w:trPr>
          <w:trHeight w:val="303"/>
        </w:trPr>
        <w:tc>
          <w:tcPr>
            <w:tcW w:w="67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expected benefits from freestanding loss-sharing arrangements</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w:t>
            </w:r>
          </w:p>
        </w:tc>
        <w:tc>
          <w:tcPr>
            <w:tcW w:w="380" w:type="dxa"/>
            <w:vAlign w:val="bottom"/>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37</w:t>
            </w:r>
          </w:p>
        </w:tc>
        <w:tc>
          <w:tcPr>
            <w:tcW w:w="300" w:type="dxa"/>
            <w:vAlign w:val="bottom"/>
          </w:tcPr>
          <w:p>
            <w:pPr>
              <w:spacing w:after="0"/>
              <w:rPr>
                <w:sz w:val="24"/>
                <w:szCs w:val="24"/>
                <w:color w:val="auto"/>
              </w:rPr>
            </w:pPr>
          </w:p>
        </w:tc>
      </w:tr>
      <w:tr>
        <w:trPr>
          <w:trHeight w:val="302"/>
        </w:trPr>
        <w:tc>
          <w:tcPr>
            <w:tcW w:w="6780" w:type="dxa"/>
            <w:vAlign w:val="bottom"/>
            <w:gridSpan w:val="2"/>
          </w:tcPr>
          <w:p>
            <w:pPr>
              <w:ind w:left="180"/>
              <w:spacing w:after="0"/>
              <w:rPr>
                <w:sz w:val="20"/>
                <w:szCs w:val="20"/>
                <w:color w:val="auto"/>
              </w:rPr>
            </w:pPr>
            <w:r>
              <w:rPr>
                <w:rFonts w:ascii="Arial" w:cs="Arial" w:eastAsia="Arial" w:hAnsi="Arial"/>
                <w:sz w:val="15"/>
                <w:szCs w:val="15"/>
                <w:color w:val="auto"/>
              </w:rPr>
              <w:t>Credit gains (losses), net of freestanding loss-sharing arrangements</w:t>
            </w:r>
          </w:p>
        </w:tc>
        <w:tc>
          <w:tcPr>
            <w:tcW w:w="1380" w:type="dxa"/>
            <w:vAlign w:val="bottom"/>
          </w:tcPr>
          <w:p>
            <w:pPr>
              <w:jc w:val="right"/>
              <w:ind w:right="1203"/>
              <w:spacing w:after="0"/>
              <w:rPr>
                <w:sz w:val="20"/>
                <w:szCs w:val="20"/>
                <w:color w:val="auto"/>
              </w:rPr>
            </w:pPr>
            <w:r>
              <w:rPr>
                <w:rFonts w:ascii="Arial" w:cs="Arial" w:eastAsia="Arial" w:hAnsi="Arial"/>
                <w:sz w:val="15"/>
                <w:szCs w:val="15"/>
                <w:b w:val="1"/>
                <w:bCs w:val="1"/>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(46)</w:t>
            </w:r>
          </w:p>
        </w:tc>
        <w:tc>
          <w:tcPr>
            <w:tcW w:w="380" w:type="dxa"/>
            <w:vAlign w:val="bottom"/>
          </w:tcPr>
          <w:p>
            <w:pPr>
              <w:spacing w:after="0"/>
              <w:rPr>
                <w:sz w:val="24"/>
                <w:szCs w:val="24"/>
                <w:color w:val="auto"/>
              </w:rPr>
            </w:pPr>
          </w:p>
        </w:tc>
        <w:tc>
          <w:tcPr>
            <w:tcW w:w="1360" w:type="dxa"/>
            <w:vAlign w:val="bottom"/>
          </w:tcPr>
          <w:p>
            <w:pPr>
              <w:jc w:val="right"/>
              <w:ind w:right="1183"/>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(95)</w:t>
            </w:r>
          </w:p>
        </w:tc>
        <w:tc>
          <w:tcPr>
            <w:tcW w:w="300" w:type="dxa"/>
            <w:vAlign w:val="bottom"/>
          </w:tcPr>
          <w:p>
            <w:pPr>
              <w:spacing w:after="0"/>
              <w:rPr>
                <w:sz w:val="24"/>
                <w:szCs w:val="24"/>
                <w:color w:val="auto"/>
              </w:rPr>
            </w:pPr>
          </w:p>
        </w:tc>
      </w:tr>
      <w:tr>
        <w:trPr>
          <w:trHeight w:val="20"/>
        </w:trPr>
        <w:tc>
          <w:tcPr>
            <w:tcW w:w="67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86"/>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1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(6.1)</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(11.1)</w:t>
            </w:r>
          </w:p>
        </w:tc>
        <w:tc>
          <w:tcPr>
            <w:tcW w:w="300" w:type="dxa"/>
            <w:vAlign w:val="bottom"/>
          </w:tcPr>
          <w:p>
            <w:pPr>
              <w:spacing w:after="0"/>
              <w:rPr>
                <w:sz w:val="24"/>
                <w:szCs w:val="24"/>
                <w:color w:val="auto"/>
              </w:rPr>
            </w:pPr>
          </w:p>
        </w:tc>
      </w:tr>
      <w:tr>
        <w:trPr>
          <w:trHeight w:val="309"/>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Credit gain (loss) ratio, net of freestanding loss-sharing arrangements (in bps)</w:t>
            </w:r>
            <w:r>
              <w:rPr>
                <w:rFonts w:ascii="Arial" w:cs="Arial" w:eastAsia="Arial" w:hAnsi="Arial"/>
                <w:sz w:val="20"/>
                <w:szCs w:val="20"/>
                <w:color w:val="auto"/>
                <w:vertAlign w:val="superscript"/>
              </w:rPr>
              <w:t>(2)(3)</w:t>
            </w:r>
          </w:p>
        </w:tc>
        <w:tc>
          <w:tcPr>
            <w:tcW w:w="1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(3.7)</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(8.0)</w:t>
            </w:r>
          </w:p>
        </w:tc>
        <w:tc>
          <w:tcPr>
            <w:tcW w:w="300" w:type="dxa"/>
            <w:vAlign w:val="bottom"/>
          </w:tcPr>
          <w:p>
            <w:pPr>
              <w:spacing w:after="0"/>
              <w:rPr>
                <w:sz w:val="24"/>
                <w:szCs w:val="24"/>
                <w:color w:val="auto"/>
              </w:rPr>
            </w:pPr>
          </w:p>
        </w:tc>
      </w:tr>
      <w:tr>
        <w:trPr>
          <w:trHeight w:val="309"/>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Multifamily initial write-off severity rate on liquidated loans</w:t>
            </w:r>
            <w:r>
              <w:rPr>
                <w:rFonts w:ascii="Arial" w:cs="Arial" w:eastAsia="Arial" w:hAnsi="Arial"/>
                <w:sz w:val="20"/>
                <w:szCs w:val="20"/>
                <w:color w:val="auto"/>
                <w:vertAlign w:val="superscript"/>
              </w:rPr>
              <w:t>(4)(5)</w:t>
            </w:r>
          </w:p>
        </w:tc>
        <w:tc>
          <w:tcPr>
            <w:tcW w:w="13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10.4 %</w:t>
            </w:r>
          </w:p>
        </w:tc>
        <w:tc>
          <w:tcPr>
            <w:tcW w:w="1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36.7 %</w:t>
            </w:r>
          </w:p>
        </w:tc>
      </w:tr>
      <w:tr>
        <w:trPr>
          <w:trHeight w:val="309"/>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Multifamily write-off loan count on liquidated loans</w:t>
            </w:r>
            <w:r>
              <w:rPr>
                <w:rFonts w:ascii="Arial" w:cs="Arial" w:eastAsia="Arial" w:hAnsi="Arial"/>
                <w:sz w:val="20"/>
                <w:szCs w:val="20"/>
                <w:color w:val="auto"/>
                <w:vertAlign w:val="superscript"/>
              </w:rPr>
              <w:t>(6)</w:t>
            </w:r>
          </w:p>
        </w:tc>
        <w:tc>
          <w:tcPr>
            <w:tcW w:w="1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5</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w:t>
            </w:r>
          </w:p>
        </w:tc>
        <w:tc>
          <w:tcPr>
            <w:tcW w:w="300" w:type="dxa"/>
            <w:vAlign w:val="bottom"/>
          </w:tcPr>
          <w:p>
            <w:pPr>
              <w:spacing w:after="0"/>
              <w:rPr>
                <w:sz w:val="24"/>
                <w:szCs w:val="24"/>
                <w:color w:val="auto"/>
              </w:rPr>
            </w:pPr>
          </w:p>
        </w:tc>
      </w:tr>
    </w:tbl>
    <w:p>
      <w:pPr>
        <w:spacing w:after="0" w:line="69" w:lineRule="exact"/>
        <w:rPr>
          <w:sz w:val="20"/>
          <w:szCs w:val="20"/>
          <w:color w:val="auto"/>
        </w:rPr>
      </w:pPr>
    </w:p>
    <w:p>
      <w:pPr>
        <w:ind w:left="240" w:right="500" w:hanging="237"/>
        <w:spacing w:after="0" w:line="226" w:lineRule="auto"/>
        <w:tabs>
          <w:tab w:leader="none" w:pos="23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Represents write-offs at a liquidation event, which includes foreclosure, a deed-in-lieu of foreclosure or a short-sale, as well as write-offs prior to a liquidation event. Write-offs associated with non-REO sales are net of loss sharing.</w:t>
      </w:r>
    </w:p>
    <w:p>
      <w:pPr>
        <w:spacing w:after="0" w:line="27" w:lineRule="exact"/>
        <w:rPr>
          <w:rFonts w:ascii="Arial" w:cs="Arial" w:eastAsia="Arial" w:hAnsi="Arial"/>
          <w:sz w:val="18"/>
          <w:szCs w:val="18"/>
          <w:color w:val="auto"/>
          <w:vertAlign w:val="superscript"/>
        </w:rPr>
      </w:pPr>
    </w:p>
    <w:p>
      <w:pPr>
        <w:ind w:left="240" w:right="180" w:hanging="237"/>
        <w:spacing w:after="0" w:line="228" w:lineRule="auto"/>
        <w:tabs>
          <w:tab w:leader="none" w:pos="23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Represents changes to the benefit we expect to receive only from write-offs as a result of certain freestanding loss-sharing arrangements, primarily multifamily DUS lender risk-sharing transactions. Changes to the expected benefits we will receive are recorded in “Other income (expense), net” in our condensed consolidated statements of operations and comprehensive income.</w:t>
      </w:r>
    </w:p>
    <w:p>
      <w:pPr>
        <w:spacing w:after="0" w:line="26" w:lineRule="exact"/>
        <w:rPr>
          <w:rFonts w:ascii="Arial" w:cs="Arial" w:eastAsia="Arial" w:hAnsi="Arial"/>
          <w:sz w:val="18"/>
          <w:szCs w:val="18"/>
          <w:color w:val="auto"/>
          <w:vertAlign w:val="superscript"/>
        </w:rPr>
      </w:pPr>
    </w:p>
    <w:p>
      <w:pPr>
        <w:ind w:left="240" w:right="120" w:hanging="237"/>
        <w:spacing w:after="0" w:line="226" w:lineRule="auto"/>
        <w:tabs>
          <w:tab w:leader="none" w:pos="23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and “Credit gains (losses), net of freestanding loss-sharing arrangements,” divided by the average multifamily guaranty book of business during the period.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Rate is calculated as the initial write-off amount divided by the unpaid principal balance of the loans written off.</w:t>
      </w:r>
    </w:p>
    <w:p>
      <w:pPr>
        <w:spacing w:after="0" w:line="37" w:lineRule="exact"/>
        <w:rPr>
          <w:rFonts w:ascii="Arial" w:cs="Arial" w:eastAsia="Arial" w:hAnsi="Arial"/>
          <w:sz w:val="18"/>
          <w:szCs w:val="18"/>
          <w:color w:val="auto"/>
          <w:vertAlign w:val="superscript"/>
        </w:rPr>
      </w:pPr>
    </w:p>
    <w:p>
      <w:pPr>
        <w:ind w:left="240" w:right="200" w:hanging="237"/>
        <w:spacing w:after="0" w:line="210" w:lineRule="auto"/>
        <w:tabs>
          <w:tab w:leader="none" w:pos="23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Based on write-offs associated with a liquidation event. The rate excludes any costs, gains or losses associated with REO after initial acquisition through final disposition. The rate also excludes write-offs when a loan is determined to be uncollectible prior to a liquidation event. Write-offs are net of lender loss-sharing agreements.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7"/>
        </w:numPr>
        <w:rPr>
          <w:rFonts w:ascii="Arial" w:cs="Arial" w:eastAsia="Arial" w:hAnsi="Arial"/>
          <w:sz w:val="9"/>
          <w:szCs w:val="9"/>
          <w:color w:val="auto"/>
        </w:rPr>
      </w:pPr>
      <w:r>
        <w:rPr>
          <w:rFonts w:ascii="Arial" w:cs="Arial" w:eastAsia="Arial" w:hAnsi="Arial"/>
          <w:sz w:val="14"/>
          <w:szCs w:val="14"/>
          <w:color w:val="auto"/>
        </w:rPr>
        <w:t>Represents the number of loans that experienced write-offs associated with a liquidation event during the period.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Our multifamily credit losses in the first quarter of 2025 were largely driven by write-offs and foreclosed property expenses, partially offset by recoveries.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multifamily credit losses in the first quarter of 2024 were primarily driven by the write-off of a conventional fixed-rate loan.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38</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1" w:name="page42"/>
    <w:bookmarkEnd w:id="41"/>
    <w:p>
      <w:pPr>
        <w:ind w:left="724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table below displays select credit ratios on our single-family conventional guaranty book of business and our multifamily guaranty book of business, as well as the inputs used in calculating these ratios.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As of</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120" w:type="dxa"/>
            <w:vAlign w:val="bottom"/>
            <w:tcBorders>
              <w:bottom w:val="single" w:sz="8" w:color="216C2B"/>
            </w:tcBorders>
          </w:tcPr>
          <w:p>
            <w:pPr>
              <w:spacing w:after="0"/>
              <w:rPr>
                <w:sz w:val="2"/>
                <w:szCs w:val="2"/>
                <w:color w:val="auto"/>
              </w:rPr>
            </w:pPr>
          </w:p>
        </w:tc>
        <w:tc>
          <w:tcPr>
            <w:tcW w:w="84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220" w:type="dxa"/>
            <w:vAlign w:val="bottom"/>
            <w:tcBorders>
              <w:bottom w:val="single" w:sz="8" w:color="216C2B"/>
            </w:tcBorders>
          </w:tcPr>
          <w:p>
            <w:pPr>
              <w:spacing w:after="0"/>
              <w:rPr>
                <w:sz w:val="2"/>
                <w:szCs w:val="2"/>
                <w:color w:val="auto"/>
              </w:rPr>
            </w:pPr>
          </w:p>
        </w:tc>
        <w:tc>
          <w:tcPr>
            <w:tcW w:w="1160" w:type="dxa"/>
            <w:vAlign w:val="bottom"/>
            <w:tcBorders>
              <w:bottom w:val="single" w:sz="8" w:color="216C2B"/>
            </w:tcBorders>
            <w:gridSpan w:val="2"/>
          </w:tcPr>
          <w:p>
            <w:pPr>
              <w:spacing w:after="0"/>
              <w:rPr>
                <w:sz w:val="2"/>
                <w:szCs w:val="2"/>
                <w:color w:val="auto"/>
              </w:rPr>
            </w:pPr>
          </w:p>
        </w:tc>
        <w:tc>
          <w:tcPr>
            <w:tcW w:w="280" w:type="dxa"/>
            <w:vAlign w:val="bottom"/>
            <w:tcBorders>
              <w:bottom w:val="single" w:sz="8" w:color="216C2B"/>
            </w:tcBorders>
          </w:tcPr>
          <w:p>
            <w:pPr>
              <w:spacing w:after="0"/>
              <w:rPr>
                <w:sz w:val="2"/>
                <w:szCs w:val="2"/>
                <w:color w:val="auto"/>
              </w:rPr>
            </w:pPr>
          </w:p>
        </w:tc>
        <w:tc>
          <w:tcPr>
            <w:tcW w:w="840" w:type="dxa"/>
            <w:vAlign w:val="bottom"/>
            <w:tcBorders>
              <w:bottom w:val="single" w:sz="8" w:color="216C2B"/>
            </w:tcBorders>
          </w:tcPr>
          <w:p>
            <w:pPr>
              <w:spacing w:after="0"/>
              <w:rPr>
                <w:sz w:val="2"/>
                <w:szCs w:val="2"/>
                <w:color w:val="auto"/>
              </w:rPr>
            </w:pPr>
          </w:p>
        </w:tc>
        <w:tc>
          <w:tcPr>
            <w:tcW w:w="2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60" w:type="dxa"/>
            <w:vAlign w:val="bottom"/>
            <w:tcBorders>
              <w:bottom w:val="single" w:sz="8" w:color="216C2B"/>
            </w:tcBorders>
          </w:tcPr>
          <w:p>
            <w:pPr>
              <w:spacing w:after="0"/>
              <w:rPr>
                <w:sz w:val="2"/>
                <w:szCs w:val="2"/>
                <w:color w:val="auto"/>
              </w:rPr>
            </w:pPr>
          </w:p>
        </w:tc>
        <w:tc>
          <w:tcPr>
            <w:tcW w:w="800" w:type="dxa"/>
            <w:vAlign w:val="bottom"/>
            <w:tcBorders>
              <w:bottom w:val="single" w:sz="8" w:color="216C2B"/>
            </w:tcBorders>
          </w:tcPr>
          <w:p>
            <w:pPr>
              <w:spacing w:after="0"/>
              <w:rPr>
                <w:sz w:val="2"/>
                <w:szCs w:val="2"/>
                <w:color w:val="auto"/>
              </w:rPr>
            </w:pPr>
          </w:p>
        </w:tc>
        <w:tc>
          <w:tcPr>
            <w:tcW w:w="280" w:type="dxa"/>
            <w:vAlign w:val="bottom"/>
            <w:tcBorders>
              <w:bottom w:val="single" w:sz="8" w:color="216C2B"/>
            </w:tcBorders>
          </w:tcPr>
          <w:p>
            <w:pPr>
              <w:spacing w:after="0"/>
              <w:rPr>
                <w:sz w:val="2"/>
                <w:szCs w:val="2"/>
                <w:color w:val="auto"/>
              </w:rPr>
            </w:pPr>
          </w:p>
        </w:tc>
        <w:tc>
          <w:tcPr>
            <w:tcW w:w="1440" w:type="dxa"/>
            <w:vAlign w:val="bottom"/>
            <w:tcBorders>
              <w:bottom w:val="single" w:sz="8" w:color="216C2B"/>
            </w:tcBorders>
            <w:gridSpan w:val="3"/>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220" w:type="dxa"/>
            <w:vAlign w:val="bottom"/>
            <w:tcBorders>
              <w:bottom w:val="single" w:sz="8" w:color="216C2B"/>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5"/>
                <w:szCs w:val="15"/>
                <w:b w:val="1"/>
                <w:bCs w:val="1"/>
                <w:color w:val="auto"/>
                <w:w w:val="99"/>
              </w:rPr>
              <w:t>March 31, 2025</w:t>
            </w:r>
          </w:p>
        </w:tc>
        <w:tc>
          <w:tcPr>
            <w:tcW w:w="28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gridSpan w:val="3"/>
          </w:tcPr>
          <w:p>
            <w:pPr>
              <w:ind w:left="120"/>
              <w:spacing w:after="0"/>
              <w:rPr>
                <w:sz w:val="20"/>
                <w:szCs w:val="20"/>
                <w:color w:val="auto"/>
              </w:rPr>
            </w:pPr>
            <w:r>
              <w:rPr>
                <w:rFonts w:ascii="Arial" w:cs="Arial" w:eastAsia="Arial" w:hAnsi="Arial"/>
                <w:sz w:val="15"/>
                <w:szCs w:val="15"/>
                <w:b w:val="1"/>
                <w:bCs w:val="1"/>
                <w:color w:val="auto"/>
                <w:w w:val="96"/>
              </w:rPr>
              <w:t>December 31, 2024</w:t>
            </w: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100" w:type="dxa"/>
            <w:vAlign w:val="bottom"/>
            <w:tcBorders>
              <w:bottom w:val="single" w:sz="8" w:color="2C6937"/>
            </w:tcBorders>
            <w:gridSpan w:val="2"/>
          </w:tcPr>
          <w:p>
            <w:pPr>
              <w:jc w:val="right"/>
              <w:ind w:right="87"/>
              <w:spacing w:after="0"/>
              <w:rPr>
                <w:sz w:val="20"/>
                <w:szCs w:val="20"/>
                <w:color w:val="auto"/>
              </w:rPr>
            </w:pPr>
            <w:r>
              <w:rPr>
                <w:rFonts w:ascii="Arial" w:cs="Arial" w:eastAsia="Arial" w:hAnsi="Arial"/>
                <w:sz w:val="15"/>
                <w:szCs w:val="15"/>
                <w:b w:val="1"/>
                <w:bCs w:val="1"/>
                <w:color w:val="auto"/>
                <w:w w:val="98"/>
              </w:rPr>
              <w:t>Single-family</w:t>
            </w:r>
          </w:p>
        </w:tc>
        <w:tc>
          <w:tcPr>
            <w:tcW w:w="220" w:type="dxa"/>
            <w:vAlign w:val="bottom"/>
            <w:tcBorders>
              <w:bottom w:val="single" w:sz="8" w:color="2C6937"/>
            </w:tcBorders>
          </w:tcPr>
          <w:p>
            <w:pPr>
              <w:spacing w:after="0"/>
              <w:rPr>
                <w:sz w:val="22"/>
                <w:szCs w:val="22"/>
                <w:color w:val="auto"/>
              </w:rPr>
            </w:pPr>
          </w:p>
        </w:tc>
        <w:tc>
          <w:tcPr>
            <w:tcW w:w="1160" w:type="dxa"/>
            <w:vAlign w:val="bottom"/>
            <w:tcBorders>
              <w:bottom w:val="single" w:sz="8" w:color="2C6937"/>
            </w:tcBorders>
            <w:gridSpan w:val="2"/>
          </w:tcPr>
          <w:p>
            <w:pPr>
              <w:jc w:val="right"/>
              <w:ind w:right="207"/>
              <w:spacing w:after="0"/>
              <w:rPr>
                <w:sz w:val="20"/>
                <w:szCs w:val="20"/>
                <w:color w:val="auto"/>
              </w:rPr>
            </w:pPr>
            <w:r>
              <w:rPr>
                <w:rFonts w:ascii="Arial" w:cs="Arial" w:eastAsia="Arial" w:hAnsi="Arial"/>
                <w:sz w:val="15"/>
                <w:szCs w:val="15"/>
                <w:b w:val="1"/>
                <w:bCs w:val="1"/>
                <w:color w:val="auto"/>
              </w:rPr>
              <w:t>Multifamily</w:t>
            </w:r>
          </w:p>
        </w:tc>
        <w:tc>
          <w:tcPr>
            <w:tcW w:w="1660" w:type="dxa"/>
            <w:vAlign w:val="bottom"/>
            <w:tcBorders>
              <w:bottom w:val="single" w:sz="8" w:color="2C6937"/>
            </w:tcBorders>
            <w:gridSpan w:val="5"/>
          </w:tcPr>
          <w:p>
            <w:pPr>
              <w:ind w:left="80"/>
              <w:spacing w:after="0"/>
              <w:rPr>
                <w:sz w:val="20"/>
                <w:szCs w:val="20"/>
                <w:color w:val="auto"/>
              </w:rPr>
            </w:pPr>
            <w:r>
              <w:rPr>
                <w:rFonts w:ascii="Arial" w:cs="Arial" w:eastAsia="Arial" w:hAnsi="Arial"/>
                <w:sz w:val="15"/>
                <w:szCs w:val="15"/>
                <w:b w:val="1"/>
                <w:bCs w:val="1"/>
                <w:color w:val="auto"/>
              </w:rPr>
              <w:t>Consolidated Total</w:t>
            </w:r>
          </w:p>
        </w:tc>
        <w:tc>
          <w:tcPr>
            <w:tcW w:w="1080" w:type="dxa"/>
            <w:vAlign w:val="bottom"/>
            <w:tcBorders>
              <w:bottom w:val="single" w:sz="8" w:color="2C6937"/>
            </w:tcBorders>
            <w:gridSpan w:val="2"/>
          </w:tcPr>
          <w:p>
            <w:pPr>
              <w:jc w:val="right"/>
              <w:ind w:right="87"/>
              <w:spacing w:after="0"/>
              <w:rPr>
                <w:sz w:val="20"/>
                <w:szCs w:val="20"/>
                <w:color w:val="auto"/>
              </w:rPr>
            </w:pPr>
            <w:r>
              <w:rPr>
                <w:rFonts w:ascii="Arial" w:cs="Arial" w:eastAsia="Arial" w:hAnsi="Arial"/>
                <w:sz w:val="15"/>
                <w:szCs w:val="15"/>
                <w:b w:val="1"/>
                <w:bCs w:val="1"/>
                <w:color w:val="auto"/>
                <w:w w:val="96"/>
              </w:rPr>
              <w:t>Single-family</w:t>
            </w:r>
          </w:p>
        </w:tc>
        <w:tc>
          <w:tcPr>
            <w:tcW w:w="280" w:type="dxa"/>
            <w:vAlign w:val="bottom"/>
            <w:tcBorders>
              <w:bottom w:val="single" w:sz="8" w:color="2C6937"/>
            </w:tcBorders>
          </w:tcPr>
          <w:p>
            <w:pPr>
              <w:spacing w:after="0"/>
              <w:rPr>
                <w:sz w:val="22"/>
                <w:szCs w:val="22"/>
                <w:color w:val="auto"/>
              </w:rPr>
            </w:pPr>
          </w:p>
        </w:tc>
        <w:tc>
          <w:tcPr>
            <w:tcW w:w="1160" w:type="dxa"/>
            <w:vAlign w:val="bottom"/>
            <w:tcBorders>
              <w:bottom w:val="single" w:sz="8" w:color="2C6937"/>
            </w:tcBorders>
            <w:gridSpan w:val="2"/>
          </w:tcPr>
          <w:p>
            <w:pPr>
              <w:jc w:val="right"/>
              <w:ind w:right="267"/>
              <w:spacing w:after="0"/>
              <w:rPr>
                <w:sz w:val="20"/>
                <w:szCs w:val="20"/>
                <w:color w:val="auto"/>
              </w:rPr>
            </w:pPr>
            <w:r>
              <w:rPr>
                <w:rFonts w:ascii="Arial" w:cs="Arial" w:eastAsia="Arial" w:hAnsi="Arial"/>
                <w:sz w:val="15"/>
                <w:szCs w:val="15"/>
                <w:b w:val="1"/>
                <w:bCs w:val="1"/>
                <w:color w:val="auto"/>
              </w:rPr>
              <w:t>Multifamily</w:t>
            </w:r>
          </w:p>
        </w:tc>
        <w:tc>
          <w:tcPr>
            <w:tcW w:w="134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b w:val="1"/>
                <w:bCs w:val="1"/>
                <w:color w:val="auto"/>
                <w:w w:val="96"/>
              </w:rPr>
              <w:t>Consolidated Total</w:t>
            </w:r>
          </w:p>
        </w:tc>
        <w:tc>
          <w:tcPr>
            <w:tcW w:w="0" w:type="dxa"/>
            <w:vAlign w:val="bottom"/>
          </w:tcPr>
          <w:p>
            <w:pPr>
              <w:spacing w:after="0"/>
              <w:rPr>
                <w:sz w:val="1"/>
                <w:szCs w:val="1"/>
                <w:color w:val="auto"/>
              </w:rPr>
            </w:pPr>
          </w:p>
        </w:tc>
      </w:tr>
      <w:tr>
        <w:trPr>
          <w:trHeight w:val="193"/>
        </w:trPr>
        <w:tc>
          <w:tcPr>
            <w:tcW w:w="3100" w:type="dxa"/>
            <w:vAlign w:val="bottom"/>
            <w:vMerge w:val="restart"/>
          </w:tcPr>
          <w:p>
            <w:pPr>
              <w:spacing w:after="0"/>
              <w:rPr>
                <w:sz w:val="20"/>
                <w:szCs w:val="20"/>
                <w:color w:val="auto"/>
              </w:rPr>
            </w:pPr>
            <w:r>
              <w:rPr>
                <w:rFonts w:ascii="Arial" w:cs="Arial" w:eastAsia="Arial" w:hAnsi="Arial"/>
                <w:sz w:val="15"/>
                <w:szCs w:val="15"/>
                <w:b w:val="1"/>
                <w:bCs w:val="1"/>
                <w:color w:val="auto"/>
              </w:rPr>
              <w:t>Credit loss reserves as a percentage of:</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5"/>
          </w:tcPr>
          <w:p>
            <w:pPr>
              <w:jc w:val="right"/>
              <w:ind w:right="247"/>
              <w:spacing w:after="0"/>
              <w:rPr>
                <w:sz w:val="20"/>
                <w:szCs w:val="20"/>
                <w:color w:val="auto"/>
              </w:rPr>
            </w:pPr>
            <w:r>
              <w:rPr>
                <w:rFonts w:ascii="Arial" w:cs="Arial" w:eastAsia="Arial" w:hAnsi="Arial"/>
                <w:sz w:val="15"/>
                <w:szCs w:val="15"/>
                <w:b w:val="1"/>
                <w:bCs w:val="1"/>
                <w:color w:val="auto"/>
              </w:rPr>
              <w:t>(Dollars in millions)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Guaranty book of business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0.14</w:t>
            </w:r>
          </w:p>
        </w:tc>
        <w:tc>
          <w:tcPr>
            <w:tcW w:w="260" w:type="dxa"/>
            <w:vAlign w:val="bottom"/>
          </w:tcPr>
          <w:p>
            <w:pPr>
              <w:jc w:val="right"/>
              <w:ind w:right="47"/>
              <w:spacing w:after="0"/>
              <w:rPr>
                <w:sz w:val="20"/>
                <w:szCs w:val="20"/>
                <w:color w:val="auto"/>
              </w:rPr>
            </w:pPr>
            <w:r>
              <w:rPr>
                <w:rFonts w:ascii="Arial" w:cs="Arial" w:eastAsia="Arial" w:hAnsi="Arial"/>
                <w:sz w:val="15"/>
                <w:szCs w:val="15"/>
                <w:b w:val="1"/>
                <w:bCs w:val="1"/>
                <w:color w:val="auto"/>
                <w:w w:val="89"/>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0.47</w:t>
            </w:r>
          </w:p>
        </w:tc>
        <w:tc>
          <w:tcPr>
            <w:tcW w:w="320" w:type="dxa"/>
            <w:vAlign w:val="bottom"/>
          </w:tcPr>
          <w:p>
            <w:pPr>
              <w:jc w:val="right"/>
              <w:ind w:right="87"/>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0.18</w:t>
            </w:r>
          </w:p>
        </w:tc>
        <w:tc>
          <w:tcPr>
            <w:tcW w:w="28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0.15</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0.48</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0.19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Nonaccrual loans at amortized cost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18.64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87.50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24.74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19.95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95.27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26.43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3100" w:type="dxa"/>
            <w:vAlign w:val="bottom"/>
          </w:tcPr>
          <w:p>
            <w:pPr>
              <w:spacing w:after="0"/>
              <w:rPr>
                <w:sz w:val="20"/>
                <w:szCs w:val="20"/>
                <w:color w:val="auto"/>
              </w:rPr>
            </w:pPr>
            <w:r>
              <w:rPr>
                <w:rFonts w:ascii="Arial" w:cs="Arial" w:eastAsia="Arial" w:hAnsi="Arial"/>
                <w:sz w:val="15"/>
                <w:szCs w:val="15"/>
                <w:b w:val="1"/>
                <w:bCs w:val="1"/>
                <w:color w:val="auto"/>
              </w:rPr>
              <w:t>Nonaccrual loans as a percentage of:</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Guaranty book of business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0.77</w:t>
            </w:r>
          </w:p>
        </w:tc>
        <w:tc>
          <w:tcPr>
            <w:tcW w:w="260" w:type="dxa"/>
            <w:vAlign w:val="bottom"/>
          </w:tcPr>
          <w:p>
            <w:pPr>
              <w:jc w:val="right"/>
              <w:ind w:right="47"/>
              <w:spacing w:after="0"/>
              <w:rPr>
                <w:sz w:val="20"/>
                <w:szCs w:val="20"/>
                <w:color w:val="auto"/>
              </w:rPr>
            </w:pPr>
            <w:r>
              <w:rPr>
                <w:rFonts w:ascii="Arial" w:cs="Arial" w:eastAsia="Arial" w:hAnsi="Arial"/>
                <w:sz w:val="15"/>
                <w:szCs w:val="15"/>
                <w:b w:val="1"/>
                <w:bCs w:val="1"/>
                <w:color w:val="auto"/>
                <w:w w:val="89"/>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0.54</w:t>
            </w:r>
          </w:p>
        </w:tc>
        <w:tc>
          <w:tcPr>
            <w:tcW w:w="320" w:type="dxa"/>
            <w:vAlign w:val="bottom"/>
          </w:tcPr>
          <w:p>
            <w:pPr>
              <w:jc w:val="right"/>
              <w:ind w:right="87"/>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0.74</w:t>
            </w:r>
          </w:p>
        </w:tc>
        <w:tc>
          <w:tcPr>
            <w:tcW w:w="28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0.74</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0.50</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0.71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93"/>
        </w:trPr>
        <w:tc>
          <w:tcPr>
            <w:tcW w:w="3100" w:type="dxa"/>
            <w:vAlign w:val="bottom"/>
          </w:tcPr>
          <w:p>
            <w:pPr>
              <w:spacing w:after="0"/>
              <w:rPr>
                <w:sz w:val="20"/>
                <w:szCs w:val="20"/>
                <w:color w:val="auto"/>
              </w:rPr>
            </w:pPr>
            <w:r>
              <w:rPr>
                <w:rFonts w:ascii="Arial" w:cs="Arial" w:eastAsia="Arial" w:hAnsi="Arial"/>
                <w:sz w:val="15"/>
                <w:szCs w:val="15"/>
                <w:b w:val="1"/>
                <w:bCs w:val="1"/>
                <w:color w:val="auto"/>
              </w:rPr>
              <w:t>Select financial information used in</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100" w:type="dxa"/>
            <w:vAlign w:val="bottom"/>
          </w:tcPr>
          <w:p>
            <w:pPr>
              <w:ind w:left="160"/>
              <w:spacing w:after="0"/>
              <w:rPr>
                <w:sz w:val="20"/>
                <w:szCs w:val="20"/>
                <w:color w:val="auto"/>
              </w:rPr>
            </w:pPr>
            <w:r>
              <w:rPr>
                <w:rFonts w:ascii="Arial" w:cs="Arial" w:eastAsia="Arial" w:hAnsi="Arial"/>
                <w:sz w:val="15"/>
                <w:szCs w:val="15"/>
                <w:b w:val="1"/>
                <w:bCs w:val="1"/>
                <w:color w:val="auto"/>
              </w:rPr>
              <w:t>calculating credit ratios: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00" w:type="dxa"/>
            <w:vAlign w:val="bottom"/>
          </w:tcPr>
          <w:p>
            <w:pPr>
              <w:ind w:left="160"/>
              <w:spacing w:after="0"/>
              <w:rPr>
                <w:sz w:val="20"/>
                <w:szCs w:val="20"/>
                <w:color w:val="auto"/>
              </w:rPr>
            </w:pPr>
            <w:r>
              <w:rPr>
                <w:rFonts w:ascii="Arial" w:cs="Arial" w:eastAsia="Arial" w:hAnsi="Arial"/>
                <w:sz w:val="15"/>
                <w:szCs w:val="15"/>
                <w:color w:val="auto"/>
              </w:rPr>
              <w:t>Credit loss reserves</w:t>
            </w:r>
            <w:r>
              <w:rPr>
                <w:rFonts w:ascii="Arial" w:cs="Arial" w:eastAsia="Arial" w:hAnsi="Arial"/>
                <w:sz w:val="18"/>
                <w:szCs w:val="18"/>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(5,189)</w:t>
            </w:r>
          </w:p>
        </w:tc>
        <w:tc>
          <w:tcPr>
            <w:tcW w:w="2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(2,365)</w:t>
            </w:r>
          </w:p>
        </w:tc>
        <w:tc>
          <w:tcPr>
            <w:tcW w:w="32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(7,554)</w:t>
            </w:r>
          </w:p>
        </w:tc>
        <w:tc>
          <w:tcPr>
            <w:tcW w:w="54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(5,332)</w:t>
            </w:r>
          </w:p>
        </w:tc>
        <w:tc>
          <w:tcPr>
            <w:tcW w:w="280" w:type="dxa"/>
            <w:vAlign w:val="bottom"/>
          </w:tcPr>
          <w:p>
            <w:pPr>
              <w:spacing w:after="0"/>
              <w:rPr>
                <w:sz w:val="20"/>
                <w:szCs w:val="20"/>
                <w:color w:val="auto"/>
              </w:rPr>
            </w:pP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(2,398)</w:t>
            </w:r>
          </w:p>
        </w:tc>
        <w:tc>
          <w:tcPr>
            <w:tcW w:w="3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(7,730)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Guaranty book of business</w:t>
            </w:r>
            <w:r>
              <w:rPr>
                <w:rFonts w:ascii="Arial" w:cs="Arial" w:eastAsia="Arial" w:hAnsi="Arial"/>
                <w:sz w:val="18"/>
                <w:szCs w:val="18"/>
                <w:color w:val="auto"/>
                <w:vertAlign w:val="superscript"/>
              </w:rPr>
              <w:t>(2)</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3,602,499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504,529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4,107,028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3,617,267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499,652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4,116,919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100" w:type="dxa"/>
            <w:vAlign w:val="bottom"/>
          </w:tcPr>
          <w:p>
            <w:pPr>
              <w:ind w:left="160"/>
              <w:spacing w:after="0"/>
              <w:rPr>
                <w:sz w:val="20"/>
                <w:szCs w:val="20"/>
                <w:color w:val="auto"/>
              </w:rPr>
            </w:pPr>
            <w:r>
              <w:rPr>
                <w:rFonts w:ascii="Arial" w:cs="Arial" w:eastAsia="Arial" w:hAnsi="Arial"/>
                <w:sz w:val="15"/>
                <w:szCs w:val="15"/>
                <w:color w:val="auto"/>
              </w:rPr>
              <w:t>Nonaccrual loans at amortized cost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27,833</w:t>
            </w:r>
          </w:p>
        </w:tc>
        <w:tc>
          <w:tcPr>
            <w:tcW w:w="2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2,703</w:t>
            </w:r>
          </w:p>
        </w:tc>
        <w:tc>
          <w:tcPr>
            <w:tcW w:w="32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30,536</w:t>
            </w:r>
          </w:p>
        </w:tc>
        <w:tc>
          <w:tcPr>
            <w:tcW w:w="54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26,728</w:t>
            </w:r>
          </w:p>
        </w:tc>
        <w:tc>
          <w:tcPr>
            <w:tcW w:w="280" w:type="dxa"/>
            <w:vAlign w:val="bottom"/>
          </w:tcPr>
          <w:p>
            <w:pPr>
              <w:spacing w:after="0"/>
              <w:rPr>
                <w:sz w:val="19"/>
                <w:szCs w:val="19"/>
                <w:color w:val="auto"/>
              </w:rPr>
            </w:pP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2,517</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29,245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20" w:hanging="217"/>
        <w:spacing w:after="0"/>
        <w:tabs>
          <w:tab w:leader="none" w:pos="2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Credit loss reserves are comprised of our allowance for loan losses, allowance for accrued interest receivable, and reserve for guaranty losses.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Guaranty book of business is as of period end. For single-family, represents the conventional guaranty book of business.</w:t>
      </w:r>
    </w:p>
    <w:p>
      <w:pPr>
        <w:spacing w:after="0" w:line="54" w:lineRule="exact"/>
        <w:rPr>
          <w:sz w:val="20"/>
          <w:szCs w:val="20"/>
          <w:color w:val="auto"/>
        </w:rPr>
      </w:pPr>
    </w:p>
    <w:p>
      <w:pPr>
        <w:ind w:right="780"/>
        <w:spacing w:after="0" w:line="270" w:lineRule="auto"/>
        <w:rPr>
          <w:sz w:val="20"/>
          <w:szCs w:val="20"/>
          <w:color w:val="auto"/>
        </w:rPr>
      </w:pPr>
      <w:r>
        <w:rPr>
          <w:rFonts w:ascii="Arial" w:cs="Arial" w:eastAsia="Arial" w:hAnsi="Arial"/>
          <w:sz w:val="16"/>
          <w:szCs w:val="16"/>
          <w:color w:val="auto"/>
        </w:rPr>
        <w:t>Our credit loss reserves decreased as of March 31, 2025 compared with December 31, 2024 primarily as a result of write-offs on loans for which collectability was no longer reasonably assured. When we record a write-off due to collectability, we reduce the amortized cost of the loan with a corresponding write-off against the allowance for loan losses. This decrease was offset by a modest provision for credit losses during the quarter.</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Write-off Ratio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60" w:type="dxa"/>
            <w:vAlign w:val="bottom"/>
            <w:gridSpan w:val="9"/>
          </w:tcPr>
          <w:p>
            <w:pPr>
              <w:jc w:val="center"/>
              <w:spacing w:after="0"/>
              <w:rPr>
                <w:sz w:val="20"/>
                <w:szCs w:val="20"/>
                <w:color w:val="auto"/>
              </w:rPr>
            </w:pPr>
            <w:r>
              <w:rPr>
                <w:rFonts w:ascii="Arial" w:cs="Arial" w:eastAsia="Arial" w:hAnsi="Arial"/>
                <w:sz w:val="15"/>
                <w:szCs w:val="15"/>
                <w:b w:val="1"/>
                <w:bCs w:val="1"/>
                <w:color w:val="auto"/>
                <w:w w:val="97"/>
              </w:rPr>
              <w:t>For the Three Months Ended March 31,</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20" w:type="dxa"/>
            <w:vAlign w:val="bottom"/>
            <w:tcBorders>
              <w:bottom w:val="single" w:sz="8" w:color="216C2B"/>
            </w:tcBorders>
          </w:tcPr>
          <w:p>
            <w:pPr>
              <w:spacing w:after="0"/>
              <w:rPr>
                <w:sz w:val="2"/>
                <w:szCs w:val="2"/>
                <w:color w:val="auto"/>
              </w:rPr>
            </w:pPr>
          </w:p>
        </w:tc>
        <w:tc>
          <w:tcPr>
            <w:tcW w:w="8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20" w:type="dxa"/>
            <w:vAlign w:val="bottom"/>
            <w:tcBorders>
              <w:bottom w:val="single" w:sz="8" w:color="216C2B"/>
            </w:tcBorders>
          </w:tcPr>
          <w:p>
            <w:pPr>
              <w:spacing w:after="0"/>
              <w:rPr>
                <w:sz w:val="2"/>
                <w:szCs w:val="2"/>
                <w:color w:val="auto"/>
              </w:rPr>
            </w:pPr>
          </w:p>
        </w:tc>
        <w:tc>
          <w:tcPr>
            <w:tcW w:w="6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2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ind w:right="247"/>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10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920" w:type="dxa"/>
            <w:vAlign w:val="bottom"/>
            <w:tcBorders>
              <w:bottom w:val="single" w:sz="8" w:color="2C6937"/>
            </w:tcBorders>
          </w:tcPr>
          <w:p>
            <w:pPr>
              <w:jc w:val="right"/>
              <w:ind w:right="47"/>
              <w:spacing w:after="0"/>
              <w:rPr>
                <w:sz w:val="20"/>
                <w:szCs w:val="20"/>
                <w:color w:val="auto"/>
              </w:rPr>
            </w:pPr>
            <w:r>
              <w:rPr>
                <w:rFonts w:ascii="Arial" w:cs="Arial" w:eastAsia="Arial" w:hAnsi="Arial"/>
                <w:sz w:val="15"/>
                <w:szCs w:val="15"/>
                <w:b w:val="1"/>
                <w:bCs w:val="1"/>
                <w:color w:val="auto"/>
                <w:w w:val="99"/>
              </w:rPr>
              <w:t>Multifamily</w:t>
            </w:r>
          </w:p>
        </w:tc>
        <w:tc>
          <w:tcPr>
            <w:tcW w:w="6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980" w:type="dxa"/>
            <w:vAlign w:val="bottom"/>
            <w:tcBorders>
              <w:bottom w:val="single" w:sz="8" w:color="2C6937"/>
            </w:tcBorders>
            <w:gridSpan w:val="2"/>
          </w:tcPr>
          <w:p>
            <w:pPr>
              <w:ind w:left="140"/>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bottom w:val="single" w:sz="8" w:color="2C6937"/>
            </w:tcBorders>
          </w:tcPr>
          <w:p>
            <w:pPr>
              <w:spacing w:after="0"/>
              <w:rPr>
                <w:sz w:val="22"/>
                <w:szCs w:val="22"/>
                <w:color w:val="auto"/>
              </w:rPr>
            </w:pPr>
          </w:p>
        </w:tc>
        <w:tc>
          <w:tcPr>
            <w:tcW w:w="112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6"/>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credit ratio: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 annualized, as a percentage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3"/>
        </w:trPr>
        <w:tc>
          <w:tcPr>
            <w:tcW w:w="4020" w:type="dxa"/>
            <w:vAlign w:val="bottom"/>
            <w:gridSpan w:val="2"/>
          </w:tcPr>
          <w:p>
            <w:pPr>
              <w:ind w:left="320"/>
              <w:spacing w:after="0"/>
              <w:rPr>
                <w:sz w:val="20"/>
                <w:szCs w:val="20"/>
                <w:color w:val="auto"/>
              </w:rPr>
            </w:pPr>
            <w:r>
              <w:rPr>
                <w:rFonts w:ascii="Arial" w:cs="Arial" w:eastAsia="Arial" w:hAnsi="Arial"/>
                <w:sz w:val="15"/>
                <w:szCs w:val="15"/>
                <w:color w:val="auto"/>
              </w:rPr>
              <w:t>of the average guaranty book of business (in bps)</w:t>
            </w:r>
          </w:p>
        </w:tc>
        <w:tc>
          <w:tcPr>
            <w:tcW w:w="100" w:type="dxa"/>
            <w:vAlign w:val="bottom"/>
          </w:tcPr>
          <w:p>
            <w:pPr>
              <w:spacing w:after="0"/>
              <w:rPr>
                <w:sz w:val="18"/>
                <w:szCs w:val="18"/>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90"/>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financial information used in calculating credit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020" w:type="dxa"/>
            <w:vAlign w:val="bottom"/>
            <w:gridSpan w:val="2"/>
          </w:tcPr>
          <w:p>
            <w:pPr>
              <w:ind w:left="180"/>
              <w:spacing w:after="0"/>
              <w:rPr>
                <w:sz w:val="20"/>
                <w:szCs w:val="20"/>
                <w:color w:val="auto"/>
              </w:rPr>
            </w:pPr>
            <w:r>
              <w:rPr>
                <w:rFonts w:ascii="Arial" w:cs="Arial" w:eastAsia="Arial" w:hAnsi="Arial"/>
                <w:sz w:val="15"/>
                <w:szCs w:val="15"/>
                <w:b w:val="1"/>
                <w:bCs w:val="1"/>
                <w:color w:val="auto"/>
              </w:rPr>
              <w:t>ratio: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8"/>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191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61</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252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133</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250</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w:t>
            </w: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b w:val="1"/>
                <w:bCs w:val="1"/>
                <w:color w:val="auto"/>
              </w:rPr>
              <w:t>(28)</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(61)</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(80)</w:t>
            </w:r>
          </w:p>
        </w:tc>
      </w:tr>
      <w:tr>
        <w:trPr>
          <w:trHeight w:val="22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158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33</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191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170</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r>
      <w:tr>
        <w:trPr>
          <w:trHeight w:val="254"/>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3,609,883</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502,090</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4,111,973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3,631,184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473,665</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4,104,849</w:t>
            </w:r>
          </w:p>
        </w:tc>
      </w:tr>
    </w:tbl>
    <w:p>
      <w:pPr>
        <w:spacing w:after="0" w:line="65" w:lineRule="exact"/>
        <w:rPr>
          <w:sz w:val="20"/>
          <w:szCs w:val="20"/>
          <w:color w:val="auto"/>
        </w:rPr>
      </w:pPr>
    </w:p>
    <w:p>
      <w:pPr>
        <w:ind w:left="220" w:hanging="217"/>
        <w:spacing w:after="0"/>
        <w:tabs>
          <w:tab w:leader="none" w:pos="2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For single-family, also includes any write-offs upon the redesignation of mortgage loans from HFI to HFS.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Average guaranty book of business is based on the average of quarter-end balances.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2" w:name="page43"/>
    <w:bookmarkEnd w:id="42"/>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Liquidity Management</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This section supplements and updates information regarding liquidity management in our 2024 Form 10-K. See “MD&amp;A—Liquidity and Capital Management —Liquidity Management” in our 2024 Form 10-K for additional information, including discussions of our primary sources and uses of funds, our liquidity risk management practices and contingency planning, our liquidity requirements, factors that influence our debt funding activity, factors that may impact our access to or the cost of our debt funding and factors that could adversely affect our liquidity and funding. As of March 31, 2025, we were in compliance with all four components of the liquidity requirements outlined in our 2024 Form 10-K. Also see “Risk Factors—Liquidity Risk” in our 2024 Form 10-K for a discussion of liquidity risks.</w:t>
      </w:r>
    </w:p>
    <w:p>
      <w:pPr>
        <w:spacing w:after="0" w:line="13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Debt Funding</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unpaid principal balance of our aggregate indebtedness was $140.1 billion as of March 31, 2025. Pursuant to the terms of the senior preferred stock purchase agreement with Treasury, we are prohibited from issuing debt without the prior consent of Treasury if it would result in our aggregate indebtedness exceeding our outstanding debt limit, which is set to $270 billion. The calculation of our indebtedness for purposes of complying with our debt limit reflects the unpaid principal balance and excludes debt basis adjustments and debt of consolidated trusts.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Outstanding Debt</w:t>
      </w:r>
    </w:p>
    <w:p>
      <w:pPr>
        <w:spacing w:after="0" w:line="67"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Total outstanding debt of Fannie Mae includes short-term and long-term debt and excludes debt of consolidated trusts. Short-term debt of Fannie Mae consists of borrowings with an original contractual maturity of one year or less and, therefore, does not include the current portion of long-term debt. Long-term debt of Fannie Mae consists of borrowings with an original contractual maturity of greater than one year.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and table display information on our outstanding short-term and long-term debt based on original contractual maturity.</w:t>
      </w:r>
    </w:p>
    <w:p>
      <w:pPr>
        <w:spacing w:after="0" w:line="88" w:lineRule="exact"/>
        <w:rPr>
          <w:sz w:val="20"/>
          <w:szCs w:val="20"/>
          <w:color w:val="auto"/>
        </w:rPr>
      </w:pPr>
    </w:p>
    <w:p>
      <w:pPr>
        <w:ind w:left="4600"/>
        <w:spacing w:after="0"/>
        <w:rPr>
          <w:sz w:val="20"/>
          <w:szCs w:val="20"/>
          <w:color w:val="auto"/>
        </w:rPr>
      </w:pPr>
      <w:r>
        <w:rPr>
          <w:rFonts w:ascii="Georgia" w:cs="Georgia" w:eastAsia="Georgia" w:hAnsi="Georgia"/>
          <w:sz w:val="19"/>
          <w:szCs w:val="19"/>
          <w:b w:val="1"/>
          <w:bCs w:val="1"/>
          <w:color w:val="05314D"/>
        </w:rPr>
        <w:t>Debt of Fannie Mae</w:t>
      </w:r>
      <w:r>
        <w:rPr>
          <w:rFonts w:ascii="Georgia" w:cs="Georgia" w:eastAsia="Georgia" w:hAnsi="Georgia"/>
          <w:sz w:val="24"/>
          <w:szCs w:val="24"/>
          <w:b w:val="1"/>
          <w:bCs w:val="1"/>
          <w:color w:val="05314D"/>
          <w:vertAlign w:val="superscript"/>
        </w:rPr>
        <w:t>(1</w:t>
      </w:r>
      <w:r>
        <w:rPr>
          <w:rFonts w:ascii="Georgia" w:cs="Georgia" w:eastAsia="Georgia" w:hAnsi="Georgia"/>
          <w:sz w:val="24"/>
          <w:szCs w:val="24"/>
          <w:b w:val="1"/>
          <w:bCs w:val="1"/>
          <w:color w:val="000000"/>
          <w:vertAlign w:val="superscript"/>
        </w:rPr>
        <w:t>)</w:t>
      </w:r>
    </w:p>
    <w:p>
      <w:pPr>
        <w:ind w:left="4660"/>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7620</wp:posOffset>
            </wp:positionV>
            <wp:extent cx="4886960" cy="23983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86960" cy="239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08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maturing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08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excluding portion maturing within one year</w:t>
      </w:r>
    </w:p>
    <w:p>
      <w:pPr>
        <w:spacing w:after="0" w:line="155" w:lineRule="exact"/>
        <w:rPr>
          <w:sz w:val="20"/>
          <w:szCs w:val="20"/>
          <w:color w:val="auto"/>
        </w:rPr>
      </w:pPr>
    </w:p>
    <w:p>
      <w:pPr>
        <w:ind w:left="240" w:right="540" w:hanging="237"/>
        <w:spacing w:after="0" w:line="228" w:lineRule="auto"/>
        <w:tabs>
          <w:tab w:leader="none" w:pos="233"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 Reported amounts include net discount unamortized cost basis adjustments and fair value adjustments of $3.2 billion and $3.7 billion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3" w:name="page44"/>
    <w:bookmarkEnd w:id="43"/>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Selected Debt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Borders>
              <w:top w:val="single" w:sz="8" w:color="2C6937"/>
            </w:tcBorders>
          </w:tcPr>
          <w:p>
            <w:pPr>
              <w:spacing w:after="0"/>
              <w:rPr>
                <w:sz w:val="18"/>
                <w:szCs w:val="18"/>
                <w:color w:val="auto"/>
              </w:rPr>
            </w:pPr>
          </w:p>
        </w:tc>
        <w:tc>
          <w:tcPr>
            <w:tcW w:w="200" w:type="dxa"/>
            <w:vAlign w:val="bottom"/>
            <w:tcBorders>
              <w:top w:val="single" w:sz="8" w:color="2C6937"/>
            </w:tcBorders>
          </w:tcPr>
          <w:p>
            <w:pPr>
              <w:spacing w:after="0"/>
              <w:rPr>
                <w:sz w:val="18"/>
                <w:szCs w:val="18"/>
                <w:color w:val="auto"/>
              </w:rPr>
            </w:pPr>
          </w:p>
        </w:tc>
        <w:tc>
          <w:tcPr>
            <w:tcW w:w="280" w:type="dxa"/>
            <w:vAlign w:val="bottom"/>
            <w:tcBorders>
              <w:top w:val="single" w:sz="8" w:color="2C6937"/>
              <w:bottom w:val="single" w:sz="8" w:color="2C6937"/>
            </w:tcBorders>
          </w:tcPr>
          <w:p>
            <w:pPr>
              <w:spacing w:after="0"/>
              <w:rPr>
                <w:sz w:val="18"/>
                <w:szCs w:val="18"/>
                <w:color w:val="auto"/>
              </w:rPr>
            </w:pPr>
          </w:p>
        </w:tc>
        <w:tc>
          <w:tcPr>
            <w:tcW w:w="1460" w:type="dxa"/>
            <w:vAlign w:val="bottom"/>
            <w:tcBorders>
              <w:top w:val="single" w:sz="8" w:color="2C6937"/>
              <w:bottom w:val="single" w:sz="8" w:color="2C6937"/>
            </w:tcBorders>
          </w:tcPr>
          <w:p>
            <w:pPr>
              <w:spacing w:after="0"/>
              <w:rPr>
                <w:sz w:val="18"/>
                <w:szCs w:val="18"/>
                <w:color w:val="auto"/>
              </w:rPr>
            </w:pPr>
          </w:p>
        </w:tc>
        <w:tc>
          <w:tcPr>
            <w:tcW w:w="460" w:type="dxa"/>
            <w:vAlign w:val="bottom"/>
            <w:tcBorders>
              <w:top w:val="single" w:sz="8" w:color="2C6937"/>
              <w:bottom w:val="single" w:sz="8" w:color="2C6937"/>
            </w:tcBorders>
          </w:tcPr>
          <w:p>
            <w:pPr>
              <w:jc w:val="right"/>
              <w:ind w:right="27"/>
              <w:spacing w:after="0"/>
              <w:rPr>
                <w:sz w:val="20"/>
                <w:szCs w:val="20"/>
                <w:color w:val="auto"/>
              </w:rPr>
            </w:pPr>
            <w:r>
              <w:rPr>
                <w:rFonts w:ascii="Arial" w:cs="Arial" w:eastAsia="Arial" w:hAnsi="Arial"/>
                <w:sz w:val="14"/>
                <w:szCs w:val="14"/>
                <w:b w:val="1"/>
                <w:bCs w:val="1"/>
                <w:color w:val="auto"/>
                <w:w w:val="97"/>
              </w:rPr>
              <w:t>As of</w:t>
            </w:r>
          </w:p>
        </w:tc>
        <w:tc>
          <w:tcPr>
            <w:tcW w:w="1640" w:type="dxa"/>
            <w:vAlign w:val="bottom"/>
            <w:tcBorders>
              <w:top w:val="single" w:sz="8" w:color="2C6937"/>
              <w:bottom w:val="single" w:sz="8" w:color="2C6937"/>
            </w:tcBorders>
          </w:tcPr>
          <w:p>
            <w:pPr>
              <w:spacing w:after="0"/>
              <w:rPr>
                <w:sz w:val="18"/>
                <w:szCs w:val="18"/>
                <w:color w:val="auto"/>
              </w:rPr>
            </w:pPr>
          </w:p>
        </w:tc>
      </w:tr>
      <w:tr>
        <w:trPr>
          <w:trHeight w:val="186"/>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rPr>
              <w:t>March 31, 2025</w:t>
            </w:r>
          </w:p>
        </w:tc>
        <w:tc>
          <w:tcPr>
            <w:tcW w:w="460" w:type="dxa"/>
            <w:vAlign w:val="bottom"/>
            <w:tcBorders>
              <w:bottom w:val="single" w:sz="8" w:color="2C6937"/>
            </w:tcBorders>
          </w:tcPr>
          <w:p>
            <w:pPr>
              <w:spacing w:after="0"/>
              <w:rPr>
                <w:sz w:val="16"/>
                <w:szCs w:val="16"/>
                <w:color w:val="auto"/>
              </w:rPr>
            </w:pPr>
          </w:p>
        </w:tc>
        <w:tc>
          <w:tcPr>
            <w:tcW w:w="164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2024</w:t>
            </w:r>
          </w:p>
        </w:tc>
      </w:tr>
      <w:tr>
        <w:trPr>
          <w:trHeight w:val="185"/>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gridSpan w:val="3"/>
          </w:tcPr>
          <w:p>
            <w:pPr>
              <w:jc w:val="right"/>
              <w:ind w:right="1224"/>
              <w:spacing w:after="0"/>
              <w:rPr>
                <w:sz w:val="20"/>
                <w:szCs w:val="20"/>
                <w:color w:val="auto"/>
              </w:rPr>
            </w:pPr>
            <w:r>
              <w:rPr>
                <w:rFonts w:ascii="Arial" w:cs="Arial" w:eastAsia="Arial" w:hAnsi="Arial"/>
                <w:sz w:val="14"/>
                <w:szCs w:val="14"/>
                <w:b w:val="1"/>
                <w:bCs w:val="1"/>
                <w:color w:val="auto"/>
              </w:rPr>
              <w:t>(Dollars in billions)</w:t>
            </w:r>
          </w:p>
        </w:tc>
      </w:tr>
      <w:tr>
        <w:trPr>
          <w:trHeight w:val="208"/>
        </w:trPr>
        <w:tc>
          <w:tcPr>
            <w:tcW w:w="72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Selected Weighted-Average Interest Rates</w:t>
            </w:r>
            <w:r>
              <w:rPr>
                <w:rFonts w:ascii="Arial" w:cs="Arial" w:eastAsia="Arial" w:hAnsi="Arial"/>
                <w:sz w:val="20"/>
                <w:szCs w:val="20"/>
                <w:b w:val="1"/>
                <w:bCs w:val="1"/>
                <w:color w:val="auto"/>
                <w:vertAlign w:val="superscript"/>
              </w:rPr>
              <w:t>(1)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short-term debt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gridSpan w:val="2"/>
          </w:tcPr>
          <w:p>
            <w:pPr>
              <w:jc w:val="right"/>
              <w:ind w:right="227"/>
              <w:spacing w:after="0"/>
              <w:rPr>
                <w:sz w:val="20"/>
                <w:szCs w:val="20"/>
                <w:color w:val="auto"/>
              </w:rPr>
            </w:pPr>
            <w:r>
              <w:rPr>
                <w:rFonts w:ascii="Arial" w:cs="Arial" w:eastAsia="Arial" w:hAnsi="Arial"/>
                <w:sz w:val="15"/>
                <w:szCs w:val="15"/>
                <w:b w:val="1"/>
                <w:bCs w:val="1"/>
                <w:color w:val="auto"/>
              </w:rPr>
              <w:t>4.08 %</w:t>
            </w:r>
          </w:p>
        </w:tc>
        <w:tc>
          <w:tcPr>
            <w:tcW w:w="1640" w:type="dxa"/>
            <w:vAlign w:val="bottom"/>
          </w:tcPr>
          <w:p>
            <w:pPr>
              <w:jc w:val="right"/>
              <w:spacing w:after="0"/>
              <w:rPr>
                <w:sz w:val="20"/>
                <w:szCs w:val="20"/>
                <w:color w:val="auto"/>
              </w:rPr>
            </w:pPr>
            <w:r>
              <w:rPr>
                <w:rFonts w:ascii="Arial" w:cs="Arial" w:eastAsia="Arial" w:hAnsi="Arial"/>
                <w:sz w:val="15"/>
                <w:szCs w:val="15"/>
                <w:color w:val="auto"/>
              </w:rPr>
              <w:t>4.33 %</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long-term debt, including portion maturing within one year</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3.33</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3.30</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callable debt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2.94</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2.83</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Selected Maturity Data</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within one year (in days)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114</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160</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in more than one year (in months)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41</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43</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line="198" w:lineRule="exact"/>
              <w:rPr>
                <w:sz w:val="20"/>
                <w:szCs w:val="20"/>
                <w:color w:val="auto"/>
              </w:rPr>
            </w:pPr>
            <w:r>
              <w:rPr>
                <w:rFonts w:ascii="Arial" w:cs="Arial" w:eastAsia="Arial" w:hAnsi="Arial"/>
                <w:sz w:val="15"/>
                <w:szCs w:val="15"/>
                <w:color w:val="auto"/>
              </w:rPr>
              <w:t>Outstanding callable debt</w:t>
            </w:r>
            <w:r>
              <w:rPr>
                <w:rFonts w:ascii="Arial" w:cs="Arial" w:eastAsia="Arial" w:hAnsi="Arial"/>
                <w:sz w:val="20"/>
                <w:szCs w:val="20"/>
                <w:color w:val="auto"/>
                <w:vertAlign w:val="superscript"/>
              </w:rPr>
              <w:t>(2)</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41.8</w:t>
            </w: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41.0</w:t>
            </w:r>
          </w:p>
        </w:tc>
      </w:tr>
      <w:tr>
        <w:trPr>
          <w:trHeight w:val="273"/>
        </w:trPr>
        <w:tc>
          <w:tcPr>
            <w:tcW w:w="7200" w:type="dxa"/>
            <w:vAlign w:val="bottom"/>
          </w:tcPr>
          <w:p>
            <w:pPr>
              <w:ind w:left="180"/>
              <w:spacing w:after="0"/>
              <w:rPr>
                <w:sz w:val="20"/>
                <w:szCs w:val="20"/>
                <w:color w:val="auto"/>
              </w:rPr>
            </w:pPr>
            <w:r>
              <w:rPr>
                <w:rFonts w:ascii="Arial" w:cs="Arial" w:eastAsia="Arial" w:hAnsi="Arial"/>
                <w:sz w:val="15"/>
                <w:szCs w:val="15"/>
                <w:color w:val="auto"/>
              </w:rPr>
              <w:t>Connecticut Avenue Securities debt</w:t>
            </w:r>
            <w:r>
              <w:rPr>
                <w:rFonts w:ascii="Arial" w:cs="Arial" w:eastAsia="Arial" w:hAnsi="Arial"/>
                <w:sz w:val="20"/>
                <w:szCs w:val="20"/>
                <w:color w:val="auto"/>
                <w:vertAlign w:val="superscript"/>
              </w:rPr>
              <w:t>(3)</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460" w:type="dxa"/>
            <w:vAlign w:val="bottom"/>
          </w:tcPr>
          <w:p>
            <w:pPr>
              <w:spacing w:after="0"/>
              <w:rPr>
                <w:sz w:val="23"/>
                <w:szCs w:val="23"/>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2.1</w:t>
            </w:r>
          </w:p>
        </w:tc>
      </w:tr>
    </w:tbl>
    <w:p>
      <w:pPr>
        <w:spacing w:after="0" w:line="29" w:lineRule="exact"/>
        <w:rPr>
          <w:sz w:val="20"/>
          <w:szCs w:val="20"/>
          <w:color w:val="auto"/>
        </w:rPr>
      </w:pPr>
    </w:p>
    <w:p>
      <w:pPr>
        <w:ind w:left="220" w:hanging="217"/>
        <w:spacing w:after="0"/>
        <w:tabs>
          <w:tab w:leader="none" w:pos="22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Includes no short-term callable debt as of March 31, 2025 and $95 million as of December 31, 2024.</w:t>
      </w:r>
    </w:p>
    <w:p>
      <w:pPr>
        <w:spacing w:after="0" w:line="25" w:lineRule="exact"/>
        <w:rPr>
          <w:rFonts w:ascii="Arial" w:cs="Arial" w:eastAsia="Arial" w:hAnsi="Arial"/>
          <w:sz w:val="18"/>
          <w:szCs w:val="18"/>
          <w:color w:val="auto"/>
          <w:vertAlign w:val="superscript"/>
        </w:rPr>
      </w:pPr>
    </w:p>
    <w:p>
      <w:pPr>
        <w:ind w:left="240" w:right="460" w:hanging="237"/>
        <w:spacing w:after="0" w:line="280" w:lineRule="auto"/>
        <w:tabs>
          <w:tab w:leader="none" w:pos="233" w:val="left"/>
        </w:tabs>
        <w:numPr>
          <w:ilvl w:val="0"/>
          <w:numId w:val="41"/>
        </w:numPr>
        <w:rPr>
          <w:rFonts w:ascii="Arial" w:cs="Arial" w:eastAsia="Arial" w:hAnsi="Arial"/>
          <w:sz w:val="9"/>
          <w:szCs w:val="9"/>
          <w:color w:val="auto"/>
        </w:rPr>
      </w:pPr>
      <w:r>
        <w:rPr>
          <w:rFonts w:ascii="Arial" w:cs="Arial" w:eastAsia="Arial" w:hAnsi="Arial"/>
          <w:sz w:val="13"/>
          <w:szCs w:val="13"/>
          <w:color w:val="auto"/>
        </w:rPr>
        <w:t>Represents CAS debt issued prior to November 2018. See “MD&amp;A—Single-Family Business—Single-Family Mortgage Credit Risk Management—Single-Family Credit Enhancement and Transfer of Mortgage Credit Risk—Credit Risk Transfer Transactions” in our 2024 Form 10-K for information regarding our Connecticut Avenue Securities</w:t>
      </w:r>
      <w:r>
        <w:rPr>
          <w:rFonts w:ascii="Arial" w:cs="Arial" w:eastAsia="Arial" w:hAnsi="Arial"/>
          <w:sz w:val="16"/>
          <w:szCs w:val="16"/>
          <w:color w:val="auto"/>
          <w:vertAlign w:val="superscript"/>
        </w:rPr>
        <w:t>®</w:t>
      </w:r>
      <w:r>
        <w:rPr>
          <w:rFonts w:ascii="Arial" w:cs="Arial" w:eastAsia="Arial" w:hAnsi="Arial"/>
          <w:sz w:val="13"/>
          <w:szCs w:val="13"/>
          <w:color w:val="auto"/>
        </w:rPr>
        <w:t>.</w:t>
      </w:r>
    </w:p>
    <w:p>
      <w:pPr>
        <w:spacing w:after="0" w:line="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We intend to repay our short-term and long-term debt obligations as they become due primarily through cash from business operations, the sale of assets in our corporate liquidity portfolio and the issuance of additional debt securities.</w:t>
      </w:r>
    </w:p>
    <w:p>
      <w:pPr>
        <w:spacing w:after="0" w:line="19"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For information on the maturity profile of our outstanding long-term debt, see “Note 8, Short-Term and Long-Term Debt” in this report and in our 2024 Form 10-K.</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4" w:name="page45"/>
    <w:bookmarkEnd w:id="44"/>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Debt Funding Activity</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activity in debt of Fannie Mae. This activity excludes the debt of consolidated trusts and intraday borrowing. The reported amounts of debt issued and paid off during each period represent the face amount of the debt at issuance and redemption.</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01543"/>
        </w:rPr>
        <w:t>Activity in Debt of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22225</wp:posOffset>
            </wp:positionV>
            <wp:extent cx="711390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800" w:type="dxa"/>
            <w:vAlign w:val="bottom"/>
            <w:tcBorders>
              <w:bottom w:val="single" w:sz="8" w:color="2C6937"/>
            </w:tcBorders>
            <w:gridSpan w:val="4"/>
          </w:tcPr>
          <w:p>
            <w:pPr>
              <w:jc w:val="right"/>
              <w:ind w:right="143"/>
              <w:spacing w:after="0"/>
              <w:rPr>
                <w:sz w:val="20"/>
                <w:szCs w:val="20"/>
                <w:color w:val="auto"/>
              </w:rPr>
            </w:pPr>
            <w:r>
              <w:rPr>
                <w:rFonts w:ascii="Arial" w:cs="Arial" w:eastAsia="Arial" w:hAnsi="Arial"/>
                <w:sz w:val="14"/>
                <w:szCs w:val="14"/>
                <w:b w:val="1"/>
                <w:bCs w:val="1"/>
                <w:color w:val="auto"/>
                <w:w w:val="99"/>
              </w:rPr>
              <w:t>For the Three Months Ended March 31,</w:t>
            </w:r>
          </w:p>
        </w:tc>
      </w:tr>
      <w:tr>
        <w:trPr>
          <w:trHeight w:val="186"/>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tcPr>
          <w:p>
            <w:pPr>
              <w:jc w:val="right"/>
              <w:ind w:right="50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5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503"/>
              <w:spacing w:after="0"/>
              <w:rPr>
                <w:sz w:val="20"/>
                <w:szCs w:val="20"/>
                <w:color w:val="auto"/>
              </w:rPr>
            </w:pPr>
            <w:r>
              <w:rPr>
                <w:rFonts w:ascii="Arial" w:cs="Arial" w:eastAsia="Arial" w:hAnsi="Arial"/>
                <w:sz w:val="14"/>
                <w:szCs w:val="14"/>
                <w:b w:val="1"/>
                <w:bCs w:val="1"/>
                <w:color w:val="auto"/>
                <w:w w:val="89"/>
              </w:rPr>
              <w:t>2024</w:t>
            </w:r>
          </w:p>
        </w:tc>
      </w:tr>
      <w:tr>
        <w:trPr>
          <w:trHeight w:val="173"/>
        </w:trPr>
        <w:tc>
          <w:tcPr>
            <w:tcW w:w="8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0"/>
              </w:rPr>
              <w:t>millions)</w:t>
            </w:r>
          </w:p>
        </w:tc>
        <w:tc>
          <w:tcPr>
            <w:tcW w:w="880" w:type="dxa"/>
            <w:vAlign w:val="bottom"/>
          </w:tcPr>
          <w:p>
            <w:pPr>
              <w:spacing w:after="0"/>
              <w:rPr>
                <w:sz w:val="15"/>
                <w:szCs w:val="15"/>
                <w:color w:val="auto"/>
              </w:rPr>
            </w:pPr>
          </w:p>
        </w:tc>
      </w:tr>
      <w:tr>
        <w:trPr>
          <w:trHeight w:val="208"/>
        </w:trPr>
        <w:tc>
          <w:tcPr>
            <w:tcW w:w="816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Issued during the period: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8"/>
        </w:trPr>
        <w:tc>
          <w:tcPr>
            <w:tcW w:w="8160" w:type="dxa"/>
            <w:vAlign w:val="bottom"/>
          </w:tcPr>
          <w:p>
            <w:pPr>
              <w:ind w:left="180"/>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44"/>
              <w:spacing w:after="0"/>
              <w:rPr>
                <w:sz w:val="20"/>
                <w:szCs w:val="20"/>
                <w:color w:val="auto"/>
              </w:rPr>
            </w:pPr>
            <w:r>
              <w:rPr>
                <w:rFonts w:ascii="Arial" w:cs="Arial" w:eastAsia="Arial" w:hAnsi="Arial"/>
                <w:sz w:val="15"/>
                <w:szCs w:val="15"/>
                <w:b w:val="1"/>
                <w:bCs w:val="1"/>
                <w:color w:val="auto"/>
              </w:rPr>
              <w:t>84,128</w:t>
            </w:r>
          </w:p>
        </w:tc>
        <w:tc>
          <w:tcPr>
            <w:tcW w:w="1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79,501</w:t>
            </w:r>
          </w:p>
        </w:tc>
      </w:tr>
      <w:tr>
        <w:trPr>
          <w:trHeight w:val="208"/>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4.28 %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5.28 %</w:t>
            </w:r>
          </w:p>
        </w:tc>
      </w:tr>
      <w:tr>
        <w:trPr>
          <w:trHeight w:val="204"/>
        </w:trPr>
        <w:tc>
          <w:tcPr>
            <w:tcW w:w="8160" w:type="dxa"/>
            <w:vAlign w:val="bottom"/>
          </w:tcPr>
          <w:p>
            <w:pPr>
              <w:ind w:left="180"/>
              <w:spacing w:after="0"/>
              <w:rPr>
                <w:sz w:val="20"/>
                <w:szCs w:val="20"/>
                <w:color w:val="auto"/>
              </w:rPr>
            </w:pPr>
            <w:r>
              <w:rPr>
                <w:rFonts w:ascii="Arial" w:cs="Arial" w:eastAsia="Arial" w:hAnsi="Arial"/>
                <w:sz w:val="15"/>
                <w:szCs w:val="15"/>
                <w:color w:val="auto"/>
              </w:rPr>
              <w:t>Long-term: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44"/>
              <w:spacing w:after="0"/>
              <w:rPr>
                <w:sz w:val="20"/>
                <w:szCs w:val="20"/>
                <w:color w:val="auto"/>
              </w:rPr>
            </w:pPr>
            <w:r>
              <w:rPr>
                <w:rFonts w:ascii="Arial" w:cs="Arial" w:eastAsia="Arial" w:hAnsi="Arial"/>
                <w:sz w:val="15"/>
                <w:szCs w:val="15"/>
                <w:b w:val="1"/>
                <w:bCs w:val="1"/>
                <w:color w:val="auto"/>
              </w:rPr>
              <w:t>5,804</w:t>
            </w:r>
          </w:p>
        </w:tc>
        <w:tc>
          <w:tcPr>
            <w:tcW w:w="1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3,992</w:t>
            </w:r>
          </w:p>
        </w:tc>
      </w:tr>
      <w:tr>
        <w:trPr>
          <w:trHeight w:val="208"/>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4.96 %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4.93 %</w:t>
            </w:r>
          </w:p>
        </w:tc>
      </w:tr>
      <w:tr>
        <w:trPr>
          <w:trHeight w:val="204"/>
        </w:trPr>
        <w:tc>
          <w:tcPr>
            <w:tcW w:w="8160" w:type="dxa"/>
            <w:vAlign w:val="bottom"/>
          </w:tcPr>
          <w:p>
            <w:pPr>
              <w:ind w:left="180"/>
              <w:spacing w:after="0"/>
              <w:rPr>
                <w:sz w:val="20"/>
                <w:szCs w:val="20"/>
                <w:color w:val="auto"/>
              </w:rPr>
            </w:pPr>
            <w:r>
              <w:rPr>
                <w:rFonts w:ascii="Arial" w:cs="Arial" w:eastAsia="Arial" w:hAnsi="Arial"/>
                <w:sz w:val="15"/>
                <w:szCs w:val="15"/>
                <w:color w:val="auto"/>
              </w:rPr>
              <w:t>Total issued: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44"/>
              <w:spacing w:after="0"/>
              <w:rPr>
                <w:sz w:val="20"/>
                <w:szCs w:val="20"/>
                <w:color w:val="auto"/>
              </w:rPr>
            </w:pPr>
            <w:r>
              <w:rPr>
                <w:rFonts w:ascii="Arial" w:cs="Arial" w:eastAsia="Arial" w:hAnsi="Arial"/>
                <w:sz w:val="15"/>
                <w:szCs w:val="15"/>
                <w:b w:val="1"/>
                <w:bCs w:val="1"/>
                <w:color w:val="auto"/>
              </w:rPr>
              <w:t>89,932</w:t>
            </w:r>
          </w:p>
        </w:tc>
        <w:tc>
          <w:tcPr>
            <w:tcW w:w="1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83,493</w:t>
            </w:r>
          </w:p>
        </w:tc>
      </w:tr>
      <w:tr>
        <w:trPr>
          <w:trHeight w:val="206"/>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4.32 %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5.26 %</w:t>
            </w:r>
          </w:p>
        </w:tc>
      </w:tr>
      <w:tr>
        <w:trPr>
          <w:trHeight w:val="208"/>
        </w:trPr>
        <w:tc>
          <w:tcPr>
            <w:tcW w:w="81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Paid off during the period:</w:t>
            </w:r>
            <w:r>
              <w:rPr>
                <w:rFonts w:ascii="Arial" w:cs="Arial" w:eastAsia="Arial" w:hAnsi="Arial"/>
                <w:sz w:val="20"/>
                <w:szCs w:val="20"/>
                <w:color w:val="auto"/>
                <w:vertAlign w:val="superscript"/>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8"/>
        </w:trPr>
        <w:tc>
          <w:tcPr>
            <w:tcW w:w="8160" w:type="dxa"/>
            <w:vAlign w:val="bottom"/>
          </w:tcPr>
          <w:p>
            <w:pPr>
              <w:ind w:left="180"/>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44"/>
              <w:spacing w:after="0"/>
              <w:rPr>
                <w:sz w:val="20"/>
                <w:szCs w:val="20"/>
                <w:color w:val="auto"/>
              </w:rPr>
            </w:pPr>
            <w:r>
              <w:rPr>
                <w:rFonts w:ascii="Arial" w:cs="Arial" w:eastAsia="Arial" w:hAnsi="Arial"/>
                <w:sz w:val="15"/>
                <w:szCs w:val="15"/>
                <w:b w:val="1"/>
                <w:bCs w:val="1"/>
                <w:color w:val="auto"/>
              </w:rPr>
              <w:t>84,271</w:t>
            </w:r>
          </w:p>
        </w:tc>
        <w:tc>
          <w:tcPr>
            <w:tcW w:w="1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82,564</w:t>
            </w:r>
          </w:p>
        </w:tc>
      </w:tr>
      <w:tr>
        <w:trPr>
          <w:trHeight w:val="208"/>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4.29 %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4.70 %</w:t>
            </w:r>
          </w:p>
        </w:tc>
      </w:tr>
      <w:tr>
        <w:trPr>
          <w:trHeight w:val="204"/>
        </w:trPr>
        <w:tc>
          <w:tcPr>
            <w:tcW w:w="8160" w:type="dxa"/>
            <w:vAlign w:val="bottom"/>
          </w:tcPr>
          <w:p>
            <w:pPr>
              <w:ind w:left="180"/>
              <w:spacing w:after="0" w:line="205" w:lineRule="exact"/>
              <w:rPr>
                <w:sz w:val="20"/>
                <w:szCs w:val="20"/>
                <w:color w:val="auto"/>
              </w:rPr>
            </w:pPr>
            <w:r>
              <w:rPr>
                <w:rFonts w:ascii="Arial" w:cs="Arial" w:eastAsia="Arial" w:hAnsi="Arial"/>
                <w:sz w:val="15"/>
                <w:szCs w:val="15"/>
                <w:color w:val="auto"/>
              </w:rPr>
              <w:t>Long-term:</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44"/>
              <w:spacing w:after="0"/>
              <w:rPr>
                <w:sz w:val="20"/>
                <w:szCs w:val="20"/>
                <w:color w:val="auto"/>
              </w:rPr>
            </w:pPr>
            <w:r>
              <w:rPr>
                <w:rFonts w:ascii="Arial" w:cs="Arial" w:eastAsia="Arial" w:hAnsi="Arial"/>
                <w:sz w:val="15"/>
                <w:szCs w:val="15"/>
                <w:b w:val="1"/>
                <w:bCs w:val="1"/>
                <w:color w:val="auto"/>
              </w:rPr>
              <w:t>8,732</w:t>
            </w:r>
          </w:p>
        </w:tc>
        <w:tc>
          <w:tcPr>
            <w:tcW w:w="1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6,415</w:t>
            </w:r>
          </w:p>
        </w:tc>
      </w:tr>
      <w:tr>
        <w:trPr>
          <w:trHeight w:val="208"/>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2.96 %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3.28 %</w:t>
            </w:r>
          </w:p>
        </w:tc>
      </w:tr>
      <w:tr>
        <w:trPr>
          <w:trHeight w:val="204"/>
        </w:trPr>
        <w:tc>
          <w:tcPr>
            <w:tcW w:w="8160" w:type="dxa"/>
            <w:vAlign w:val="bottom"/>
          </w:tcPr>
          <w:p>
            <w:pPr>
              <w:ind w:left="180"/>
              <w:spacing w:after="0"/>
              <w:rPr>
                <w:sz w:val="20"/>
                <w:szCs w:val="20"/>
                <w:color w:val="auto"/>
              </w:rPr>
            </w:pPr>
            <w:r>
              <w:rPr>
                <w:rFonts w:ascii="Arial" w:cs="Arial" w:eastAsia="Arial" w:hAnsi="Arial"/>
                <w:sz w:val="15"/>
                <w:szCs w:val="15"/>
                <w:color w:val="auto"/>
              </w:rPr>
              <w:t>Total paid off: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44"/>
              <w:spacing w:after="0"/>
              <w:rPr>
                <w:sz w:val="20"/>
                <w:szCs w:val="20"/>
                <w:color w:val="auto"/>
              </w:rPr>
            </w:pPr>
            <w:r>
              <w:rPr>
                <w:rFonts w:ascii="Arial" w:cs="Arial" w:eastAsia="Arial" w:hAnsi="Arial"/>
                <w:sz w:val="15"/>
                <w:szCs w:val="15"/>
                <w:b w:val="1"/>
                <w:bCs w:val="1"/>
                <w:color w:val="auto"/>
              </w:rPr>
              <w:t>93,003</w:t>
            </w:r>
          </w:p>
        </w:tc>
        <w:tc>
          <w:tcPr>
            <w:tcW w:w="1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88,979</w:t>
            </w:r>
          </w:p>
        </w:tc>
      </w:tr>
      <w:tr>
        <w:trPr>
          <w:trHeight w:val="214"/>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4.17 %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4.60 %</w:t>
            </w:r>
          </w:p>
        </w:tc>
      </w:tr>
    </w:tbl>
    <w:p>
      <w:pPr>
        <w:spacing w:after="0" w:line="115" w:lineRule="exact"/>
        <w:rPr>
          <w:sz w:val="20"/>
          <w:szCs w:val="20"/>
          <w:color w:val="auto"/>
        </w:rPr>
      </w:pPr>
    </w:p>
    <w:p>
      <w:pPr>
        <w:ind w:left="240" w:right="260" w:hanging="237"/>
        <w:spacing w:after="0" w:line="218" w:lineRule="auto"/>
        <w:tabs>
          <w:tab w:leader="none" w:pos="233"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Consists of all payments on debt, including regularly scheduled principal payments, payments at maturity, payments resulting from calls and payments for any other repurchases. Repurchases of debt and early retirements of zero-coupon debt are reported at original face value, which does not equal the amount of actual cash payment.</w:t>
      </w:r>
    </w:p>
    <w:p>
      <w:pPr>
        <w:spacing w:after="0" w:line="26" w:lineRule="exact"/>
        <w:rPr>
          <w:rFonts w:ascii="Arial" w:cs="Arial" w:eastAsia="Arial" w:hAnsi="Arial"/>
          <w:sz w:val="18"/>
          <w:szCs w:val="18"/>
          <w:color w:val="auto"/>
          <w:vertAlign w:val="superscript"/>
        </w:rPr>
      </w:pPr>
    </w:p>
    <w:p>
      <w:pPr>
        <w:ind w:left="240" w:right="140" w:hanging="237"/>
        <w:spacing w:after="0" w:line="264" w:lineRule="auto"/>
        <w:tabs>
          <w:tab w:leader="none" w:pos="233" w:val="left"/>
        </w:tabs>
        <w:numPr>
          <w:ilvl w:val="0"/>
          <w:numId w:val="42"/>
        </w:numPr>
        <w:rPr>
          <w:rFonts w:ascii="Arial" w:cs="Arial" w:eastAsia="Arial" w:hAnsi="Arial"/>
          <w:sz w:val="9"/>
          <w:szCs w:val="9"/>
          <w:color w:val="auto"/>
        </w:rPr>
      </w:pPr>
      <w:r>
        <w:rPr>
          <w:rFonts w:ascii="Arial" w:cs="Arial" w:eastAsia="Arial" w:hAnsi="Arial"/>
          <w:sz w:val="14"/>
          <w:szCs w:val="14"/>
          <w:color w:val="auto"/>
        </w:rPr>
        <w:t>Includes credit risk-sharing securities issued as CAS debt prior to November 2018. For information on our credit risk transfer transactions, see “MD&amp;A—Single-Family Business— Single-Family Mortgage Credit Risk Management—Single-Family Credit Enhancement and Transfer of Mortgage Credit Risk—Credit Risk Transfer Transactions” in our 2024 Form 10-K.</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5" w:name="page46"/>
    <w:bookmarkEnd w:id="45"/>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Corporate Liquidity Portfolio</w:t>
      </w:r>
    </w:p>
    <w:p>
      <w:pPr>
        <w:spacing w:after="0" w:line="8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chart below displays information on the composition of our corporate liquidity portfolio. The balance and composition of our corporate liquidity portfolio fluctuates as a result of changes in our cash flows, liquidity in the fixed-income markets, and our liquidity risk management framework and practices. Our corporate liquidity portfolio increased in the first quarter of 2025, primarily due to the reinvestment of proceeds from sales of MBS securities held in our retained mortgage portfolio into 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-12065</wp:posOffset>
            </wp:positionV>
            <wp:extent cx="4911725" cy="23495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11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53975</wp:posOffset>
            </wp:positionV>
            <wp:extent cx="130810" cy="1308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53975</wp:posOffset>
            </wp:positionV>
            <wp:extent cx="130810" cy="1308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(1)</w:t>
      </w:r>
    </w:p>
    <w:p>
      <w:pPr>
        <w:spacing w:after="0" w:line="70" w:lineRule="exact"/>
        <w:rPr>
          <w:sz w:val="20"/>
          <w:szCs w:val="20"/>
          <w:color w:val="auto"/>
        </w:rPr>
      </w:pPr>
    </w:p>
    <w:p>
      <w:pPr>
        <w:ind w:left="220" w:hanging="217"/>
        <w:spacing w:after="0"/>
        <w:tabs>
          <w:tab w:leader="none" w:pos="2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Cash equivalents are composed of overnight reverse repurchase agreements and U.S. Treasuries, if any, that have a maturity at the date of acquisition of three months or less.</w:t>
      </w:r>
    </w:p>
    <w:p>
      <w:pPr>
        <w:spacing w:after="0" w:line="90"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Off-Balance Sheet Arrangements</w:t>
      </w:r>
    </w:p>
    <w:p>
      <w:pPr>
        <w:spacing w:after="0" w:line="6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enter into certain business arrangements to facilitate our statutory purpose of providing liquidity to the secondary mortgage market and to reduce our exposure to interest rate fluctuations. Some of these arrangements are not recorded in our condensed consolidated balance sheets or may be recorded in amounts different from the full contract or notional amount of the transaction, depending on the nature or structure of, and the accounting required to be applied to, the arrangement. These arrangements are commonly referred to as “off-balance sheet arrangements” and expose us to potential losses in excess of the amounts recorded in our condensed consolidated balance sheets.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off-balance sheet arrangements result primarily from the following:</w:t>
      </w:r>
    </w:p>
    <w:p>
      <w:pPr>
        <w:spacing w:after="0" w:line="87" w:lineRule="exact"/>
        <w:rPr>
          <w:sz w:val="20"/>
          <w:szCs w:val="20"/>
          <w:color w:val="auto"/>
        </w:rPr>
      </w:pPr>
    </w:p>
    <w:p>
      <w:pPr>
        <w:ind w:left="620" w:right="700" w:hanging="307"/>
        <w:spacing w:after="0" w:line="293" w:lineRule="auto"/>
        <w:tabs>
          <w:tab w:leader="none" w:pos="612"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guaranty of mortgage loan securitization and resecuritization transactions over which we have no control, which are reflected in our unconsolidated Fannie Mae MBS net of any beneficial ownership interest we retain, and other financial guarantees that we do not control;</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liquidity support transactions;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partnership interests.</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total amount of our off-balance sheet exposure related to unconsolidated Fannie Mae MBS net of any beneficial interest that we retain, and other financial guarantees was $207.5 billion as of March 31, 2025 and $211.5 billion as of December 31, 2024. The majority of the other financial guarantees consists of Freddie Mac securities backing Fannie Mae structured securities. See “Guaranty Book of Business” and “Note 7, Financial Guarantees” for more information regarding our maximum exposure to loss on unconsolidated Fannie Mae MBS and Freddie Mac securities.</w:t>
      </w:r>
    </w:p>
    <w:p>
      <w:pPr>
        <w:spacing w:after="0" w:line="33"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Our total outstanding liquidity commitments to advance funds for securities backed by multifamily housing revenue bonds totaled $4.0 billion as of March 31, 2025 and $4.3 billion as of December 31, 2024. These commitments require us to advance funds to third parties that enable them to repurchase tendered bonds or securities that are unable to be remarketed.</w:t>
      </w:r>
    </w:p>
    <w:p>
      <w:pPr>
        <w:spacing w:after="0" w:line="3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We have investments in various limited partnerships and similar legal entities, which consist of LIHTC investments, community investments and investments in other entities. When we do not have a controlling financial interest in those entities, our condensed consolidated balance sheets reflect only our investment rather than the full amount of the</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6" w:name="page47"/>
    <w:bookmarkEnd w:id="46"/>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partnership’s assets and liabilities. See “Note 3, Consolidations and Transfers of Financial Assets—Unconsolidated VIEs” for information regarding our investments in limited partnerships and similar legal entities.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Cash Flows</w:t>
      </w:r>
    </w:p>
    <w:p>
      <w:pPr>
        <w:spacing w:after="0" w:line="80"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i w:val="1"/>
          <w:iCs w:val="1"/>
          <w:u w:val="single" w:color="auto"/>
          <w:color w:val="auto"/>
        </w:rPr>
        <w:t>Three Months Ended March 31, 2025</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decreased from $78.8 billion as of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2024 to $77.8 billion as of March 31, 2025. The decrease was primarily driven by cash outflows from (1) payments on outstanding debt of consolidated trusts, (2) purchases of loans acquired as held for investment, (3) advances to lenders, and (4) investments in securities purchased under agreements to resell.</w:t>
      </w:r>
    </w:p>
    <w:p>
      <w:pPr>
        <w:spacing w:after="0" w:line="3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Partially offsetting these cash outflows were cash inflows primarily from (1) proceeds from repayments of loans and (2) the sale of Fannie Mae MBS to third parties.</w:t>
      </w:r>
    </w:p>
    <w:p>
      <w:pPr>
        <w:spacing w:after="0" w:line="15"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i w:val="1"/>
          <w:iCs w:val="1"/>
          <w:u w:val="single" w:color="auto"/>
          <w:color w:val="auto"/>
        </w:rPr>
        <w:t>Three Months Ended March 31, 2024</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decreased from $68.7 billion as of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2023 to $33.3 billion as of March 31, 2024. The decrease was primarily driven by cash outflows from (1) investments in securities purchased under agreements to resell, (2) redemptions of debt outpacing issuances, (3) purchases of loans held for investment and (4) advances to lenders.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offsetting these cash outflows were cash inflows from proceeds from repayments of loans.</w:t>
      </w:r>
    </w:p>
    <w:p>
      <w:pPr>
        <w:spacing w:after="0" w:line="12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Credit Ratings</w:t>
      </w:r>
    </w:p>
    <w:p>
      <w:pPr>
        <w:spacing w:after="0" w:line="67"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As of March 31, 2025, our credit ratings issued by the three major credit rating agencies have not changed since December 31, 2024. For information on these credit ratings, see “MD&amp;A—Liquidity and Capital Management—Liquidity Management—Credit Ratings” in our 2024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7" w:name="page48"/>
    <w:bookmarkEnd w:id="47"/>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Capital Management</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Requirements</w:t>
      </w:r>
    </w:p>
    <w:p>
      <w:pPr>
        <w:spacing w:after="0" w:line="8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For a description of our capital requirements under the enterprise regulatory capital framework, see “Business—Legislation and Regulation—Capital Requirements” in our 2024 Form 10-K. Although the enterprise regulatory capital framework went into effect in February 2021, we are not required to hold capital according to the framework’s requirements until the date of termination of our conservatorship, or such later date as may be ordered by FHFA.</w:t>
      </w:r>
    </w:p>
    <w:p>
      <w:pPr>
        <w:spacing w:after="0" w:line="3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As of March 31, 2025, we had a deficit in available capital of $33 billion for purposes of the enterprise regulatory capital framework even though we had positive net worth under GAAP of $98.3 billion primarily because the $120.8 billion stated value of the senior preferred stock does not qualify as regulatory capital.</w:t>
      </w:r>
    </w:p>
    <w:p>
      <w:pPr>
        <w:spacing w:after="0" w:line="2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As of March 31, 2025, we had a $220 billion shortfall to our risk-based adjusted total capital requirement including buffers of $187 billion, as we had an available capital deficit of $33 billion. Our capital shortfall as of March 31, 2025 to our minimum risk-based adjusted total capital requirement excluding buffers was $140 billion. From December 31, 2024 to March 31, 2025, our capital shortfall including buffers declined by $7 billion and our capital shortfall excluding buffers declined by $6 billion. These declines were primarily driven by the increase in our retained earnings and the decrease in risk-weighted assets during first quarter of 2025.</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March 31, 2025</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billions)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4,462</w:t>
            </w:r>
          </w:p>
        </w:tc>
      </w:tr>
      <w:tr>
        <w:trPr>
          <w:trHeight w:val="246"/>
        </w:trPr>
        <w:tc>
          <w:tcPr>
            <w:tcW w:w="3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140" w:type="dxa"/>
            <w:vAlign w:val="bottom"/>
          </w:tcPr>
          <w:p>
            <w:pPr>
              <w:spacing w:after="0"/>
              <w:rPr>
                <w:sz w:val="21"/>
                <w:szCs w:val="21"/>
                <w:color w:val="auto"/>
              </w:rPr>
            </w:pPr>
          </w:p>
        </w:tc>
        <w:tc>
          <w:tcPr>
            <w:tcW w:w="60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1,333</w:t>
            </w: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Stress capital buffer</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Stability capital buffer</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7"/>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Countercyclical capital buffer</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472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b w:val="1"/>
                <w:bCs w:val="1"/>
                <w:color w:val="auto"/>
              </w:rPr>
              <w:t>Prescribed capital conservation buffer amount</w:t>
            </w:r>
          </w:p>
        </w:tc>
        <w:tc>
          <w:tcPr>
            <w:tcW w:w="140" w:type="dxa"/>
            <w:vAlign w:val="bottom"/>
          </w:tcPr>
          <w:p>
            <w:pPr>
              <w:spacing w:after="0"/>
              <w:rPr>
                <w:sz w:val="17"/>
                <w:szCs w:val="17"/>
                <w:color w:val="auto"/>
              </w:rPr>
            </w:pPr>
          </w:p>
        </w:tc>
        <w:tc>
          <w:tcPr>
            <w:tcW w:w="600" w:type="dxa"/>
            <w:vAlign w:val="bottom"/>
            <w:tcBorders>
              <w:top w:val="single" w:sz="8" w:color="2C6937"/>
              <w:bottom w:val="single" w:sz="8" w:color="2C6937"/>
            </w:tcBorders>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80</w:t>
            </w:r>
          </w:p>
        </w:tc>
      </w:tr>
      <w:tr>
        <w:trPr>
          <w:trHeight w:val="20"/>
        </w:trPr>
        <w:tc>
          <w:tcPr>
            <w:tcW w:w="472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700" w:space="360"/>
            <w:col w:w="6180"/>
          </w:cols>
          <w:pgMar w:left="320" w:top="248" w:right="339" w:bottom="1440" w:gutter="0" w:footer="0" w:header="0"/>
          <w:type w:val="continuous"/>
        </w:sect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Available</w:t>
            </w:r>
          </w:p>
        </w:tc>
        <w:tc>
          <w:tcPr>
            <w:tcW w:w="1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Shortfall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 Capital</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5"/>
        </w:trPr>
        <w:tc>
          <w:tcPr>
            <w:tcW w:w="2760" w:type="dxa"/>
            <w:vAlign w:val="bottom"/>
          </w:tcPr>
          <w:p>
            <w:pPr>
              <w:spacing w:after="0"/>
              <w:rPr>
                <w:sz w:val="13"/>
                <w:szCs w:val="13"/>
                <w:color w:val="auto"/>
              </w:rPr>
            </w:pPr>
          </w:p>
        </w:tc>
        <w:tc>
          <w:tcPr>
            <w:tcW w:w="14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Minimum Capital</w:t>
            </w:r>
          </w:p>
        </w:tc>
        <w:tc>
          <w:tcPr>
            <w:tcW w:w="134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3"/>
                <w:szCs w:val="13"/>
                <w:color w:val="auto"/>
              </w:rPr>
            </w:pPr>
          </w:p>
        </w:tc>
        <w:tc>
          <w:tcPr>
            <w:tcW w:w="9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3"/>
                <w:szCs w:val="13"/>
                <w:color w:val="auto"/>
              </w:rPr>
            </w:pPr>
          </w:p>
        </w:tc>
        <w:tc>
          <w:tcPr>
            <w:tcW w:w="110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Applicable</w:t>
            </w:r>
          </w:p>
        </w:tc>
        <w:tc>
          <w:tcPr>
            <w:tcW w:w="11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Capital Shortfall</w:t>
            </w:r>
          </w:p>
        </w:tc>
      </w:tr>
      <w:tr>
        <w:trPr>
          <w:trHeight w:val="209"/>
        </w:trPr>
        <w:tc>
          <w:tcPr>
            <w:tcW w:w="27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Buffers)</w:t>
            </w:r>
          </w:p>
        </w:tc>
        <w:tc>
          <w:tcPr>
            <w:tcW w:w="14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Buffers</w:t>
            </w:r>
            <w:r>
              <w:rPr>
                <w:rFonts w:ascii="Arial" w:cs="Arial" w:eastAsia="Arial" w:hAnsi="Arial"/>
                <w:sz w:val="8"/>
                <w:szCs w:val="8"/>
                <w:b w:val="1"/>
                <w:bCs w:val="1"/>
                <w:color w:val="auto"/>
                <w:w w:val="98"/>
              </w:rPr>
              <w:t>(2)</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(with Buffers)</w:t>
            </w:r>
          </w:p>
        </w:tc>
        <w:tc>
          <w:tcPr>
            <w:tcW w:w="10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4"/>
                <w:szCs w:val="14"/>
                <w:b w:val="1"/>
                <w:bCs w:val="1"/>
                <w:color w:val="auto"/>
                <w:w w:val="97"/>
              </w:rPr>
              <w:t>(with Buffers)</w:t>
            </w:r>
          </w:p>
        </w:tc>
      </w:tr>
      <w:tr>
        <w:trPr>
          <w:trHeight w:val="194"/>
        </w:trPr>
        <w:tc>
          <w:tcPr>
            <w:tcW w:w="2760" w:type="dxa"/>
            <w:vAlign w:val="bottom"/>
          </w:tcPr>
          <w:p>
            <w:pPr>
              <w:spacing w:after="0"/>
              <w:rPr>
                <w:sz w:val="20"/>
                <w:szCs w:val="20"/>
                <w:color w:val="auto"/>
              </w:rPr>
            </w:pPr>
            <w:r>
              <w:rPr>
                <w:rFonts w:ascii="Arial" w:cs="Arial" w:eastAsia="Arial" w:hAnsi="Arial"/>
                <w:sz w:val="15"/>
                <w:szCs w:val="15"/>
                <w:b w:val="1"/>
                <w:bCs w:val="1"/>
                <w:color w:val="auto"/>
              </w:rPr>
              <w:t>Risk-based capital:</w:t>
            </w:r>
          </w:p>
        </w:tc>
        <w:tc>
          <w:tcPr>
            <w:tcW w:w="136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11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84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1000" w:type="dxa"/>
            <w:vAlign w:val="bottom"/>
            <w:tcBorders>
              <w:top w:val="single" w:sz="8" w:color="2C6937"/>
            </w:tcBorders>
          </w:tcPr>
          <w:p>
            <w:pPr>
              <w:spacing w:after="0"/>
              <w:rPr>
                <w:sz w:val="16"/>
                <w:szCs w:val="16"/>
                <w:color w:val="auto"/>
              </w:rPr>
            </w:pPr>
          </w:p>
        </w:tc>
      </w:tr>
      <w:tr>
        <w:trPr>
          <w:trHeight w:val="204"/>
        </w:trPr>
        <w:tc>
          <w:tcPr>
            <w:tcW w:w="2760" w:type="dxa"/>
            <w:vAlign w:val="bottom"/>
          </w:tcPr>
          <w:p>
            <w:pPr>
              <w:ind w:left="220"/>
              <w:spacing w:after="0"/>
              <w:rPr>
                <w:sz w:val="20"/>
                <w:szCs w:val="20"/>
                <w:color w:val="auto"/>
              </w:rPr>
            </w:pPr>
            <w:r>
              <w:rPr>
                <w:rFonts w:ascii="Arial" w:cs="Arial" w:eastAsia="Arial" w:hAnsi="Arial"/>
                <w:sz w:val="15"/>
                <w:szCs w:val="15"/>
                <w:color w:val="auto"/>
              </w:rPr>
              <w:t>Total capital (statutory)</w:t>
            </w:r>
          </w:p>
        </w:tc>
        <w:tc>
          <w:tcPr>
            <w:tcW w:w="1360" w:type="dxa"/>
            <w:vAlign w:val="bottom"/>
          </w:tcPr>
          <w:p>
            <w:pPr>
              <w:ind w:left="94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0"/>
              <w:spacing w:after="0"/>
              <w:rPr>
                <w:sz w:val="20"/>
                <w:szCs w:val="20"/>
                <w:color w:val="auto"/>
              </w:rPr>
            </w:pPr>
            <w:r>
              <w:rPr>
                <w:rFonts w:ascii="Arial" w:cs="Arial" w:eastAsia="Arial" w:hAnsi="Arial"/>
                <w:sz w:val="15"/>
                <w:szCs w:val="15"/>
                <w:color w:val="auto"/>
              </w:rPr>
              <w:t>N/A  $</w:t>
            </w:r>
          </w:p>
        </w:tc>
        <w:tc>
          <w:tcPr>
            <w:tcW w:w="1080" w:type="dxa"/>
            <w:vAlign w:val="bottom"/>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(192)</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(193)</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(220)</w:t>
            </w:r>
          </w:p>
        </w:tc>
      </w:tr>
      <w:tr>
        <w:trPr>
          <w:trHeight w:val="209"/>
        </w:trPr>
        <w:tc>
          <w:tcPr>
            <w:tcW w:w="2760" w:type="dxa"/>
            <w:vAlign w:val="bottom"/>
          </w:tcPr>
          <w:p>
            <w:pPr>
              <w:spacing w:after="0"/>
              <w:rPr>
                <w:sz w:val="20"/>
                <w:szCs w:val="20"/>
                <w:color w:val="auto"/>
              </w:rPr>
            </w:pPr>
            <w:r>
              <w:rPr>
                <w:rFonts w:ascii="Arial" w:cs="Arial" w:eastAsia="Arial" w:hAnsi="Arial"/>
                <w:sz w:val="15"/>
                <w:szCs w:val="15"/>
                <w:b w:val="1"/>
                <w:bCs w:val="1"/>
                <w:color w:val="auto"/>
              </w:rPr>
              <w:t>Leverage capital: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4"/>
        </w:trPr>
        <w:tc>
          <w:tcPr>
            <w:tcW w:w="2760" w:type="dxa"/>
            <w:vAlign w:val="bottom"/>
          </w:tcPr>
          <w:p>
            <w:pPr>
              <w:ind w:left="220"/>
              <w:spacing w:after="0"/>
              <w:rPr>
                <w:sz w:val="20"/>
                <w:szCs w:val="20"/>
                <w:color w:val="auto"/>
              </w:rPr>
            </w:pPr>
            <w:r>
              <w:rPr>
                <w:rFonts w:ascii="Arial" w:cs="Arial" w:eastAsia="Arial" w:hAnsi="Arial"/>
                <w:sz w:val="15"/>
                <w:szCs w:val="15"/>
                <w:color w:val="auto"/>
              </w:rPr>
              <w:t>Core capital (statutory)</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left="285"/>
              <w:spacing w:after="0"/>
              <w:rPr>
                <w:sz w:val="20"/>
                <w:szCs w:val="20"/>
                <w:color w:val="auto"/>
              </w:rPr>
            </w:pPr>
            <w:r>
              <w:rPr>
                <w:rFonts w:ascii="Arial" w:cs="Arial" w:eastAsia="Arial" w:hAnsi="Arial"/>
                <w:sz w:val="15"/>
                <w:szCs w:val="15"/>
                <w:color w:val="auto"/>
              </w:rPr>
              <w:t>N/A</w:t>
            </w:r>
          </w:p>
        </w:tc>
        <w:tc>
          <w:tcPr>
            <w:tcW w:w="108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(135)</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(168)</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48" w:name="page49"/>
    <w:bookmarkEnd w:id="48"/>
    <w:p>
      <w:pPr>
        <w:jc w:val="right"/>
        <w:ind w:right="12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2024</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billions)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4,460</w:t>
            </w:r>
          </w:p>
        </w:tc>
      </w:tr>
      <w:tr>
        <w:trPr>
          <w:trHeight w:val="246"/>
        </w:trPr>
        <w:tc>
          <w:tcPr>
            <w:tcW w:w="3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140" w:type="dxa"/>
            <w:vAlign w:val="bottom"/>
          </w:tcPr>
          <w:p>
            <w:pPr>
              <w:spacing w:after="0"/>
              <w:rPr>
                <w:sz w:val="21"/>
                <w:szCs w:val="21"/>
                <w:color w:val="auto"/>
              </w:rPr>
            </w:pPr>
          </w:p>
        </w:tc>
        <w:tc>
          <w:tcPr>
            <w:tcW w:w="60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Stress capital buffer</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Stability capital buffer</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07"/>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Countercyclical capital buffer</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472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b w:val="1"/>
                <w:bCs w:val="1"/>
                <w:color w:val="auto"/>
              </w:rPr>
              <w:t>Prescribed capital conservation buffer amount</w:t>
            </w:r>
          </w:p>
        </w:tc>
        <w:tc>
          <w:tcPr>
            <w:tcW w:w="140" w:type="dxa"/>
            <w:vAlign w:val="bottom"/>
          </w:tcPr>
          <w:p>
            <w:pPr>
              <w:spacing w:after="0"/>
              <w:rPr>
                <w:sz w:val="17"/>
                <w:szCs w:val="17"/>
                <w:color w:val="auto"/>
              </w:rPr>
            </w:pPr>
          </w:p>
        </w:tc>
        <w:tc>
          <w:tcPr>
            <w:tcW w:w="600" w:type="dxa"/>
            <w:vAlign w:val="bottom"/>
            <w:tcBorders>
              <w:top w:val="single" w:sz="8" w:color="2C6937"/>
              <w:bottom w:val="single" w:sz="8" w:color="2C6937"/>
            </w:tcBorders>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81</w:t>
            </w:r>
          </w:p>
        </w:tc>
      </w:tr>
      <w:tr>
        <w:trPr>
          <w:trHeight w:val="20"/>
        </w:trPr>
        <w:tc>
          <w:tcPr>
            <w:tcW w:w="472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700" w:space="360"/>
            <w:col w:w="6180"/>
          </w:cols>
          <w:pgMar w:left="320" w:top="248" w:right="339" w:bottom="1440" w:gutter="0" w:footer="0" w:header="0"/>
          <w:type w:val="continuous"/>
        </w:sect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Available</w:t>
            </w:r>
          </w:p>
        </w:tc>
        <w:tc>
          <w:tcPr>
            <w:tcW w:w="1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Shortfall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 Capital</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5"/>
        </w:trPr>
        <w:tc>
          <w:tcPr>
            <w:tcW w:w="2760" w:type="dxa"/>
            <w:vAlign w:val="bottom"/>
          </w:tcPr>
          <w:p>
            <w:pPr>
              <w:spacing w:after="0"/>
              <w:rPr>
                <w:sz w:val="13"/>
                <w:szCs w:val="13"/>
                <w:color w:val="auto"/>
              </w:rPr>
            </w:pPr>
          </w:p>
        </w:tc>
        <w:tc>
          <w:tcPr>
            <w:tcW w:w="14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Minimum Capital</w:t>
            </w:r>
          </w:p>
        </w:tc>
        <w:tc>
          <w:tcPr>
            <w:tcW w:w="134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3"/>
                <w:szCs w:val="13"/>
                <w:color w:val="auto"/>
              </w:rPr>
            </w:pPr>
          </w:p>
        </w:tc>
        <w:tc>
          <w:tcPr>
            <w:tcW w:w="9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3"/>
                <w:szCs w:val="13"/>
                <w:color w:val="auto"/>
              </w:rPr>
            </w:pPr>
          </w:p>
        </w:tc>
        <w:tc>
          <w:tcPr>
            <w:tcW w:w="110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Applicable</w:t>
            </w:r>
          </w:p>
        </w:tc>
        <w:tc>
          <w:tcPr>
            <w:tcW w:w="11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Capital Shortfall</w:t>
            </w:r>
          </w:p>
        </w:tc>
      </w:tr>
      <w:tr>
        <w:trPr>
          <w:trHeight w:val="209"/>
        </w:trPr>
        <w:tc>
          <w:tcPr>
            <w:tcW w:w="27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Buffers)</w:t>
            </w:r>
          </w:p>
        </w:tc>
        <w:tc>
          <w:tcPr>
            <w:tcW w:w="14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Buffers</w:t>
            </w:r>
            <w:r>
              <w:rPr>
                <w:rFonts w:ascii="Arial" w:cs="Arial" w:eastAsia="Arial" w:hAnsi="Arial"/>
                <w:sz w:val="8"/>
                <w:szCs w:val="8"/>
                <w:b w:val="1"/>
                <w:bCs w:val="1"/>
                <w:color w:val="auto"/>
                <w:w w:val="98"/>
              </w:rPr>
              <w:t>(2)</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(with Buffers)</w:t>
            </w:r>
          </w:p>
        </w:tc>
        <w:tc>
          <w:tcPr>
            <w:tcW w:w="10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4"/>
                <w:szCs w:val="14"/>
                <w:b w:val="1"/>
                <w:bCs w:val="1"/>
                <w:color w:val="auto"/>
                <w:w w:val="97"/>
              </w:rPr>
              <w:t>(with Buffers)</w:t>
            </w:r>
          </w:p>
        </w:tc>
      </w:tr>
      <w:tr>
        <w:trPr>
          <w:trHeight w:val="194"/>
        </w:trPr>
        <w:tc>
          <w:tcPr>
            <w:tcW w:w="2760" w:type="dxa"/>
            <w:vAlign w:val="bottom"/>
          </w:tcPr>
          <w:p>
            <w:pPr>
              <w:spacing w:after="0"/>
              <w:rPr>
                <w:sz w:val="20"/>
                <w:szCs w:val="20"/>
                <w:color w:val="auto"/>
              </w:rPr>
            </w:pPr>
            <w:r>
              <w:rPr>
                <w:rFonts w:ascii="Arial" w:cs="Arial" w:eastAsia="Arial" w:hAnsi="Arial"/>
                <w:sz w:val="15"/>
                <w:szCs w:val="15"/>
                <w:b w:val="1"/>
                <w:bCs w:val="1"/>
                <w:color w:val="auto"/>
              </w:rPr>
              <w:t>Risk-based capital:</w:t>
            </w:r>
          </w:p>
        </w:tc>
        <w:tc>
          <w:tcPr>
            <w:tcW w:w="136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11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84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1000" w:type="dxa"/>
            <w:vAlign w:val="bottom"/>
            <w:tcBorders>
              <w:top w:val="single" w:sz="8" w:color="2C6937"/>
            </w:tcBorders>
          </w:tcPr>
          <w:p>
            <w:pPr>
              <w:spacing w:after="0"/>
              <w:rPr>
                <w:sz w:val="16"/>
                <w:szCs w:val="16"/>
                <w:color w:val="auto"/>
              </w:rPr>
            </w:pPr>
          </w:p>
        </w:tc>
      </w:tr>
      <w:tr>
        <w:trPr>
          <w:trHeight w:val="204"/>
        </w:trPr>
        <w:tc>
          <w:tcPr>
            <w:tcW w:w="2760" w:type="dxa"/>
            <w:vAlign w:val="bottom"/>
          </w:tcPr>
          <w:p>
            <w:pPr>
              <w:ind w:left="220"/>
              <w:spacing w:after="0"/>
              <w:rPr>
                <w:sz w:val="20"/>
                <w:szCs w:val="20"/>
                <w:color w:val="auto"/>
              </w:rPr>
            </w:pPr>
            <w:r>
              <w:rPr>
                <w:rFonts w:ascii="Arial" w:cs="Arial" w:eastAsia="Arial" w:hAnsi="Arial"/>
                <w:sz w:val="15"/>
                <w:szCs w:val="15"/>
                <w:color w:val="auto"/>
              </w:rPr>
              <w:t>Total capital (statutory)</w:t>
            </w:r>
          </w:p>
        </w:tc>
        <w:tc>
          <w:tcPr>
            <w:tcW w:w="1360" w:type="dxa"/>
            <w:vAlign w:val="bottom"/>
          </w:tcPr>
          <w:p>
            <w:pPr>
              <w:ind w:left="94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0"/>
              <w:spacing w:after="0"/>
              <w:rPr>
                <w:sz w:val="20"/>
                <w:szCs w:val="20"/>
                <w:color w:val="auto"/>
              </w:rPr>
            </w:pPr>
            <w:r>
              <w:rPr>
                <w:rFonts w:ascii="Arial" w:cs="Arial" w:eastAsia="Arial" w:hAnsi="Arial"/>
                <w:sz w:val="15"/>
                <w:szCs w:val="15"/>
                <w:color w:val="auto"/>
              </w:rPr>
              <w:t>N/A  $</w:t>
            </w:r>
          </w:p>
        </w:tc>
        <w:tc>
          <w:tcPr>
            <w:tcW w:w="108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(198)</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(227)</w:t>
            </w:r>
          </w:p>
        </w:tc>
      </w:tr>
      <w:tr>
        <w:trPr>
          <w:trHeight w:val="209"/>
        </w:trPr>
        <w:tc>
          <w:tcPr>
            <w:tcW w:w="2760" w:type="dxa"/>
            <w:vAlign w:val="bottom"/>
          </w:tcPr>
          <w:p>
            <w:pPr>
              <w:spacing w:after="0"/>
              <w:rPr>
                <w:sz w:val="20"/>
                <w:szCs w:val="20"/>
                <w:color w:val="auto"/>
              </w:rPr>
            </w:pPr>
            <w:r>
              <w:rPr>
                <w:rFonts w:ascii="Arial" w:cs="Arial" w:eastAsia="Arial" w:hAnsi="Arial"/>
                <w:sz w:val="15"/>
                <w:szCs w:val="15"/>
                <w:b w:val="1"/>
                <w:bCs w:val="1"/>
                <w:color w:val="auto"/>
              </w:rPr>
              <w:t>Leverage capital: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4"/>
        </w:trPr>
        <w:tc>
          <w:tcPr>
            <w:tcW w:w="2760" w:type="dxa"/>
            <w:vAlign w:val="bottom"/>
          </w:tcPr>
          <w:p>
            <w:pPr>
              <w:ind w:left="220"/>
              <w:spacing w:after="0"/>
              <w:rPr>
                <w:sz w:val="20"/>
                <w:szCs w:val="20"/>
                <w:color w:val="auto"/>
              </w:rPr>
            </w:pPr>
            <w:r>
              <w:rPr>
                <w:rFonts w:ascii="Arial" w:cs="Arial" w:eastAsia="Arial" w:hAnsi="Arial"/>
                <w:sz w:val="15"/>
                <w:szCs w:val="15"/>
                <w:color w:val="auto"/>
              </w:rPr>
              <w:t>Core capital (statutory)</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left="285"/>
              <w:spacing w:after="0"/>
              <w:rPr>
                <w:sz w:val="20"/>
                <w:szCs w:val="20"/>
                <w:color w:val="auto"/>
              </w:rPr>
            </w:pPr>
            <w:r>
              <w:rPr>
                <w:rFonts w:ascii="Arial" w:cs="Arial" w:eastAsia="Arial" w:hAnsi="Arial"/>
                <w:sz w:val="15"/>
                <w:szCs w:val="15"/>
                <w:color w:val="auto"/>
              </w:rPr>
              <w:t>N/A</w:t>
            </w:r>
          </w:p>
        </w:tc>
        <w:tc>
          <w:tcPr>
            <w:tcW w:w="108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(137)</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(172)</w:t>
            </w:r>
          </w:p>
        </w:tc>
      </w:tr>
    </w:tbl>
    <w:p>
      <w:pPr>
        <w:spacing w:after="0" w:line="162" w:lineRule="exact"/>
        <w:rPr>
          <w:sz w:val="20"/>
          <w:szCs w:val="20"/>
          <w:color w:val="auto"/>
        </w:rPr>
      </w:pPr>
    </w:p>
    <w:p>
      <w:pPr>
        <w:ind w:left="220" w:hanging="217"/>
        <w:spacing w:after="0"/>
        <w:tabs>
          <w:tab w:leader="none" w:pos="220" w:val="left"/>
        </w:tabs>
        <w:numPr>
          <w:ilvl w:val="0"/>
          <w:numId w:val="45"/>
        </w:numPr>
        <w:rPr>
          <w:rFonts w:ascii="Arial" w:cs="Arial" w:eastAsia="Arial" w:hAnsi="Arial"/>
          <w:sz w:val="9"/>
          <w:szCs w:val="9"/>
          <w:color w:val="auto"/>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49" w:name="page50"/>
    <w:bookmarkEnd w:id="49"/>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As of March 31, 2025, our maximum payout ratio under the enterprise regulatory capital framework was 0%. See “Note 15, Regulatory Capital Requirements” for information on our capital ratios as of March 31, 2025 and December 31, 2024 under the enterprise regulatory capital framework.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regulatory capital.</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Regulatory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1840" w:type="dxa"/>
            <w:vAlign w:val="bottom"/>
            <w:tcBorders>
              <w:top w:val="single" w:sz="8" w:color="2C6937"/>
              <w:bottom w:val="single" w:sz="8" w:color="2C6937"/>
            </w:tcBorders>
            <w:gridSpan w:val="3"/>
          </w:tcPr>
          <w:p>
            <w:pPr>
              <w:ind w:left="140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7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640" w:type="dxa"/>
            <w:vAlign w:val="bottom"/>
            <w:tcBorders>
              <w:bottom w:val="single" w:sz="8" w:color="2C6937"/>
            </w:tcBorders>
            <w:gridSpan w:val="2"/>
          </w:tcPr>
          <w:p>
            <w:pPr>
              <w:ind w:left="160"/>
              <w:spacing w:after="0"/>
              <w:rPr>
                <w:sz w:val="20"/>
                <w:szCs w:val="20"/>
                <w:color w:val="auto"/>
              </w:rPr>
            </w:pPr>
            <w:r>
              <w:rPr>
                <w:rFonts w:ascii="Arial" w:cs="Arial" w:eastAsia="Arial" w:hAnsi="Arial"/>
                <w:sz w:val="14"/>
                <w:szCs w:val="14"/>
                <w:b w:val="1"/>
                <w:bCs w:val="1"/>
                <w:color w:val="auto"/>
              </w:rPr>
              <w:t>March 31, 2025</w:t>
            </w:r>
          </w:p>
        </w:tc>
        <w:tc>
          <w:tcPr>
            <w:tcW w:w="200" w:type="dxa"/>
            <w:vAlign w:val="bottom"/>
            <w:tcBorders>
              <w:bottom w:val="single" w:sz="8" w:color="2C6937"/>
            </w:tcBorders>
          </w:tcPr>
          <w:p>
            <w:pPr>
              <w:spacing w:after="0"/>
              <w:rPr>
                <w:sz w:val="24"/>
                <w:szCs w:val="24"/>
                <w:color w:val="auto"/>
              </w:rPr>
            </w:pPr>
          </w:p>
        </w:tc>
        <w:tc>
          <w:tcPr>
            <w:tcW w:w="1580" w:type="dxa"/>
            <w:vAlign w:val="bottom"/>
            <w:tcBorders>
              <w:bottom w:val="single" w:sz="8" w:color="2C6937"/>
            </w:tcBorders>
          </w:tcPr>
          <w:p>
            <w:pPr>
              <w:jc w:val="right"/>
              <w:ind w:right="203"/>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5"/>
        </w:trPr>
        <w:tc>
          <w:tcPr>
            <w:tcW w:w="7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ind w:left="94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9"/>
        </w:trPr>
        <w:tc>
          <w:tcPr>
            <w:tcW w:w="756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98,312</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94,657</w:t>
            </w:r>
          </w:p>
        </w:tc>
        <w:tc>
          <w:tcPr>
            <w:tcW w:w="0" w:type="dxa"/>
            <w:vAlign w:val="bottom"/>
          </w:tcPr>
          <w:p>
            <w:pPr>
              <w:spacing w:after="0"/>
              <w:rPr>
                <w:sz w:val="1"/>
                <w:szCs w:val="1"/>
                <w:color w:val="auto"/>
              </w:rPr>
            </w:pPr>
          </w:p>
        </w:tc>
      </w:tr>
      <w:tr>
        <w:trPr>
          <w:trHeight w:val="204"/>
        </w:trPr>
        <w:tc>
          <w:tcPr>
            <w:tcW w:w="756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6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120,836</w:t>
            </w:r>
          </w:p>
        </w:tc>
        <w:tc>
          <w:tcPr>
            <w:tcW w:w="0" w:type="dxa"/>
            <w:vAlign w:val="bottom"/>
          </w:tcPr>
          <w:p>
            <w:pPr>
              <w:spacing w:after="0"/>
              <w:rPr>
                <w:sz w:val="1"/>
                <w:szCs w:val="1"/>
                <w:color w:val="auto"/>
              </w:rPr>
            </w:pPr>
          </w:p>
        </w:tc>
      </w:tr>
      <w:tr>
        <w:trPr>
          <w:trHeight w:val="239"/>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Preferred stock</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ind w:left="940"/>
              <w:spacing w:after="0"/>
              <w:rPr>
                <w:sz w:val="20"/>
                <w:szCs w:val="20"/>
                <w:color w:val="auto"/>
              </w:rPr>
            </w:pPr>
            <w:r>
              <w:rPr>
                <w:rFonts w:ascii="Arial" w:cs="Arial" w:eastAsia="Arial" w:hAnsi="Arial"/>
                <w:sz w:val="15"/>
                <w:szCs w:val="15"/>
                <w:b w:val="1"/>
                <w:bCs w:val="1"/>
                <w:color w:val="auto"/>
              </w:rPr>
              <w:t>(41,654)</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(45,309)</w:t>
            </w:r>
          </w:p>
        </w:tc>
        <w:tc>
          <w:tcPr>
            <w:tcW w:w="0" w:type="dxa"/>
            <w:vAlign w:val="bottom"/>
          </w:tcPr>
          <w:p>
            <w:pPr>
              <w:spacing w:after="0"/>
              <w:rPr>
                <w:sz w:val="1"/>
                <w:szCs w:val="1"/>
                <w:color w:val="auto"/>
              </w:rPr>
            </w:pPr>
          </w:p>
        </w:tc>
      </w:tr>
      <w:tr>
        <w:trPr>
          <w:trHeight w:val="148"/>
        </w:trPr>
        <w:tc>
          <w:tcPr>
            <w:tcW w:w="7560" w:type="dxa"/>
            <w:vAlign w:val="bottom"/>
            <w:gridSpan w:val="2"/>
          </w:tcPr>
          <w:p>
            <w:pPr>
              <w:ind w:left="340"/>
              <w:spacing w:after="0" w:line="149" w:lineRule="exact"/>
              <w:rPr>
                <w:sz w:val="20"/>
                <w:szCs w:val="20"/>
                <w:color w:val="auto"/>
              </w:rPr>
            </w:pPr>
            <w:r>
              <w:rPr>
                <w:rFonts w:ascii="Arial" w:cs="Arial" w:eastAsia="Arial" w:hAnsi="Arial"/>
                <w:sz w:val="15"/>
                <w:szCs w:val="15"/>
                <w:color w:val="auto"/>
              </w:rPr>
              <w:t>Less: deferred tax assets arising from temporary differences that exceed 10% of common equity tier 1</w:t>
            </w:r>
          </w:p>
        </w:tc>
        <w:tc>
          <w:tcPr>
            <w:tcW w:w="26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10,453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10,545</w:t>
            </w:r>
          </w:p>
        </w:tc>
        <w:tc>
          <w:tcPr>
            <w:tcW w:w="0" w:type="dxa"/>
            <w:vAlign w:val="bottom"/>
          </w:tcPr>
          <w:p>
            <w:pPr>
              <w:spacing w:after="0"/>
              <w:rPr>
                <w:sz w:val="1"/>
                <w:szCs w:val="1"/>
                <w:color w:val="auto"/>
              </w:rPr>
            </w:pPr>
          </w:p>
        </w:tc>
      </w:tr>
      <w:tr>
        <w:trPr>
          <w:trHeight w:val="206"/>
        </w:trPr>
        <w:tc>
          <w:tcPr>
            <w:tcW w:w="7460" w:type="dxa"/>
            <w:vAlign w:val="bottom"/>
            <w:tcBorders>
              <w:bottom w:val="single" w:sz="8" w:color="2C6937"/>
            </w:tcBorders>
          </w:tcPr>
          <w:p>
            <w:pPr>
              <w:ind w:left="500"/>
              <w:spacing w:after="0"/>
              <w:rPr>
                <w:sz w:val="20"/>
                <w:szCs w:val="20"/>
                <w:color w:val="auto"/>
              </w:rPr>
            </w:pPr>
            <w:r>
              <w:rPr>
                <w:rFonts w:ascii="Arial" w:cs="Arial" w:eastAsia="Arial" w:hAnsi="Arial"/>
                <w:sz w:val="15"/>
                <w:szCs w:val="15"/>
                <w:color w:val="auto"/>
              </w:rPr>
              <w:t>capital and other regulatory adjustments</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 tier 1 capital (deficit)</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ind w:left="940"/>
              <w:spacing w:after="0"/>
              <w:rPr>
                <w:sz w:val="20"/>
                <w:szCs w:val="20"/>
                <w:color w:val="auto"/>
              </w:rPr>
            </w:pPr>
            <w:r>
              <w:rPr>
                <w:rFonts w:ascii="Arial" w:cs="Arial" w:eastAsia="Arial" w:hAnsi="Arial"/>
                <w:sz w:val="15"/>
                <w:szCs w:val="15"/>
                <w:b w:val="1"/>
                <w:bCs w:val="1"/>
                <w:color w:val="auto"/>
              </w:rPr>
              <w:t>(52,107)</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(55,854)</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Add: perpetual, noncumulative preferred stock</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1 capital (deficit)</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ind w:left="940"/>
              <w:spacing w:after="0"/>
              <w:rPr>
                <w:sz w:val="20"/>
                <w:szCs w:val="20"/>
                <w:color w:val="auto"/>
              </w:rPr>
            </w:pPr>
            <w:r>
              <w:rPr>
                <w:rFonts w:ascii="Arial" w:cs="Arial" w:eastAsia="Arial" w:hAnsi="Arial"/>
                <w:sz w:val="15"/>
                <w:szCs w:val="15"/>
                <w:b w:val="1"/>
                <w:bCs w:val="1"/>
                <w:color w:val="auto"/>
              </w:rPr>
              <w:t>(32,977)</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(36,724)</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2 capital adjustments</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560" w:type="dxa"/>
            <w:vAlign w:val="bottom"/>
            <w:gridSpan w:val="2"/>
          </w:tcPr>
          <w:p>
            <w:pPr>
              <w:ind w:left="20"/>
              <w:spacing w:after="0"/>
              <w:rPr>
                <w:sz w:val="20"/>
                <w:szCs w:val="20"/>
                <w:color w:val="auto"/>
              </w:rPr>
            </w:pPr>
            <w:r>
              <w:rPr>
                <w:rFonts w:ascii="Arial" w:cs="Arial" w:eastAsia="Arial" w:hAnsi="Arial"/>
                <w:sz w:val="15"/>
                <w:szCs w:val="15"/>
                <w:color w:val="auto"/>
              </w:rPr>
              <w:t>Adjusted total capital (deficit)</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ind w:left="940"/>
              <w:spacing w:after="0"/>
              <w:rPr>
                <w:sz w:val="20"/>
                <w:szCs w:val="20"/>
                <w:color w:val="auto"/>
              </w:rPr>
            </w:pPr>
            <w:r>
              <w:rPr>
                <w:rFonts w:ascii="Arial" w:cs="Arial" w:eastAsia="Arial" w:hAnsi="Arial"/>
                <w:sz w:val="15"/>
                <w:szCs w:val="15"/>
                <w:b w:val="1"/>
                <w:bCs w:val="1"/>
                <w:color w:val="auto"/>
              </w:rPr>
              <w:t>(32,977)</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(36,724)</w:t>
            </w:r>
          </w:p>
        </w:tc>
        <w:tc>
          <w:tcPr>
            <w:tcW w:w="0" w:type="dxa"/>
            <w:vAlign w:val="bottom"/>
          </w:tcPr>
          <w:p>
            <w:pPr>
              <w:spacing w:after="0"/>
              <w:rPr>
                <w:sz w:val="1"/>
                <w:szCs w:val="1"/>
                <w:color w:val="auto"/>
              </w:rPr>
            </w:pPr>
          </w:p>
        </w:tc>
      </w:tr>
      <w:tr>
        <w:trPr>
          <w:trHeight w:val="20"/>
        </w:trPr>
        <w:tc>
          <w:tcPr>
            <w:tcW w:w="74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core capital.</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Statutory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2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1860" w:type="dxa"/>
            <w:vAlign w:val="bottom"/>
            <w:tcBorders>
              <w:top w:val="single" w:sz="8" w:color="2C6937"/>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top w:val="single" w:sz="8" w:color="2C6937"/>
              <w:bottom w:val="single" w:sz="8" w:color="2C6937"/>
            </w:tcBorders>
          </w:tcPr>
          <w:p>
            <w:pPr>
              <w:spacing w:after="0"/>
              <w:rPr>
                <w:sz w:val="17"/>
                <w:szCs w:val="17"/>
                <w:color w:val="auto"/>
              </w:rPr>
            </w:pPr>
          </w:p>
        </w:tc>
      </w:tr>
      <w:tr>
        <w:trPr>
          <w:trHeight w:val="186"/>
        </w:trPr>
        <w:tc>
          <w:tcPr>
            <w:tcW w:w="7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640" w:type="dxa"/>
            <w:vAlign w:val="bottom"/>
            <w:tcBorders>
              <w:bottom w:val="single" w:sz="8" w:color="2C6937"/>
            </w:tcBorders>
            <w:gridSpan w:val="2"/>
          </w:tcPr>
          <w:p>
            <w:pPr>
              <w:ind w:left="160"/>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2024</w:t>
            </w:r>
          </w:p>
        </w:tc>
      </w:tr>
      <w:tr>
        <w:trPr>
          <w:trHeight w:val="185"/>
        </w:trPr>
        <w:tc>
          <w:tcPr>
            <w:tcW w:w="7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4"/>
          </w:tcPr>
          <w:p>
            <w:pPr>
              <w:jc w:val="right"/>
              <w:ind w:right="1144"/>
              <w:spacing w:after="0"/>
              <w:rPr>
                <w:sz w:val="20"/>
                <w:szCs w:val="20"/>
                <w:color w:val="auto"/>
              </w:rPr>
            </w:pPr>
            <w:r>
              <w:rPr>
                <w:rFonts w:ascii="Arial" w:cs="Arial" w:eastAsia="Arial" w:hAnsi="Arial"/>
                <w:sz w:val="14"/>
                <w:szCs w:val="14"/>
                <w:b w:val="1"/>
                <w:bCs w:val="1"/>
                <w:color w:val="auto"/>
              </w:rPr>
              <w:t>(Dollars in millions)</w:t>
            </w:r>
          </w:p>
        </w:tc>
      </w:tr>
      <w:tr>
        <w:trPr>
          <w:trHeight w:val="209"/>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Pr>
          <w:p>
            <w:pPr>
              <w:jc w:val="right"/>
              <w:ind w:right="6"/>
              <w:spacing w:after="0"/>
              <w:rPr>
                <w:sz w:val="20"/>
                <w:szCs w:val="20"/>
                <w:color w:val="auto"/>
              </w:rPr>
            </w:pPr>
            <w:r>
              <w:rPr>
                <w:rFonts w:ascii="Arial" w:cs="Arial" w:eastAsia="Arial" w:hAnsi="Arial"/>
                <w:sz w:val="15"/>
                <w:szCs w:val="15"/>
                <w:b w:val="1"/>
                <w:bCs w:val="1"/>
                <w:color w:val="auto"/>
              </w:rPr>
              <w:t>98,312</w:t>
            </w:r>
          </w:p>
        </w:tc>
        <w:tc>
          <w:tcPr>
            <w:tcW w:w="8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94,657</w:t>
            </w:r>
          </w:p>
        </w:tc>
      </w:tr>
      <w:tr>
        <w:trPr>
          <w:trHeight w:val="204"/>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4"/>
        </w:trPr>
        <w:tc>
          <w:tcPr>
            <w:tcW w:w="750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260" w:type="dxa"/>
            <w:vAlign w:val="bottom"/>
          </w:tcPr>
          <w:p>
            <w:pPr>
              <w:spacing w:after="0"/>
              <w:rPr>
                <w:sz w:val="18"/>
                <w:szCs w:val="18"/>
                <w:color w:val="auto"/>
              </w:rPr>
            </w:pPr>
          </w:p>
        </w:tc>
        <w:tc>
          <w:tcPr>
            <w:tcW w:w="1560" w:type="dxa"/>
            <w:vAlign w:val="bottom"/>
          </w:tcPr>
          <w:p>
            <w:pPr>
              <w:jc w:val="right"/>
              <w:ind w:right="6"/>
              <w:spacing w:after="0"/>
              <w:rPr>
                <w:sz w:val="20"/>
                <w:szCs w:val="20"/>
                <w:color w:val="auto"/>
              </w:rPr>
            </w:pPr>
            <w:r>
              <w:rPr>
                <w:rFonts w:ascii="Arial" w:cs="Arial" w:eastAsia="Arial" w:hAnsi="Arial"/>
                <w:sz w:val="15"/>
                <w:szCs w:val="15"/>
                <w:b w:val="1"/>
                <w:bCs w:val="1"/>
                <w:color w:val="auto"/>
              </w:rPr>
              <w:t>120,836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120,836</w:t>
            </w:r>
          </w:p>
        </w:tc>
      </w:tr>
      <w:tr>
        <w:trPr>
          <w:trHeight w:val="251"/>
        </w:trPr>
        <w:tc>
          <w:tcPr>
            <w:tcW w:w="742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Accumulated other comprehensive income (loss), net of taxes</w:t>
            </w:r>
          </w:p>
        </w:tc>
        <w:tc>
          <w:tcPr>
            <w:tcW w:w="8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15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23</w:t>
            </w:r>
          </w:p>
        </w:tc>
        <w:tc>
          <w:tcPr>
            <w:tcW w:w="8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r>
      <w:tr>
        <w:trPr>
          <w:trHeight w:val="199"/>
        </w:trPr>
        <w:tc>
          <w:tcPr>
            <w:tcW w:w="74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Core capital (deficit)</w:t>
            </w:r>
          </w:p>
        </w:tc>
        <w:tc>
          <w:tcPr>
            <w:tcW w:w="8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(22,547)</w:t>
            </w:r>
          </w:p>
        </w:tc>
        <w:tc>
          <w:tcPr>
            <w:tcW w:w="8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(26,208)</w:t>
            </w:r>
          </w:p>
        </w:tc>
      </w:tr>
      <w:tr>
        <w:trPr>
          <w:trHeight w:val="199"/>
        </w:trPr>
        <w:tc>
          <w:tcPr>
            <w:tcW w:w="742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Less: general allowance for foreclosure losses</w:t>
            </w:r>
          </w:p>
        </w:tc>
        <w:tc>
          <w:tcPr>
            <w:tcW w:w="8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(7,711)</w:t>
            </w:r>
          </w:p>
        </w:tc>
        <w:tc>
          <w:tcPr>
            <w:tcW w:w="8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(7,876)</w:t>
            </w:r>
          </w:p>
        </w:tc>
      </w:tr>
      <w:tr>
        <w:trPr>
          <w:trHeight w:val="199"/>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capital (deficit)</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(14,836)</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(18,332)</w:t>
            </w:r>
          </w:p>
        </w:tc>
      </w:tr>
      <w:tr>
        <w:trPr>
          <w:trHeight w:val="20"/>
        </w:trPr>
        <w:tc>
          <w:tcPr>
            <w:tcW w:w="74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Activity</w:t>
      </w:r>
    </w:p>
    <w:p>
      <w:pPr>
        <w:spacing w:after="0" w:line="80"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Under the terms governing the senior preferred stock, no dividends were payable to Treasury for the first quarter of 2025 and none are payable for the second quarter of 2025.</w:t>
      </w:r>
    </w:p>
    <w:p>
      <w:pPr>
        <w:spacing w:after="0" w:line="15"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Under the terms governing the senior preferred stock, through and including the capital reserve end date, any increase in our net worth during a fiscal quarter results in an increase of the same amount in the aggregate liquidation preference of the senior preferred stock in the following quarter. The capital reserve end date is defined as the last day of the second consecutive fiscal quarter during which we have had and maintained capital equal to, or in excess of, all of the capital requirements and buffers under the enterprise regulatory capital framework.</w:t>
      </w:r>
    </w:p>
    <w:p>
      <w:pPr>
        <w:spacing w:after="0" w:line="5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a result of these terms governing the senior preferred stock, the aggregate liquidation preference of the senior preferred stock increased to $216.2 billion as of March 31, 2025 from $212.0 billion as of December 31, 2024, due to the increase in our net worth in the fourth quarter of 2024. The aggregate liquidation preference of the senior preferred stock will further increase to $219.8 billion as of June 30, 2025, due to the increase in our net worth in the first quarter of 2025. See “Business—Conservatorship and Treasury Agreements—Treasury Agreements” in our 2024 Form 10-K for more information on the terms of our senior preferred stock, including how the aggregate liquidation preference is determined.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0" w:name="page51"/>
    <w:bookmarkEnd w:id="50"/>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Treasury Funding Commitment</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Treasury made a commitment under the senior preferred stock purchase agreement to provide funding to us under certain circumstances if we have a net worth deficit. As of March 31, 2025, the remaining amount of Treasury’s funding commitment to us was $113.9 billion. See “Note 2, Conservatorship, Senior Preferred Stock Purchase Agreement and Related Matters” in our 2024 Form 10-K for more information on Treasury’s funding commitment under the senior preferred stock purchase agreement.</w:t>
      </w:r>
    </w:p>
    <w:p>
      <w:pPr>
        <w:spacing w:after="0" w:line="13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are exposed to the following principal risk categories: credit risk (including mortgage credit risk and institutional counterparty credit risk), market risk (including interest-rate risk), liquidity risk, operational risk (including cyber and other information security risk), model risk, strategic risk, compliance risk and reputational risk. See “MD&amp;A—Risk Management,” “MD&amp;A—Single-Family Business—Single-Family Mortgage Credit Risk Management,” “MD&amp;A— Multifamily Business—Multifamily Mortgage Credit Risk Management” and “MD&amp;A—Liquidity and Capital Management” in our 2024 Form 10-K for a discussion of our management of the categories of risk we have determined present the most significant exposure. This section, “Single-Family Business— Single-Family Mortgage Credit Risk Management,” “Multifamily Business—Multifamily Mortgage Credit Risk Management” and “Liquidity and Capital Management” in this report supplement and update that discussion, but do not address all of these risk management categories.</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Institutional Counterparty Credit Risk Management</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Mortgage Servicers</w:t>
      </w:r>
    </w:p>
    <w:p>
      <w:pPr>
        <w:spacing w:after="0" w:line="67"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On March 31, 2025, Rocket Companies, Inc., the parent company of Rocket Mortgage, LLC announced a definitive agreement to acquire Mr. Cooper Group. Rocket Companies stated that the acquisition, which is subject to various closing conditions, is expected to close in the fourth quarter of 2025. If the acquisition is completed, we expect an increase in our single-family servicing concentration to entities controlled by Rocket Companies. As of March 31, 2025, Rocket Mortgage serviced approximately 7%, and Mr. Cooper serviced approximately 9%, of our single-family guaranty book of business, excluding loans they service on behalf of other servicers. Including loans serviced on behalf of other servicers, Rocket Mortgage serviced approximately 7%, and Mr. Cooper serviced approximately 16%, of our single-family guaranty book of business, as of March 31, 2025. These servicing concentrations are based on unpaid principal balance.</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Risk Management, including Interest-Rate Risk Management</w:t>
      </w:r>
    </w:p>
    <w:p>
      <w:pPr>
        <w:spacing w:after="0" w:line="6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are subject to market risk, which includes interest-rate risk and spread risk. These risks arise primarily from our mortgage asset investments. Interest-rate risk is the risk that movements in interest rates will adversely affect the value of our assets or liabilities or our future earnings or capital. Spread risk is the risk from changes in an instrument’s value that relate to factors other than changes in interest rates. We do not currently actively manage or hedge, on an economic basis, our spread risk, or the interest-rate risk arising from cost basis adjustments and float income associated with mortgage assets held by our consolidated MBS trusts. See “MD&amp;A—Risk Management—Market Risk Management, including Interest-Rate Risk Management” and “Risk Factors— Market and Industry Risk” in our 2024 Form 10-K for additional information, including our sources of interest-rate risk exposure, business risks posed by changes in interest rates, and our strategy for managing interest-rate risk. For additional information on the impact of interest-rate risk on our earnings, see “Earnings Exposure to Interest-Rate Risk”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48</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1" w:name="page52"/>
    <w:bookmarkEnd w:id="51"/>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Measurement of Interest-Rate Risk</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table below displays the pre-tax market value sensitivity of our net portfolio to changes in the level of interest rates and the slope of the applicable yield curve as measured on the last day of each period presented. We collectively define our net portfolio as: our retained mortgage portfolio assets; our corporate liquidity portfolio; outstanding debt of Fannie Mae used to fund the retained mortgage portfolio assets and corporate liquidity portfolio; mortgage commitments; and risk management derivatives. The table below also provides the daily average, minimum, maximum and standard deviation values for duration gap and for the most adverse market value impact on the net portfolio to changes in the level of interest rates and the slope of the applicable yield curve for the three months ended March 31, 2025 and 2024. Our practice is to allow interest rates to go below zero in the downward shock models unless otherwise prevented through contractual floors.</w:t>
      </w:r>
    </w:p>
    <w:p>
      <w:pPr>
        <w:spacing w:after="0" w:line="43"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For information on how we measure our interest-rate risk, see “MD&amp;A—Risk Management—Market Risk Management, including Interest-Rate Risk Management” in our 2024 Form 10-K.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Interest-Rate Sensitivity of Net Portfolio to Changes in Interest-Rate Level and Slope of Yield Curve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60" w:type="dxa"/>
            <w:vAlign w:val="bottom"/>
            <w:tcBorders>
              <w:top w:val="single" w:sz="8" w:color="2C6937"/>
            </w:tcBorders>
          </w:tcPr>
          <w:p>
            <w:pPr>
              <w:spacing w:after="0"/>
              <w:rPr>
                <w:sz w:val="19"/>
                <w:szCs w:val="19"/>
                <w:color w:val="auto"/>
              </w:rPr>
            </w:pPr>
          </w:p>
        </w:tc>
        <w:tc>
          <w:tcPr>
            <w:tcW w:w="1100" w:type="dxa"/>
            <w:vAlign w:val="bottom"/>
            <w:tcBorders>
              <w:top w:val="single" w:sz="8" w:color="2C6937"/>
            </w:tcBorders>
          </w:tcPr>
          <w:p>
            <w:pPr>
              <w:spacing w:after="0"/>
              <w:rPr>
                <w:sz w:val="19"/>
                <w:szCs w:val="19"/>
                <w:color w:val="auto"/>
              </w:rPr>
            </w:pPr>
          </w:p>
        </w:tc>
        <w:tc>
          <w:tcPr>
            <w:tcW w:w="100" w:type="dxa"/>
            <w:vAlign w:val="bottom"/>
            <w:tcBorders>
              <w:top w:val="single" w:sz="8" w:color="2C6937"/>
            </w:tcBorders>
          </w:tcPr>
          <w:p>
            <w:pPr>
              <w:spacing w:after="0"/>
              <w:rPr>
                <w:sz w:val="19"/>
                <w:szCs w:val="19"/>
                <w:color w:val="auto"/>
              </w:rPr>
            </w:pPr>
          </w:p>
        </w:tc>
        <w:tc>
          <w:tcPr>
            <w:tcW w:w="460" w:type="dxa"/>
            <w:vAlign w:val="bottom"/>
            <w:tcBorders>
              <w:top w:val="single" w:sz="8" w:color="2C6937"/>
            </w:tcBorders>
          </w:tcPr>
          <w:p>
            <w:pPr>
              <w:spacing w:after="0"/>
              <w:rPr>
                <w:sz w:val="19"/>
                <w:szCs w:val="19"/>
                <w:color w:val="auto"/>
              </w:rPr>
            </w:pPr>
          </w:p>
        </w:tc>
        <w:tc>
          <w:tcPr>
            <w:tcW w:w="920" w:type="dxa"/>
            <w:vAlign w:val="bottom"/>
            <w:tcBorders>
              <w:top w:val="single" w:sz="8" w:color="2C6937"/>
            </w:tcBorders>
          </w:tcPr>
          <w:p>
            <w:pPr>
              <w:spacing w:after="0"/>
              <w:rPr>
                <w:sz w:val="19"/>
                <w:szCs w:val="19"/>
                <w:color w:val="auto"/>
              </w:rPr>
            </w:pPr>
          </w:p>
        </w:tc>
        <w:tc>
          <w:tcPr>
            <w:tcW w:w="860" w:type="dxa"/>
            <w:vAlign w:val="bottom"/>
            <w:tcBorders>
              <w:top w:val="single" w:sz="8" w:color="2C6937"/>
            </w:tcBorders>
          </w:tcPr>
          <w:p>
            <w:pPr>
              <w:spacing w:after="0"/>
              <w:rPr>
                <w:sz w:val="19"/>
                <w:szCs w:val="19"/>
                <w:color w:val="auto"/>
              </w:rPr>
            </w:pPr>
          </w:p>
        </w:tc>
        <w:tc>
          <w:tcPr>
            <w:tcW w:w="640" w:type="dxa"/>
            <w:vAlign w:val="bottom"/>
            <w:tcBorders>
              <w:top w:val="single" w:sz="8" w:color="2C6937"/>
            </w:tcBorders>
          </w:tcPr>
          <w:p>
            <w:pPr>
              <w:spacing w:after="0"/>
              <w:rPr>
                <w:sz w:val="19"/>
                <w:szCs w:val="19"/>
                <w:color w:val="auto"/>
              </w:rPr>
            </w:pPr>
          </w:p>
        </w:tc>
        <w:tc>
          <w:tcPr>
            <w:tcW w:w="140" w:type="dxa"/>
            <w:vAlign w:val="bottom"/>
            <w:tcBorders>
              <w:top w:val="single" w:sz="8" w:color="2C6937"/>
            </w:tcBorders>
          </w:tcPr>
          <w:p>
            <w:pPr>
              <w:spacing w:after="0"/>
              <w:rPr>
                <w:sz w:val="19"/>
                <w:szCs w:val="19"/>
                <w:color w:val="auto"/>
              </w:rPr>
            </w:pPr>
          </w:p>
        </w:tc>
        <w:tc>
          <w:tcPr>
            <w:tcW w:w="180" w:type="dxa"/>
            <w:vAlign w:val="bottom"/>
            <w:tcBorders>
              <w:top w:val="single" w:sz="8" w:color="2C6937"/>
            </w:tcBorders>
          </w:tcPr>
          <w:p>
            <w:pPr>
              <w:spacing w:after="0"/>
              <w:rPr>
                <w:sz w:val="19"/>
                <w:szCs w:val="19"/>
                <w:color w:val="auto"/>
              </w:rPr>
            </w:pPr>
          </w:p>
        </w:tc>
        <w:tc>
          <w:tcPr>
            <w:tcW w:w="94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80" w:type="dxa"/>
            <w:vAlign w:val="bottom"/>
            <w:tcBorders>
              <w:top w:val="single" w:sz="8" w:color="2C6937"/>
              <w:bottom w:val="single" w:sz="8" w:color="2C6937"/>
            </w:tcBorders>
          </w:tcPr>
          <w:p>
            <w:pPr>
              <w:spacing w:after="0"/>
              <w:rPr>
                <w:sz w:val="19"/>
                <w:szCs w:val="19"/>
                <w:color w:val="auto"/>
              </w:rPr>
            </w:pPr>
          </w:p>
        </w:tc>
        <w:tc>
          <w:tcPr>
            <w:tcW w:w="380" w:type="dxa"/>
            <w:vAlign w:val="bottom"/>
            <w:tcBorders>
              <w:top w:val="single" w:sz="8" w:color="2C6937"/>
              <w:bottom w:val="single" w:sz="8" w:color="2C6937"/>
            </w:tcBorders>
          </w:tcPr>
          <w:p>
            <w:pPr>
              <w:spacing w:after="0"/>
              <w:rPr>
                <w:sz w:val="19"/>
                <w:szCs w:val="19"/>
                <w:color w:val="auto"/>
              </w:rPr>
            </w:pPr>
          </w:p>
        </w:tc>
        <w:tc>
          <w:tcPr>
            <w:tcW w:w="820" w:type="dxa"/>
            <w:vAlign w:val="bottom"/>
            <w:tcBorders>
              <w:top w:val="single" w:sz="8" w:color="2C6937"/>
              <w:bottom w:val="single" w:sz="8" w:color="2C6937"/>
            </w:tcBorders>
          </w:tcPr>
          <w:p>
            <w:pPr>
              <w:jc w:val="center"/>
              <w:spacing w:after="0" w:line="218" w:lineRule="exact"/>
              <w:rPr>
                <w:sz w:val="20"/>
                <w:szCs w:val="20"/>
                <w:color w:val="auto"/>
              </w:rPr>
            </w:pPr>
            <w:r>
              <w:rPr>
                <w:rFonts w:ascii="Arial" w:cs="Arial" w:eastAsia="Arial" w:hAnsi="Arial"/>
                <w:sz w:val="25"/>
                <w:szCs w:val="25"/>
                <w:b w:val="1"/>
                <w:bCs w:val="1"/>
                <w:color w:val="auto"/>
                <w:w w:val="87"/>
                <w:vertAlign w:val="subscript"/>
              </w:rPr>
              <w:t>As of</w:t>
            </w:r>
            <w:r>
              <w:rPr>
                <w:rFonts w:ascii="Arial" w:cs="Arial" w:eastAsia="Arial" w:hAnsi="Arial"/>
                <w:sz w:val="9"/>
                <w:szCs w:val="9"/>
                <w:b w:val="1"/>
                <w:bCs w:val="1"/>
                <w:color w:val="auto"/>
                <w:w w:val="87"/>
              </w:rPr>
              <w:t>(1)(2)</w:t>
            </w:r>
          </w:p>
        </w:tc>
        <w:tc>
          <w:tcPr>
            <w:tcW w:w="700" w:type="dxa"/>
            <w:vAlign w:val="bottom"/>
            <w:tcBorders>
              <w:top w:val="single" w:sz="8" w:color="2C6937"/>
              <w:bottom w:val="single" w:sz="8" w:color="2C6937"/>
            </w:tcBorders>
          </w:tcPr>
          <w:p>
            <w:pPr>
              <w:spacing w:after="0"/>
              <w:rPr>
                <w:sz w:val="19"/>
                <w:szCs w:val="19"/>
                <w:color w:val="auto"/>
              </w:rPr>
            </w:pPr>
          </w:p>
        </w:tc>
        <w:tc>
          <w:tcPr>
            <w:tcW w:w="860" w:type="dxa"/>
            <w:vAlign w:val="bottom"/>
            <w:tcBorders>
              <w:top w:val="single" w:sz="8" w:color="2C6937"/>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bottom w:val="single" w:sz="8" w:color="2C6937"/>
            </w:tcBorders>
            <w:gridSpan w:val="4"/>
          </w:tcPr>
          <w:p>
            <w:pPr>
              <w:jc w:val="right"/>
              <w:ind w:right="5"/>
              <w:spacing w:after="0"/>
              <w:rPr>
                <w:sz w:val="20"/>
                <w:szCs w:val="20"/>
                <w:color w:val="auto"/>
              </w:rPr>
            </w:pPr>
            <w:r>
              <w:rPr>
                <w:rFonts w:ascii="Arial" w:cs="Arial" w:eastAsia="Arial" w:hAnsi="Arial"/>
                <w:sz w:val="14"/>
                <w:szCs w:val="14"/>
                <w:b w:val="1"/>
                <w:bCs w:val="1"/>
                <w:color w:val="auto"/>
              </w:rPr>
              <w:t>March 31, 2025</w:t>
            </w:r>
          </w:p>
        </w:tc>
        <w:tc>
          <w:tcPr>
            <w:tcW w:w="8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gridSpan w:val="2"/>
          </w:tcPr>
          <w:p>
            <w:pPr>
              <w:jc w:val="right"/>
              <w:ind w:right="243"/>
              <w:spacing w:after="0"/>
              <w:rPr>
                <w:sz w:val="20"/>
                <w:szCs w:val="20"/>
                <w:color w:val="auto"/>
              </w:rPr>
            </w:pPr>
            <w:r>
              <w:rPr>
                <w:rFonts w:ascii="Arial" w:cs="Arial" w:eastAsia="Arial" w:hAnsi="Arial"/>
                <w:sz w:val="14"/>
                <w:szCs w:val="14"/>
                <w:b w:val="1"/>
                <w:bCs w:val="1"/>
                <w:color w:val="auto"/>
                <w:w w:val="96"/>
              </w:rPr>
              <w:t>December 31, 2024</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3"/>
          </w:tcPr>
          <w:p>
            <w:pPr>
              <w:jc w:val="center"/>
              <w:ind w:right="187"/>
              <w:spacing w:after="0"/>
              <w:rPr>
                <w:sz w:val="20"/>
                <w:szCs w:val="20"/>
                <w:color w:val="auto"/>
              </w:rPr>
            </w:pPr>
            <w:r>
              <w:rPr>
                <w:rFonts w:ascii="Arial" w:cs="Arial" w:eastAsia="Arial" w:hAnsi="Arial"/>
                <w:sz w:val="14"/>
                <w:szCs w:val="14"/>
                <w:b w:val="1"/>
                <w:bCs w:val="1"/>
                <w:color w:val="auto"/>
                <w:w w:val="98"/>
              </w:rPr>
              <w:t>(Dollars 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level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08"/>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25"/>
              <w:spacing w:after="0"/>
              <w:rPr>
                <w:sz w:val="20"/>
                <w:szCs w:val="20"/>
                <w:color w:val="auto"/>
              </w:rPr>
            </w:pPr>
            <w:r>
              <w:rPr>
                <w:rFonts w:ascii="Arial" w:cs="Arial" w:eastAsia="Arial" w:hAnsi="Arial"/>
                <w:sz w:val="15"/>
                <w:szCs w:val="15"/>
                <w:b w:val="1"/>
                <w:bCs w:val="1"/>
                <w:color w:val="auto"/>
              </w:rPr>
              <w:t>(6)</w:t>
            </w:r>
          </w:p>
        </w:tc>
        <w:tc>
          <w:tcPr>
            <w:tcW w:w="820" w:type="dxa"/>
            <w:vAlign w:val="bottom"/>
          </w:tcPr>
          <w:p>
            <w:pPr>
              <w:spacing w:after="0"/>
              <w:rPr>
                <w:sz w:val="17"/>
                <w:szCs w:val="17"/>
                <w:color w:val="auto"/>
              </w:rPr>
            </w:pPr>
          </w:p>
        </w:tc>
        <w:tc>
          <w:tcPr>
            <w:tcW w:w="700" w:type="dxa"/>
            <w:vAlign w:val="bottom"/>
          </w:tcPr>
          <w:p>
            <w:pPr>
              <w:jc w:val="right"/>
              <w:ind w:right="38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25"/>
              <w:spacing w:after="0"/>
              <w:rPr>
                <w:sz w:val="20"/>
                <w:szCs w:val="20"/>
                <w:color w:val="auto"/>
              </w:rPr>
            </w:pPr>
            <w:r>
              <w:rPr>
                <w:rFonts w:ascii="Arial" w:cs="Arial" w:eastAsia="Arial" w:hAnsi="Arial"/>
                <w:sz w:val="15"/>
                <w:szCs w:val="15"/>
                <w:b w:val="1"/>
                <w:bCs w:val="1"/>
                <w:color w:val="auto"/>
              </w:rPr>
              <w:t>(6)</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65"/>
              <w:spacing w:after="0"/>
              <w:rPr>
                <w:sz w:val="20"/>
                <w:szCs w:val="20"/>
                <w:color w:val="auto"/>
              </w:rPr>
            </w:pPr>
            <w:r>
              <w:rPr>
                <w:rFonts w:ascii="Arial" w:cs="Arial" w:eastAsia="Arial" w:hAnsi="Arial"/>
                <w:sz w:val="15"/>
                <w:szCs w:val="15"/>
                <w:b w:val="1"/>
                <w:bCs w:val="1"/>
                <w:color w:val="auto"/>
              </w:rPr>
              <w:t>17</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8"/>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65"/>
              <w:spacing w:after="0"/>
              <w:rPr>
                <w:sz w:val="20"/>
                <w:szCs w:val="20"/>
                <w:color w:val="auto"/>
              </w:rPr>
            </w:pPr>
            <w:r>
              <w:rPr>
                <w:rFonts w:ascii="Arial" w:cs="Arial" w:eastAsia="Arial" w:hAnsi="Arial"/>
                <w:sz w:val="15"/>
                <w:szCs w:val="15"/>
                <w:b w:val="1"/>
                <w:bCs w:val="1"/>
                <w:color w:val="auto"/>
              </w:rPr>
              <w:t>41</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4"/>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slope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(flattening)</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65"/>
              <w:spacing w:after="0"/>
              <w:rPr>
                <w:sz w:val="20"/>
                <w:szCs w:val="20"/>
                <w:color w:val="auto"/>
              </w:rPr>
            </w:pPr>
            <w:r>
              <w:rPr>
                <w:rFonts w:ascii="Arial" w:cs="Arial" w:eastAsia="Arial" w:hAnsi="Arial"/>
                <w:sz w:val="15"/>
                <w:szCs w:val="15"/>
                <w:b w:val="1"/>
                <w:bCs w:val="1"/>
                <w:color w:val="auto"/>
              </w:rPr>
              <w:t>3</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4"/>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(steepening)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25"/>
              <w:spacing w:after="0"/>
              <w:rPr>
                <w:sz w:val="20"/>
                <w:szCs w:val="20"/>
                <w:color w:val="auto"/>
              </w:rPr>
            </w:pPr>
            <w:r>
              <w:rPr>
                <w:rFonts w:ascii="Arial" w:cs="Arial" w:eastAsia="Arial" w:hAnsi="Arial"/>
                <w:sz w:val="15"/>
                <w:szCs w:val="15"/>
                <w:b w:val="1"/>
                <w:bCs w:val="1"/>
                <w:color w:val="auto"/>
              </w:rPr>
              <w:t>(5)</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06"/>
        </w:trPr>
        <w:tc>
          <w:tcPr>
            <w:tcW w:w="2960" w:type="dxa"/>
            <w:vAlign w:val="bottom"/>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2940" w:type="dxa"/>
            <w:vAlign w:val="bottom"/>
            <w:tcBorders>
              <w:bottom w:val="single" w:sz="8" w:color="2C6937"/>
            </w:tcBorders>
            <w:gridSpan w:val="7"/>
          </w:tcPr>
          <w:p>
            <w:pPr>
              <w:ind w:left="180"/>
              <w:spacing w:after="0"/>
              <w:rPr>
                <w:sz w:val="20"/>
                <w:szCs w:val="20"/>
                <w:color w:val="auto"/>
              </w:rPr>
            </w:pPr>
            <w:r>
              <w:rPr>
                <w:rFonts w:ascii="Arial" w:cs="Arial" w:eastAsia="Arial" w:hAnsi="Arial"/>
                <w:sz w:val="14"/>
                <w:szCs w:val="14"/>
                <w:b w:val="1"/>
                <w:bCs w:val="1"/>
                <w:color w:val="auto"/>
                <w:w w:val="95"/>
              </w:rPr>
              <w:t>For the Three Months Ended March 31,</w:t>
            </w:r>
            <w:r>
              <w:rPr>
                <w:rFonts w:ascii="Arial" w:cs="Arial" w:eastAsia="Arial" w:hAnsi="Arial"/>
                <w:sz w:val="17"/>
                <w:szCs w:val="17"/>
                <w:b w:val="1"/>
                <w:bCs w:val="1"/>
                <w:color w:val="auto"/>
                <w:w w:val="95"/>
                <w:vertAlign w:val="superscript"/>
              </w:rPr>
              <w:t>(1)(3)</w:t>
            </w:r>
          </w:p>
        </w:tc>
        <w:tc>
          <w:tcPr>
            <w:tcW w:w="38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ind w:right="307"/>
              <w:spacing w:after="0"/>
              <w:rPr>
                <w:sz w:val="20"/>
                <w:szCs w:val="20"/>
                <w:color w:val="auto"/>
              </w:rPr>
            </w:pPr>
            <w:r>
              <w:rPr>
                <w:rFonts w:ascii="Arial" w:cs="Arial" w:eastAsia="Arial" w:hAnsi="Arial"/>
                <w:sz w:val="14"/>
                <w:szCs w:val="14"/>
                <w:b w:val="1"/>
                <w:bCs w:val="1"/>
                <w:color w:val="auto"/>
              </w:rPr>
              <w:t>2025</w:t>
            </w:r>
          </w:p>
        </w:tc>
        <w:tc>
          <w:tcPr>
            <w:tcW w:w="8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250"/>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Duration Gap</w:t>
            </w:r>
          </w:p>
        </w:tc>
        <w:tc>
          <w:tcPr>
            <w:tcW w:w="1380" w:type="dxa"/>
            <w:vAlign w:val="bottom"/>
            <w:gridSpan w:val="2"/>
          </w:tcPr>
          <w:p>
            <w:pPr>
              <w:jc w:val="right"/>
              <w:ind w:right="47"/>
              <w:spacing w:after="0" w:line="139" w:lineRule="exact"/>
              <w:rPr>
                <w:sz w:val="20"/>
                <w:szCs w:val="20"/>
                <w:color w:val="auto"/>
              </w:rPr>
            </w:pPr>
            <w:r>
              <w:rPr>
                <w:rFonts w:ascii="Arial" w:cs="Arial" w:eastAsia="Arial" w:hAnsi="Arial"/>
                <w:sz w:val="14"/>
                <w:szCs w:val="14"/>
                <w:b w:val="1"/>
                <w:bCs w:val="1"/>
                <w:color w:val="auto"/>
              </w:rPr>
              <w:t>Rate Slope Shock</w:t>
            </w:r>
          </w:p>
        </w:tc>
        <w:tc>
          <w:tcPr>
            <w:tcW w:w="150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Rate Level Shock 50</w:t>
            </w:r>
          </w:p>
        </w:tc>
        <w:tc>
          <w:tcPr>
            <w:tcW w:w="140" w:type="dxa"/>
            <w:vAlign w:val="bottom"/>
          </w:tcPr>
          <w:p>
            <w:pPr>
              <w:spacing w:after="0"/>
              <w:rPr>
                <w:sz w:val="12"/>
                <w:szCs w:val="12"/>
                <w:color w:val="auto"/>
              </w:rPr>
            </w:pPr>
          </w:p>
        </w:tc>
        <w:tc>
          <w:tcPr>
            <w:tcW w:w="13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9"/>
              </w:rPr>
              <w:t>Duration Gap</w:t>
            </w:r>
          </w:p>
        </w:tc>
        <w:tc>
          <w:tcPr>
            <w:tcW w:w="120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w w:val="98"/>
              </w:rPr>
              <w:t>Rate Slope Shock</w:t>
            </w:r>
          </w:p>
        </w:tc>
        <w:tc>
          <w:tcPr>
            <w:tcW w:w="156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Rate Level Shock 50</w:t>
            </w:r>
          </w:p>
        </w:tc>
        <w:tc>
          <w:tcPr>
            <w:tcW w:w="0" w:type="dxa"/>
            <w:vAlign w:val="bottom"/>
          </w:tcPr>
          <w:p>
            <w:pPr>
              <w:spacing w:after="0"/>
              <w:rPr>
                <w:sz w:val="1"/>
                <w:szCs w:val="1"/>
                <w:color w:val="auto"/>
              </w:rPr>
            </w:pPr>
          </w:p>
        </w:tc>
      </w:tr>
      <w:tr>
        <w:trPr>
          <w:trHeight w:val="177"/>
        </w:trPr>
        <w:tc>
          <w:tcPr>
            <w:tcW w:w="29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07"/>
              <w:spacing w:after="0"/>
              <w:rPr>
                <w:sz w:val="20"/>
                <w:szCs w:val="20"/>
                <w:color w:val="auto"/>
              </w:rPr>
            </w:pPr>
            <w:r>
              <w:rPr>
                <w:rFonts w:ascii="Arial" w:cs="Arial" w:eastAsia="Arial" w:hAnsi="Arial"/>
                <w:sz w:val="14"/>
                <w:szCs w:val="14"/>
                <w:b w:val="1"/>
                <w:bCs w:val="1"/>
                <w:color w:val="auto"/>
                <w:w w:val="94"/>
              </w:rPr>
              <w:t>25 bps</w:t>
            </w:r>
          </w:p>
        </w:tc>
        <w:tc>
          <w:tcPr>
            <w:tcW w:w="1500" w:type="dxa"/>
            <w:vAlign w:val="bottom"/>
            <w:gridSpan w:val="2"/>
          </w:tcPr>
          <w:p>
            <w:pPr>
              <w:jc w:val="right"/>
              <w:ind w:right="503"/>
              <w:spacing w:after="0"/>
              <w:rPr>
                <w:sz w:val="20"/>
                <w:szCs w:val="20"/>
                <w:color w:val="auto"/>
              </w:rPr>
            </w:pPr>
            <w:r>
              <w:rPr>
                <w:rFonts w:ascii="Arial" w:cs="Arial" w:eastAsia="Arial" w:hAnsi="Arial"/>
                <w:sz w:val="14"/>
                <w:szCs w:val="14"/>
                <w:b w:val="1"/>
                <w:bCs w:val="1"/>
                <w:color w:val="auto"/>
              </w:rPr>
              <w:t>bps</w:t>
            </w:r>
          </w:p>
        </w:tc>
        <w:tc>
          <w:tcPr>
            <w:tcW w:w="14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ind w:right="310"/>
              <w:spacing w:after="0"/>
              <w:rPr>
                <w:sz w:val="20"/>
                <w:szCs w:val="20"/>
                <w:color w:val="auto"/>
              </w:rPr>
            </w:pPr>
            <w:r>
              <w:rPr>
                <w:rFonts w:ascii="Arial" w:cs="Arial" w:eastAsia="Arial" w:hAnsi="Arial"/>
                <w:sz w:val="14"/>
                <w:szCs w:val="14"/>
                <w:b w:val="1"/>
                <w:bCs w:val="1"/>
                <w:color w:val="auto"/>
                <w:w w:val="94"/>
              </w:rPr>
              <w:t>25 bps</w:t>
            </w:r>
          </w:p>
        </w:tc>
        <w:tc>
          <w:tcPr>
            <w:tcW w:w="700" w:type="dxa"/>
            <w:vAlign w:val="bottom"/>
          </w:tcPr>
          <w:p>
            <w:pPr>
              <w:spacing w:after="0"/>
              <w:rPr>
                <w:sz w:val="15"/>
                <w:szCs w:val="15"/>
                <w:color w:val="auto"/>
              </w:rPr>
            </w:pPr>
          </w:p>
        </w:tc>
        <w:tc>
          <w:tcPr>
            <w:tcW w:w="860" w:type="dxa"/>
            <w:vAlign w:val="bottom"/>
          </w:tcPr>
          <w:p>
            <w:pPr>
              <w:jc w:val="right"/>
              <w:ind w:right="483"/>
              <w:spacing w:after="0"/>
              <w:rPr>
                <w:sz w:val="20"/>
                <w:szCs w:val="20"/>
                <w:color w:val="auto"/>
              </w:rPr>
            </w:pPr>
            <w:r>
              <w:rPr>
                <w:rFonts w:ascii="Arial" w:cs="Arial" w:eastAsia="Arial" w:hAnsi="Arial"/>
                <w:sz w:val="14"/>
                <w:szCs w:val="14"/>
                <w:b w:val="1"/>
                <w:bCs w:val="1"/>
                <w:color w:val="auto"/>
              </w:rPr>
              <w:t>bps</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2C6937"/>
              <w:bottom w:val="single" w:sz="8" w:color="2C6937"/>
            </w:tcBorders>
          </w:tcPr>
          <w:p>
            <w:pPr>
              <w:spacing w:after="0"/>
              <w:rPr>
                <w:sz w:val="16"/>
                <w:szCs w:val="16"/>
                <w:color w:val="auto"/>
              </w:rPr>
            </w:pPr>
          </w:p>
        </w:tc>
        <w:tc>
          <w:tcPr>
            <w:tcW w:w="1780" w:type="dxa"/>
            <w:vAlign w:val="bottom"/>
            <w:tcBorders>
              <w:top w:val="single" w:sz="8" w:color="2C6937"/>
              <w:bottom w:val="single" w:sz="8" w:color="2C6937"/>
            </w:tcBorders>
            <w:gridSpan w:val="2"/>
          </w:tcPr>
          <w:p>
            <w:pPr>
              <w:jc w:val="center"/>
              <w:ind w:left="107"/>
              <w:spacing w:after="0"/>
              <w:rPr>
                <w:sz w:val="20"/>
                <w:szCs w:val="20"/>
                <w:color w:val="auto"/>
              </w:rPr>
            </w:pPr>
            <w:r>
              <w:rPr>
                <w:rFonts w:ascii="Arial" w:cs="Arial" w:eastAsia="Arial" w:hAnsi="Arial"/>
                <w:sz w:val="14"/>
                <w:szCs w:val="14"/>
                <w:b w:val="1"/>
                <w:bCs w:val="1"/>
                <w:color w:val="auto"/>
                <w:w w:val="97"/>
              </w:rPr>
              <w:t>Market Value Sensitivity</w:t>
            </w:r>
          </w:p>
        </w:tc>
        <w:tc>
          <w:tcPr>
            <w:tcW w:w="640" w:type="dxa"/>
            <w:vAlign w:val="bottom"/>
            <w:tcBorders>
              <w:top w:val="single" w:sz="8" w:color="2C6937"/>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94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2C6937"/>
              <w:bottom w:val="single" w:sz="8" w:color="2C6937"/>
            </w:tcBorders>
          </w:tcPr>
          <w:p>
            <w:pPr>
              <w:spacing w:after="0"/>
              <w:rPr>
                <w:sz w:val="16"/>
                <w:szCs w:val="16"/>
                <w:color w:val="auto"/>
              </w:rPr>
            </w:pPr>
          </w:p>
        </w:tc>
        <w:tc>
          <w:tcPr>
            <w:tcW w:w="380" w:type="dxa"/>
            <w:vAlign w:val="bottom"/>
            <w:tcBorders>
              <w:top w:val="single" w:sz="8" w:color="2C6937"/>
              <w:bottom w:val="single" w:sz="8" w:color="2C6937"/>
            </w:tcBorders>
          </w:tcPr>
          <w:p>
            <w:pPr>
              <w:spacing w:after="0"/>
              <w:rPr>
                <w:sz w:val="16"/>
                <w:szCs w:val="16"/>
                <w:color w:val="auto"/>
              </w:rPr>
            </w:pPr>
          </w:p>
        </w:tc>
        <w:tc>
          <w:tcPr>
            <w:tcW w:w="2380" w:type="dxa"/>
            <w:vAlign w:val="bottom"/>
            <w:tcBorders>
              <w:top w:val="single" w:sz="8" w:color="2C6937"/>
              <w:bottom w:val="single" w:sz="8" w:color="2C6937"/>
            </w:tcBorders>
            <w:gridSpan w:val="3"/>
          </w:tcPr>
          <w:p>
            <w:pPr>
              <w:jc w:val="right"/>
              <w:ind w:right="563"/>
              <w:spacing w:after="0"/>
              <w:rPr>
                <w:sz w:val="20"/>
                <w:szCs w:val="20"/>
                <w:color w:val="auto"/>
              </w:rPr>
            </w:pPr>
            <w:r>
              <w:rPr>
                <w:rFonts w:ascii="Arial" w:cs="Arial" w:eastAsia="Arial" w:hAnsi="Arial"/>
                <w:sz w:val="14"/>
                <w:szCs w:val="14"/>
                <w:b w:val="1"/>
                <w:bCs w:val="1"/>
                <w:color w:val="auto"/>
              </w:rPr>
              <w:t>Market Value Sensitivity</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 years)</w:t>
            </w:r>
          </w:p>
        </w:tc>
        <w:tc>
          <w:tcPr>
            <w:tcW w:w="460" w:type="dxa"/>
            <w:vAlign w:val="bottom"/>
          </w:tcPr>
          <w:p>
            <w:pPr>
              <w:spacing w:after="0"/>
              <w:rPr>
                <w:sz w:val="16"/>
                <w:szCs w:val="16"/>
                <w:color w:val="auto"/>
              </w:rPr>
            </w:pPr>
          </w:p>
        </w:tc>
        <w:tc>
          <w:tcPr>
            <w:tcW w:w="1780" w:type="dxa"/>
            <w:vAlign w:val="bottom"/>
            <w:gridSpan w:val="2"/>
          </w:tcPr>
          <w:p>
            <w:pPr>
              <w:jc w:val="center"/>
              <w:ind w:left="107"/>
              <w:spacing w:after="0"/>
              <w:rPr>
                <w:sz w:val="20"/>
                <w:szCs w:val="20"/>
                <w:color w:val="auto"/>
              </w:rPr>
            </w:pPr>
            <w:r>
              <w:rPr>
                <w:rFonts w:ascii="Arial" w:cs="Arial" w:eastAsia="Arial" w:hAnsi="Arial"/>
                <w:sz w:val="14"/>
                <w:szCs w:val="14"/>
                <w:b w:val="1"/>
                <w:bCs w:val="1"/>
                <w:color w:val="auto"/>
                <w:w w:val="98"/>
              </w:rPr>
              <w:t>(Dollars in millions)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(In years)</w:t>
            </w:r>
          </w:p>
        </w:tc>
        <w:tc>
          <w:tcPr>
            <w:tcW w:w="380" w:type="dxa"/>
            <w:vAlign w:val="bottom"/>
          </w:tcPr>
          <w:p>
            <w:pPr>
              <w:spacing w:after="0"/>
              <w:rPr>
                <w:sz w:val="16"/>
                <w:szCs w:val="16"/>
                <w:color w:val="auto"/>
              </w:rPr>
            </w:pPr>
          </w:p>
        </w:tc>
        <w:tc>
          <w:tcPr>
            <w:tcW w:w="2380" w:type="dxa"/>
            <w:vAlign w:val="bottom"/>
            <w:gridSpan w:val="3"/>
          </w:tcPr>
          <w:p>
            <w:pPr>
              <w:jc w:val="right"/>
              <w:ind w:right="703"/>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Arial" w:cs="Arial" w:eastAsia="Arial" w:hAnsi="Arial"/>
                <w:sz w:val="15"/>
                <w:szCs w:val="15"/>
                <w:color w:val="auto"/>
              </w:rPr>
              <w:t>Average</w:t>
            </w:r>
          </w:p>
        </w:tc>
        <w:tc>
          <w:tcPr>
            <w:tcW w:w="1100" w:type="dxa"/>
            <w:vAlign w:val="bottom"/>
          </w:tcPr>
          <w:p>
            <w:pPr>
              <w:jc w:val="right"/>
              <w:ind w:right="326"/>
              <w:spacing w:after="0"/>
              <w:rPr>
                <w:sz w:val="20"/>
                <w:szCs w:val="20"/>
                <w:color w:val="auto"/>
              </w:rPr>
            </w:pPr>
            <w:r>
              <w:rPr>
                <w:rFonts w:ascii="Arial" w:cs="Arial" w:eastAsia="Arial" w:hAnsi="Arial"/>
                <w:sz w:val="15"/>
                <w:szCs w:val="15"/>
                <w:b w:val="1"/>
                <w:bCs w:val="1"/>
                <w:color w:val="auto"/>
              </w:rPr>
              <w:t>0.01</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(4)</w:t>
            </w:r>
          </w:p>
        </w:tc>
        <w:tc>
          <w:tcPr>
            <w:tcW w:w="860" w:type="dxa"/>
            <w:vAlign w:val="bottom"/>
          </w:tcPr>
          <w:p>
            <w:pPr>
              <w:jc w:val="right"/>
              <w:ind w:right="209"/>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303"/>
              <w:spacing w:after="0"/>
              <w:rPr>
                <w:sz w:val="20"/>
                <w:szCs w:val="20"/>
                <w:color w:val="auto"/>
              </w:rPr>
            </w:pPr>
            <w:r>
              <w:rPr>
                <w:rFonts w:ascii="Arial" w:cs="Arial" w:eastAsia="Arial" w:hAnsi="Arial"/>
                <w:sz w:val="15"/>
                <w:szCs w:val="15"/>
                <w:b w:val="1"/>
                <w:bCs w:val="1"/>
                <w:color w:val="auto"/>
                <w:w w:val="89"/>
              </w:rPr>
              <w:t>(13)</w:t>
            </w:r>
          </w:p>
        </w:tc>
        <w:tc>
          <w:tcPr>
            <w:tcW w:w="1260" w:type="dxa"/>
            <w:vAlign w:val="bottom"/>
            <w:gridSpan w:val="3"/>
          </w:tcPr>
          <w:p>
            <w:pPr>
              <w:jc w:val="center"/>
              <w:ind w:left="43"/>
              <w:spacing w:after="0"/>
              <w:rPr>
                <w:sz w:val="20"/>
                <w:szCs w:val="20"/>
                <w:color w:val="auto"/>
              </w:rPr>
            </w:pPr>
            <w:r>
              <w:rPr>
                <w:rFonts w:ascii="Arial" w:cs="Arial" w:eastAsia="Arial" w:hAnsi="Arial"/>
                <w:sz w:val="15"/>
                <w:szCs w:val="15"/>
                <w:color w:val="auto"/>
              </w:rPr>
              <w:t>0.04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30"/>
              <w:spacing w:after="0"/>
              <w:rPr>
                <w:sz w:val="20"/>
                <w:szCs w:val="20"/>
                <w:color w:val="auto"/>
              </w:rPr>
            </w:pPr>
            <w:r>
              <w:rPr>
                <w:rFonts w:ascii="Arial" w:cs="Arial" w:eastAsia="Arial" w:hAnsi="Arial"/>
                <w:sz w:val="15"/>
                <w:szCs w:val="15"/>
                <w:color w:val="auto"/>
              </w:rPr>
              <w:t>(9)</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center"/>
              <w:ind w:right="63"/>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Minimum</w:t>
            </w:r>
          </w:p>
        </w:tc>
        <w:tc>
          <w:tcPr>
            <w:tcW w:w="1100" w:type="dxa"/>
            <w:vAlign w:val="bottom"/>
          </w:tcPr>
          <w:p>
            <w:pPr>
              <w:jc w:val="right"/>
              <w:ind w:right="266"/>
              <w:spacing w:after="0"/>
              <w:rPr>
                <w:sz w:val="20"/>
                <w:szCs w:val="20"/>
                <w:color w:val="auto"/>
              </w:rPr>
            </w:pPr>
            <w:r>
              <w:rPr>
                <w:rFonts w:ascii="Arial" w:cs="Arial" w:eastAsia="Arial" w:hAnsi="Arial"/>
                <w:sz w:val="15"/>
                <w:szCs w:val="15"/>
                <w:b w:val="1"/>
                <w:bCs w:val="1"/>
                <w:color w:val="auto"/>
              </w:rPr>
              <w:t>(0.02)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(9)</w:t>
            </w:r>
          </w:p>
        </w:tc>
        <w:tc>
          <w:tcPr>
            <w:tcW w:w="860" w:type="dxa"/>
            <w:vAlign w:val="bottom"/>
          </w:tcPr>
          <w:p>
            <w:pPr>
              <w:spacing w:after="0"/>
              <w:rPr>
                <w:sz w:val="17"/>
                <w:szCs w:val="17"/>
                <w:color w:val="auto"/>
              </w:rPr>
            </w:pPr>
          </w:p>
        </w:tc>
        <w:tc>
          <w:tcPr>
            <w:tcW w:w="640" w:type="dxa"/>
            <w:vAlign w:val="bottom"/>
          </w:tcPr>
          <w:p>
            <w:pPr>
              <w:jc w:val="right"/>
              <w:ind w:right="303"/>
              <w:spacing w:after="0"/>
              <w:rPr>
                <w:sz w:val="20"/>
                <w:szCs w:val="20"/>
                <w:color w:val="auto"/>
              </w:rPr>
            </w:pPr>
            <w:r>
              <w:rPr>
                <w:rFonts w:ascii="Arial" w:cs="Arial" w:eastAsia="Arial" w:hAnsi="Arial"/>
                <w:sz w:val="15"/>
                <w:szCs w:val="15"/>
                <w:b w:val="1"/>
                <w:bCs w:val="1"/>
                <w:color w:val="auto"/>
                <w:w w:val="89"/>
              </w:rPr>
              <w:t>(24)</w:t>
            </w:r>
          </w:p>
        </w:tc>
        <w:tc>
          <w:tcPr>
            <w:tcW w:w="1260" w:type="dxa"/>
            <w:vAlign w:val="bottom"/>
            <w:gridSpan w:val="3"/>
          </w:tcPr>
          <w:p>
            <w:pPr>
              <w:jc w:val="center"/>
              <w:ind w:left="43"/>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ind w:right="230"/>
              <w:spacing w:after="0"/>
              <w:rPr>
                <w:sz w:val="20"/>
                <w:szCs w:val="20"/>
                <w:color w:val="auto"/>
              </w:rPr>
            </w:pPr>
            <w:r>
              <w:rPr>
                <w:rFonts w:ascii="Arial" w:cs="Arial" w:eastAsia="Arial" w:hAnsi="Arial"/>
                <w:sz w:val="15"/>
                <w:szCs w:val="15"/>
                <w:color w:val="auto"/>
              </w:rPr>
              <w:t>(14)</w:t>
            </w:r>
          </w:p>
        </w:tc>
        <w:tc>
          <w:tcPr>
            <w:tcW w:w="700" w:type="dxa"/>
            <w:vAlign w:val="bottom"/>
          </w:tcPr>
          <w:p>
            <w:pPr>
              <w:spacing w:after="0"/>
              <w:rPr>
                <w:sz w:val="17"/>
                <w:szCs w:val="17"/>
                <w:color w:val="auto"/>
              </w:rPr>
            </w:pPr>
          </w:p>
        </w:tc>
        <w:tc>
          <w:tcPr>
            <w:tcW w:w="860" w:type="dxa"/>
            <w:vAlign w:val="bottom"/>
          </w:tcPr>
          <w:p>
            <w:pPr>
              <w:jc w:val="center"/>
              <w:ind w:right="63"/>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Maximum</w:t>
            </w:r>
          </w:p>
        </w:tc>
        <w:tc>
          <w:tcPr>
            <w:tcW w:w="1100" w:type="dxa"/>
            <w:vAlign w:val="bottom"/>
          </w:tcPr>
          <w:p>
            <w:pPr>
              <w:jc w:val="right"/>
              <w:ind w:right="326"/>
              <w:spacing w:after="0"/>
              <w:rPr>
                <w:sz w:val="20"/>
                <w:szCs w:val="20"/>
                <w:color w:val="auto"/>
              </w:rPr>
            </w:pPr>
            <w:r>
              <w:rPr>
                <w:rFonts w:ascii="Arial" w:cs="Arial" w:eastAsia="Arial" w:hAnsi="Arial"/>
                <w:sz w:val="15"/>
                <w:szCs w:val="15"/>
                <w:b w:val="1"/>
                <w:bCs w:val="1"/>
                <w:color w:val="auto"/>
              </w:rPr>
              <w:t>0.03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67"/>
              <w:spacing w:after="0"/>
              <w:rPr>
                <w:sz w:val="20"/>
                <w:szCs w:val="20"/>
                <w:color w:val="auto"/>
              </w:rPr>
            </w:pPr>
            <w:r>
              <w:rPr>
                <w:rFonts w:ascii="Arial" w:cs="Arial" w:eastAsia="Arial" w:hAnsi="Arial"/>
                <w:sz w:val="15"/>
                <w:szCs w:val="15"/>
                <w:b w:val="1"/>
                <w:bCs w:val="1"/>
                <w:color w:val="auto"/>
              </w:rPr>
              <w:t>1</w:t>
            </w:r>
          </w:p>
        </w:tc>
        <w:tc>
          <w:tcPr>
            <w:tcW w:w="860" w:type="dxa"/>
            <w:vAlign w:val="bottom"/>
          </w:tcPr>
          <w:p>
            <w:pPr>
              <w:spacing w:after="0"/>
              <w:rPr>
                <w:sz w:val="17"/>
                <w:szCs w:val="17"/>
                <w:color w:val="auto"/>
              </w:rPr>
            </w:pPr>
          </w:p>
        </w:tc>
        <w:tc>
          <w:tcPr>
            <w:tcW w:w="640" w:type="dxa"/>
            <w:vAlign w:val="bottom"/>
          </w:tcPr>
          <w:p>
            <w:pPr>
              <w:jc w:val="right"/>
              <w:ind w:right="343"/>
              <w:spacing w:after="0"/>
              <w:rPr>
                <w:sz w:val="20"/>
                <w:szCs w:val="20"/>
                <w:color w:val="auto"/>
              </w:rPr>
            </w:pPr>
            <w:r>
              <w:rPr>
                <w:rFonts w:ascii="Arial" w:cs="Arial" w:eastAsia="Arial" w:hAnsi="Arial"/>
                <w:sz w:val="15"/>
                <w:szCs w:val="15"/>
                <w:b w:val="1"/>
                <w:bCs w:val="1"/>
                <w:color w:val="auto"/>
              </w:rPr>
              <w:t>3</w:t>
            </w:r>
          </w:p>
        </w:tc>
        <w:tc>
          <w:tcPr>
            <w:tcW w:w="1260" w:type="dxa"/>
            <w:vAlign w:val="bottom"/>
            <w:gridSpan w:val="3"/>
          </w:tcPr>
          <w:p>
            <w:pPr>
              <w:jc w:val="center"/>
              <w:ind w:left="43"/>
              <w:spacing w:after="0"/>
              <w:rPr>
                <w:sz w:val="20"/>
                <w:szCs w:val="20"/>
                <w:color w:val="auto"/>
              </w:rPr>
            </w:pPr>
            <w:r>
              <w:rPr>
                <w:rFonts w:ascii="Arial" w:cs="Arial" w:eastAsia="Arial" w:hAnsi="Arial"/>
                <w:sz w:val="15"/>
                <w:szCs w:val="15"/>
                <w:color w:val="auto"/>
              </w:rPr>
              <w:t>0.09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700" w:type="dxa"/>
            <w:vAlign w:val="bottom"/>
          </w:tcPr>
          <w:p>
            <w:pPr>
              <w:spacing w:after="0"/>
              <w:rPr>
                <w:sz w:val="17"/>
                <w:szCs w:val="17"/>
                <w:color w:val="auto"/>
              </w:rPr>
            </w:pPr>
          </w:p>
        </w:tc>
        <w:tc>
          <w:tcPr>
            <w:tcW w:w="860" w:type="dxa"/>
            <w:vAlign w:val="bottom"/>
          </w:tcPr>
          <w:p>
            <w:pPr>
              <w:jc w:val="center"/>
              <w:ind w:right="63"/>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5"/>
                <w:szCs w:val="15"/>
                <w:color w:val="auto"/>
              </w:rPr>
              <w:t>Standard deviation</w:t>
            </w:r>
          </w:p>
        </w:tc>
        <w:tc>
          <w:tcPr>
            <w:tcW w:w="1100" w:type="dxa"/>
            <w:vAlign w:val="bottom"/>
          </w:tcPr>
          <w:p>
            <w:pPr>
              <w:jc w:val="right"/>
              <w:ind w:right="326"/>
              <w:spacing w:after="0"/>
              <w:rPr>
                <w:sz w:val="20"/>
                <w:szCs w:val="20"/>
                <w:color w:val="auto"/>
              </w:rPr>
            </w:pPr>
            <w:r>
              <w:rPr>
                <w:rFonts w:ascii="Arial" w:cs="Arial" w:eastAsia="Arial" w:hAnsi="Arial"/>
                <w:sz w:val="15"/>
                <w:szCs w:val="15"/>
                <w:b w:val="1"/>
                <w:bCs w:val="1"/>
                <w:color w:val="auto"/>
              </w:rPr>
              <w:t>0.02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67"/>
              <w:spacing w:after="0"/>
              <w:rPr>
                <w:sz w:val="20"/>
                <w:szCs w:val="20"/>
                <w:color w:val="auto"/>
              </w:rPr>
            </w:pPr>
            <w:r>
              <w:rPr>
                <w:rFonts w:ascii="Arial" w:cs="Arial" w:eastAsia="Arial" w:hAnsi="Arial"/>
                <w:sz w:val="15"/>
                <w:szCs w:val="15"/>
                <w:b w:val="1"/>
                <w:bCs w:val="1"/>
                <w:color w:val="auto"/>
              </w:rPr>
              <w:t>2</w:t>
            </w:r>
          </w:p>
        </w:tc>
        <w:tc>
          <w:tcPr>
            <w:tcW w:w="860" w:type="dxa"/>
            <w:vAlign w:val="bottom"/>
          </w:tcPr>
          <w:p>
            <w:pPr>
              <w:spacing w:after="0"/>
              <w:rPr>
                <w:sz w:val="18"/>
                <w:szCs w:val="18"/>
                <w:color w:val="auto"/>
              </w:rPr>
            </w:pPr>
          </w:p>
        </w:tc>
        <w:tc>
          <w:tcPr>
            <w:tcW w:w="640" w:type="dxa"/>
            <w:vAlign w:val="bottom"/>
          </w:tcPr>
          <w:p>
            <w:pPr>
              <w:jc w:val="right"/>
              <w:ind w:right="343"/>
              <w:spacing w:after="0"/>
              <w:rPr>
                <w:sz w:val="20"/>
                <w:szCs w:val="20"/>
                <w:color w:val="auto"/>
              </w:rPr>
            </w:pPr>
            <w:r>
              <w:rPr>
                <w:rFonts w:ascii="Arial" w:cs="Arial" w:eastAsia="Arial" w:hAnsi="Arial"/>
                <w:sz w:val="15"/>
                <w:szCs w:val="15"/>
                <w:b w:val="1"/>
                <w:bCs w:val="1"/>
                <w:color w:val="auto"/>
              </w:rPr>
              <w:t>7</w:t>
            </w:r>
          </w:p>
        </w:tc>
        <w:tc>
          <w:tcPr>
            <w:tcW w:w="1260" w:type="dxa"/>
            <w:vAlign w:val="bottom"/>
            <w:gridSpan w:val="3"/>
          </w:tcPr>
          <w:p>
            <w:pPr>
              <w:jc w:val="center"/>
              <w:ind w:left="43"/>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700" w:type="dxa"/>
            <w:vAlign w:val="bottom"/>
          </w:tcPr>
          <w:p>
            <w:pPr>
              <w:spacing w:after="0"/>
              <w:rPr>
                <w:sz w:val="18"/>
                <w:szCs w:val="18"/>
                <w:color w:val="auto"/>
              </w:rPr>
            </w:pPr>
          </w:p>
        </w:tc>
        <w:tc>
          <w:tcPr>
            <w:tcW w:w="860" w:type="dxa"/>
            <w:vAlign w:val="bottom"/>
          </w:tcPr>
          <w:p>
            <w:pPr>
              <w:jc w:val="center"/>
              <w:ind w:right="63"/>
              <w:spacing w:after="0"/>
              <w:rPr>
                <w:sz w:val="20"/>
                <w:szCs w:val="20"/>
                <w:color w:val="auto"/>
              </w:rPr>
            </w:pPr>
            <w:r>
              <w:rPr>
                <w:rFonts w:ascii="Arial" w:cs="Arial" w:eastAsia="Arial" w:hAnsi="Arial"/>
                <w:sz w:val="15"/>
                <w:szCs w:val="15"/>
                <w:color w:val="auto"/>
                <w:w w:val="95"/>
              </w:rPr>
              <w:t>13</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0" w:hanging="217"/>
        <w:spacing w:after="0"/>
        <w:tabs>
          <w:tab w:leader="none" w:pos="22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Computed based on changes in SOFR interest-rates swap curve.</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6"/>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33" w:lineRule="exact"/>
        <w:rPr>
          <w:rFonts w:ascii="Arial" w:cs="Arial" w:eastAsia="Arial" w:hAnsi="Arial"/>
          <w:sz w:val="9"/>
          <w:szCs w:val="9"/>
          <w:color w:val="auto"/>
        </w:rPr>
      </w:pPr>
    </w:p>
    <w:p>
      <w:pPr>
        <w:ind w:left="220" w:hanging="217"/>
        <w:spacing w:after="0"/>
        <w:tabs>
          <w:tab w:leader="none" w:pos="220" w:val="left"/>
        </w:tabs>
        <w:numPr>
          <w:ilvl w:val="0"/>
          <w:numId w:val="46"/>
        </w:numPr>
        <w:rPr>
          <w:rFonts w:ascii="Arial" w:cs="Arial" w:eastAsia="Arial" w:hAnsi="Arial"/>
          <w:sz w:val="9"/>
          <w:szCs w:val="9"/>
          <w:color w:val="auto"/>
        </w:rPr>
      </w:pPr>
      <w:r>
        <w:rPr>
          <w:rFonts w:ascii="Arial" w:cs="Arial" w:eastAsia="Arial" w:hAnsi="Arial"/>
          <w:sz w:val="14"/>
          <w:szCs w:val="14"/>
          <w:color w:val="auto"/>
        </w:rPr>
        <w:t>Computed based on daily values during the period presented.</w:t>
      </w:r>
    </w:p>
    <w:p>
      <w:pPr>
        <w:spacing w:after="0" w:line="7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market value sensitivity of our net portfolio varies across a range of interest-rate shocks depending upon the duration and convexity profile of our net portfolio. The market value sensitivity of the net portfolio is measured by quantifying the change in the present value of the cash flows of our financial assets and liabilities that would result from an instantaneous shock to interest rates, assuming spreads are held constant.</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2" w:name="page53"/>
    <w:bookmarkEnd w:id="52"/>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use derivatives to help manage the residual interest-rate risk exposure between the assets and liabilities in our net portfolio. Derivatives have enabled us to keep our economic interest-rate risk exposure at consistently low levels in a wide range of interest-rate environments. The table below displays an example of how derivatives impacted the net market value exposure for a 50 basis point parallel interest-rate shock. For additional information on our derivative positions, see “Note 9, Derivative Instruments” in our 2024 Form 10-K and in this report.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Derivative Impact on Interest-Rate Risk (50 Basis Points)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20" w:type="dxa"/>
            <w:vAlign w:val="bottom"/>
            <w:tcBorders>
              <w:top w:val="single" w:sz="8" w:color="2C6937"/>
            </w:tcBorders>
          </w:tcPr>
          <w:p>
            <w:pPr>
              <w:spacing w:after="0"/>
              <w:rPr>
                <w:sz w:val="17"/>
                <w:szCs w:val="17"/>
                <w:color w:val="auto"/>
              </w:rPr>
            </w:pPr>
          </w:p>
        </w:tc>
        <w:tc>
          <w:tcPr>
            <w:tcW w:w="300" w:type="dxa"/>
            <w:vAlign w:val="bottom"/>
            <w:tcBorders>
              <w:top w:val="single" w:sz="8" w:color="2C6937"/>
              <w:bottom w:val="single" w:sz="8" w:color="2C6937"/>
            </w:tcBorders>
          </w:tcPr>
          <w:p>
            <w:pPr>
              <w:spacing w:after="0"/>
              <w:rPr>
                <w:sz w:val="17"/>
                <w:szCs w:val="17"/>
                <w:color w:val="auto"/>
              </w:rPr>
            </w:pPr>
          </w:p>
        </w:tc>
        <w:tc>
          <w:tcPr>
            <w:tcW w:w="1940" w:type="dxa"/>
            <w:vAlign w:val="bottom"/>
            <w:tcBorders>
              <w:top w:val="single" w:sz="8" w:color="2C6937"/>
              <w:bottom w:val="single" w:sz="8" w:color="2C6937"/>
            </w:tcBorders>
            <w:gridSpan w:val="2"/>
          </w:tcPr>
          <w:p>
            <w:pPr>
              <w:jc w:val="right"/>
              <w:ind w:right="23"/>
              <w:spacing w:after="0"/>
              <w:rPr>
                <w:sz w:val="20"/>
                <w:szCs w:val="20"/>
                <w:color w:val="auto"/>
              </w:rPr>
            </w:pPr>
            <w:r>
              <w:rPr>
                <w:rFonts w:ascii="Arial" w:cs="Arial" w:eastAsia="Arial" w:hAnsi="Arial"/>
                <w:sz w:val="14"/>
                <w:szCs w:val="14"/>
                <w:b w:val="1"/>
                <w:bCs w:val="1"/>
                <w:color w:val="auto"/>
              </w:rPr>
              <w:t>As of</w:t>
            </w:r>
            <w:r>
              <w:rPr>
                <w:rFonts w:ascii="Arial" w:cs="Arial" w:eastAsia="Arial" w:hAnsi="Arial"/>
                <w:sz w:val="17"/>
                <w:szCs w:val="17"/>
                <w:b w:val="1"/>
                <w:bCs w:val="1"/>
                <w:color w:val="auto"/>
                <w:vertAlign w:val="superscript"/>
              </w:rPr>
              <w:t>(1)</w:t>
            </w:r>
          </w:p>
        </w:tc>
        <w:tc>
          <w:tcPr>
            <w:tcW w:w="1580" w:type="dxa"/>
            <w:vAlign w:val="bottom"/>
            <w:tcBorders>
              <w:top w:val="single" w:sz="8" w:color="2C6937"/>
              <w:bottom w:val="single" w:sz="8" w:color="2C6937"/>
            </w:tcBorders>
          </w:tcPr>
          <w:p>
            <w:pPr>
              <w:spacing w:after="0"/>
              <w:rPr>
                <w:sz w:val="17"/>
                <w:szCs w:val="17"/>
                <w:color w:val="auto"/>
              </w:rPr>
            </w:pPr>
          </w:p>
        </w:tc>
      </w:tr>
      <w:tr>
        <w:trPr>
          <w:trHeight w:val="185"/>
        </w:trPr>
        <w:tc>
          <w:tcPr>
            <w:tcW w:w="742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427"/>
              <w:spacing w:after="0"/>
              <w:rPr>
                <w:sz w:val="20"/>
                <w:szCs w:val="20"/>
                <w:color w:val="auto"/>
              </w:rPr>
            </w:pPr>
            <w:r>
              <w:rPr>
                <w:rFonts w:ascii="Arial" w:cs="Arial" w:eastAsia="Arial" w:hAnsi="Arial"/>
                <w:sz w:val="14"/>
                <w:szCs w:val="14"/>
                <w:b w:val="1"/>
                <w:bCs w:val="1"/>
                <w:color w:val="auto"/>
              </w:rPr>
              <w:t>March 31, 2025</w:t>
            </w:r>
          </w:p>
        </w:tc>
        <w:tc>
          <w:tcPr>
            <w:tcW w:w="34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w w:val="99"/>
              </w:rPr>
              <w:t>December 31, 2024</w:t>
            </w:r>
          </w:p>
        </w:tc>
      </w:tr>
      <w:tr>
        <w:trPr>
          <w:trHeight w:val="185"/>
        </w:trPr>
        <w:tc>
          <w:tcPr>
            <w:tcW w:w="7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20" w:type="dxa"/>
            <w:vAlign w:val="bottom"/>
            <w:gridSpan w:val="3"/>
          </w:tcPr>
          <w:p>
            <w:pPr>
              <w:jc w:val="right"/>
              <w:ind w:right="1205"/>
              <w:spacing w:after="0"/>
              <w:rPr>
                <w:sz w:val="20"/>
                <w:szCs w:val="20"/>
                <w:color w:val="auto"/>
              </w:rPr>
            </w:pPr>
            <w:r>
              <w:rPr>
                <w:rFonts w:ascii="Arial" w:cs="Arial" w:eastAsia="Arial" w:hAnsi="Arial"/>
                <w:sz w:val="14"/>
                <w:szCs w:val="14"/>
                <w:b w:val="1"/>
                <w:bCs w:val="1"/>
                <w:color w:val="auto"/>
              </w:rPr>
              <w:t>(Dollars in millions)</w:t>
            </w:r>
          </w:p>
        </w:tc>
      </w:tr>
      <w:tr>
        <w:trPr>
          <w:trHeight w:val="207"/>
        </w:trPr>
        <w:tc>
          <w:tcPr>
            <w:tcW w:w="7420" w:type="dxa"/>
            <w:vAlign w:val="bottom"/>
          </w:tcPr>
          <w:p>
            <w:pPr>
              <w:ind w:left="20"/>
              <w:spacing w:after="0"/>
              <w:rPr>
                <w:sz w:val="20"/>
                <w:szCs w:val="20"/>
                <w:color w:val="auto"/>
              </w:rPr>
            </w:pPr>
            <w:r>
              <w:rPr>
                <w:rFonts w:ascii="Arial" w:cs="Arial" w:eastAsia="Arial" w:hAnsi="Arial"/>
                <w:sz w:val="15"/>
                <w:szCs w:val="15"/>
                <w:color w:val="auto"/>
              </w:rPr>
              <w:t>Before derivatives</w:t>
            </w:r>
          </w:p>
        </w:tc>
        <w:tc>
          <w:tcPr>
            <w:tcW w:w="30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ind w:right="107"/>
              <w:spacing w:after="0"/>
              <w:rPr>
                <w:sz w:val="20"/>
                <w:szCs w:val="20"/>
                <w:color w:val="auto"/>
              </w:rPr>
            </w:pPr>
            <w:r>
              <w:rPr>
                <w:rFonts w:ascii="Arial" w:cs="Arial" w:eastAsia="Arial" w:hAnsi="Arial"/>
                <w:sz w:val="15"/>
                <w:szCs w:val="15"/>
                <w:b w:val="1"/>
                <w:bCs w:val="1"/>
                <w:color w:val="auto"/>
              </w:rPr>
              <w:t>(697)</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(654)</w:t>
            </w:r>
          </w:p>
        </w:tc>
      </w:tr>
      <w:tr>
        <w:trPr>
          <w:trHeight w:val="206"/>
        </w:trPr>
        <w:tc>
          <w:tcPr>
            <w:tcW w:w="7420" w:type="dxa"/>
            <w:vAlign w:val="bottom"/>
          </w:tcPr>
          <w:p>
            <w:pPr>
              <w:ind w:left="20"/>
              <w:spacing w:after="0"/>
              <w:rPr>
                <w:sz w:val="20"/>
                <w:szCs w:val="20"/>
                <w:color w:val="auto"/>
              </w:rPr>
            </w:pPr>
            <w:r>
              <w:rPr>
                <w:rFonts w:ascii="Arial" w:cs="Arial" w:eastAsia="Arial" w:hAnsi="Arial"/>
                <w:sz w:val="15"/>
                <w:szCs w:val="15"/>
                <w:color w:val="auto"/>
              </w:rPr>
              <w:t>After derivatives</w:t>
            </w:r>
          </w:p>
        </w:tc>
        <w:tc>
          <w:tcPr>
            <w:tcW w:w="300" w:type="dxa"/>
            <w:vAlign w:val="bottom"/>
          </w:tcPr>
          <w:p>
            <w:pPr>
              <w:spacing w:after="0"/>
              <w:rPr>
                <w:sz w:val="17"/>
                <w:szCs w:val="17"/>
                <w:color w:val="auto"/>
              </w:rPr>
            </w:pPr>
          </w:p>
        </w:tc>
        <w:tc>
          <w:tcPr>
            <w:tcW w:w="1600" w:type="dxa"/>
            <w:vAlign w:val="bottom"/>
          </w:tcPr>
          <w:p>
            <w:pPr>
              <w:jc w:val="right"/>
              <w:ind w:right="167"/>
              <w:spacing w:after="0"/>
              <w:rPr>
                <w:sz w:val="20"/>
                <w:szCs w:val="20"/>
                <w:color w:val="auto"/>
              </w:rPr>
            </w:pPr>
            <w:r>
              <w:rPr>
                <w:rFonts w:ascii="Arial" w:cs="Arial" w:eastAsia="Arial" w:hAnsi="Arial"/>
                <w:sz w:val="15"/>
                <w:szCs w:val="15"/>
                <w:b w:val="1"/>
                <w:bCs w:val="1"/>
                <w:color w:val="auto"/>
              </w:rPr>
              <w:t>17</w:t>
            </w:r>
          </w:p>
        </w:tc>
        <w:tc>
          <w:tcPr>
            <w:tcW w:w="34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(18)</w:t>
            </w:r>
          </w:p>
        </w:tc>
      </w:tr>
      <w:tr>
        <w:trPr>
          <w:trHeight w:val="214"/>
        </w:trPr>
        <w:tc>
          <w:tcPr>
            <w:tcW w:w="7420" w:type="dxa"/>
            <w:vAlign w:val="bottom"/>
          </w:tcPr>
          <w:p>
            <w:pPr>
              <w:ind w:left="20"/>
              <w:spacing w:after="0"/>
              <w:rPr>
                <w:sz w:val="20"/>
                <w:szCs w:val="20"/>
                <w:color w:val="auto"/>
              </w:rPr>
            </w:pPr>
            <w:r>
              <w:rPr>
                <w:rFonts w:ascii="Arial" w:cs="Arial" w:eastAsia="Arial" w:hAnsi="Arial"/>
                <w:sz w:val="15"/>
                <w:szCs w:val="15"/>
                <w:color w:val="auto"/>
              </w:rPr>
              <w:t>Effect of derivatives</w:t>
            </w:r>
          </w:p>
        </w:tc>
        <w:tc>
          <w:tcPr>
            <w:tcW w:w="300" w:type="dxa"/>
            <w:vAlign w:val="bottom"/>
          </w:tcPr>
          <w:p>
            <w:pPr>
              <w:spacing w:after="0"/>
              <w:rPr>
                <w:sz w:val="18"/>
                <w:szCs w:val="18"/>
                <w:color w:val="auto"/>
              </w:rPr>
            </w:pPr>
          </w:p>
        </w:tc>
        <w:tc>
          <w:tcPr>
            <w:tcW w:w="1600" w:type="dxa"/>
            <w:vAlign w:val="bottom"/>
          </w:tcPr>
          <w:p>
            <w:pPr>
              <w:jc w:val="right"/>
              <w:ind w:right="167"/>
              <w:spacing w:after="0"/>
              <w:rPr>
                <w:sz w:val="20"/>
                <w:szCs w:val="20"/>
                <w:color w:val="auto"/>
              </w:rPr>
            </w:pPr>
            <w:r>
              <w:rPr>
                <w:rFonts w:ascii="Arial" w:cs="Arial" w:eastAsia="Arial" w:hAnsi="Arial"/>
                <w:sz w:val="15"/>
                <w:szCs w:val="15"/>
                <w:b w:val="1"/>
                <w:bCs w:val="1"/>
                <w:color w:val="auto"/>
              </w:rPr>
              <w:t>714</w:t>
            </w:r>
          </w:p>
        </w:tc>
        <w:tc>
          <w:tcPr>
            <w:tcW w:w="340" w:type="dxa"/>
            <w:vAlign w:val="bottom"/>
          </w:tcPr>
          <w:p>
            <w:pPr>
              <w:spacing w:after="0"/>
              <w:rPr>
                <w:sz w:val="18"/>
                <w:szCs w:val="18"/>
                <w:color w:val="auto"/>
              </w:rPr>
            </w:pPr>
          </w:p>
        </w:tc>
        <w:tc>
          <w:tcPr>
            <w:tcW w:w="1580" w:type="dxa"/>
            <w:vAlign w:val="bottom"/>
          </w:tcPr>
          <w:p>
            <w:pPr>
              <w:jc w:val="right"/>
              <w:ind w:right="85"/>
              <w:spacing w:after="0"/>
              <w:rPr>
                <w:sz w:val="20"/>
                <w:szCs w:val="20"/>
                <w:color w:val="auto"/>
              </w:rPr>
            </w:pPr>
            <w:r>
              <w:rPr>
                <w:rFonts w:ascii="Arial" w:cs="Arial" w:eastAsia="Arial" w:hAnsi="Arial"/>
                <w:sz w:val="15"/>
                <w:szCs w:val="15"/>
                <w:color w:val="auto"/>
              </w:rPr>
              <w:t>636</w:t>
            </w:r>
          </w:p>
        </w:tc>
      </w:tr>
    </w:tbl>
    <w:p>
      <w:pPr>
        <w:spacing w:after="0" w:line="102" w:lineRule="exact"/>
        <w:rPr>
          <w:sz w:val="20"/>
          <w:szCs w:val="20"/>
          <w:color w:val="auto"/>
        </w:rPr>
      </w:pPr>
    </w:p>
    <w:p>
      <w:pPr>
        <w:ind w:left="220" w:hanging="217"/>
        <w:spacing w:after="0"/>
        <w:tabs>
          <w:tab w:leader="none" w:pos="220" w:val="left"/>
        </w:tabs>
        <w:numPr>
          <w:ilvl w:val="0"/>
          <w:numId w:val="47"/>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109"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Earnings Exposure to Interest-Rate Risk</w:t>
      </w:r>
    </w:p>
    <w:p>
      <w:pPr>
        <w:spacing w:after="0" w:line="80"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While we manage the interest-rate risk of our net portfolio with the objective of remaining neutral to movements in interest rates and volatility on an economic basis, our earnings can experience volatility due to interest-rate changes and differing accounting treatments that apply to certain financial instruments on our balance sheet. Specifically, we have exposure to earnings volatility that is driven by changes in interest rates in two primary areas: our net portfolio and our consolidated MBS trusts. The exposure in the net portfolio is primarily driven by changes in the fair value of risk management derivatives, mortgage commitments, and certain assets, primarily securities, that are carried at fair value. The exposure related to our consolidated MBS trusts relates to changes in our credit loss reserves and to the amortization of cost basis adjustments resulting from changes in interest rates.</w:t>
      </w:r>
    </w:p>
    <w:p>
      <w:pPr>
        <w:spacing w:after="0" w:line="4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apply fair value hedge accounting to address some of the exposure to interest rates, particularly the earnings volatility related to changes in benchmark interest rates. Our hedge accounting program is specifically designed to address the volatility of our financial results associated with changes in fair value related to changes in these benchmark interest rates. As such, earnings variability driven by other factors, such as spreads or changes in cost basis amortization recognized in net interest income, remains. In addition, our ability to effectively reduce earnings volatility is dependent upon the volume and type of interest-rate swaps available for hedging, which is driven by our interest-rate risk management strategy discussed above and in our 2024 Form 10-K. As our range of available interest-rate swaps varies over time, our ability to reduce earnings volatility through hedge accounting may vary as well. When the shape of the yield curve shifts significantly from period to period, hedge accounting may be less effective. In our current program, we establish new hedging relationships each business day to provide flexibility in our overall risk management strategy.</w:t>
      </w:r>
    </w:p>
    <w:p>
      <w:pPr>
        <w:spacing w:after="0" w:line="43" w:lineRule="exact"/>
        <w:rPr>
          <w:sz w:val="20"/>
          <w:szCs w:val="20"/>
          <w:color w:val="auto"/>
        </w:rPr>
      </w:pPr>
    </w:p>
    <w:p>
      <w:pPr>
        <w:ind w:right="820"/>
        <w:spacing w:after="0" w:line="310" w:lineRule="auto"/>
        <w:rPr>
          <w:sz w:val="20"/>
          <w:szCs w:val="20"/>
          <w:color w:val="auto"/>
        </w:rPr>
      </w:pPr>
      <w:r>
        <w:rPr>
          <w:rFonts w:ascii="Arial" w:cs="Arial" w:eastAsia="Arial" w:hAnsi="Arial"/>
          <w:sz w:val="16"/>
          <w:szCs w:val="16"/>
          <w:color w:val="auto"/>
        </w:rPr>
        <w:t>See “Note 1, Summary of Significant Accounting Policies” in our 2024 Form 10-K and “Note 9, Derivative Instruments” in this report for additional information on our fair value hedge accounting policy and related disclosures.</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preparation of financial statements in accordance with GAAP requires management to make a number of judgments, estimates and assumptions that affect the reported amount of assets, liabilities, income and expenses in our condensed consolidated financial statements. Understanding our accounting policies and the extent to which we use management judgment and estimates in applying these policies is integral to understanding our financial statements. We describe our most significant accounting policies in “Note 1, Summary of Significant Accounting Policies” in this report and in our 2024 Form 10-K.</w:t>
      </w:r>
    </w:p>
    <w:p>
      <w:pPr>
        <w:spacing w:after="0" w:line="23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evaluate our critical accounting estimates and judgments required by our policies on an ongoing basis and update them as necessary based on changing conditions. Management has discussed any significant changes in judgments and assumptions in applying our critical accounting estimates with the Audit Committee of our Board of Directors. See “Risk Factors—General Risk” in our 2024 Form 10-K for a discussion of the risks associated with the need for management to make judgments and estimates in applying our accounting policies and methods. We have identified one of our accounting estimates, allowance for loan losses, as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3" w:name="page54"/>
    <w:bookmarkEnd w:id="53"/>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Allowance for Loan Losses</w:t>
      </w:r>
    </w:p>
    <w:p>
      <w:pPr>
        <w:spacing w:after="0" w:line="63"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allowance for loan losses is an estimate of single-family and multifamily HFI loan receivables that we expect will not be collected related to loans held by Fannie Mae or by consolidated Fannie Mae MBS trusts. The expected credit losses are deducted from the amortized cost basis of HFI loans to present the net amount expected to be received.</w:t>
      </w:r>
    </w:p>
    <w:p>
      <w:pPr>
        <w:spacing w:after="0" w:line="2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allowance for loan losses involves substantial judgment on a number of matters including the development and weighting of macroeconomic forecasts, the reversion period applied, the assessment of similar risk characteristics, which determines the historic loss experience used to derive probability of loan default, the valuation of collateral, which includes judgments about the property condition at the time of foreclosure, and the determination of a loan’s remaining expected life. Our most significant judgments involved in estimating our allowance for loan losses relate to the modeled macroeconomic data used to develop reasonable and supportable forecasts for key economic drivers, which are subject to significant inherent uncertainty. Most notably, for single-family, the model uses forecasted single-family home prices as well as a range of possible future interest rate environments. For multifamily, the model uses forecasted net operating income and property valuations. In developing a reasonable and supportable forecast, the model simulates multiple paths of interest rates, rental income and property values based on current market conditions.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Quantitative Component</w:t>
      </w:r>
    </w:p>
    <w:p>
      <w:pPr>
        <w:spacing w:after="0" w:line="80"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use a discounted cash flow method to measure expected credit losses on our single-family mortgage loans and an undiscounted loss method to measure expected credit losses on our multifamily mortgage loans.</w:t>
      </w:r>
    </w:p>
    <w:p>
      <w:pPr>
        <w:spacing w:after="0" w:line="1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modeled loan performance is based on our historical experience of loans with similar risk characteristics adjusted to reflect current conditions and reasonable and supportable forecasts. Our historical loss experience and our loan loss estimates capture the possibility of a multitude of events, including remote events that could result in credit losses on loans that are considered low risk. Our credit loss models, including the macroeconomic forecast data used as key inputs, are subject to our model oversight and review processes as well as other established governance and controls.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Qualitative Component</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Our process for measuring expected credit losses is complex and involves significant management judgment, including a reliance on historical loss information and current economic forecasts that may not be representative of credit losses we ultimately realize. Management adjustments may be necessary to take into consideration external factors and current macroeconomic events that have occurred but are not yet reflected in the data used to derive the model outputs. Qualitative factors and events not previously observed by the models through historical loss experience may also be considered, as well as the uncertainty of their impact on credit loss estimates. In the first quarter of 2025, qualitative factors considered included economic uncertainty associated with recent trade and fiscal policies as well as the continuing uncertainty relating to multifamily property values.</w:t>
      </w:r>
    </w:p>
    <w:p>
      <w:pPr>
        <w:spacing w:after="0" w:line="80"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Macroeconomic Variables and Sensitivities</w:t>
      </w:r>
    </w:p>
    <w:p>
      <w:pPr>
        <w:spacing w:after="0" w:line="9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benefit or provision for credit losses can vary substantially from period to period based on forecasted macroeconomic inputs. For single-family, we have determined that our most significant key macroeconomic inputs used in determining our allowance for loan losses consist of: forecasted home price growth rates and interest rates. For multifamily, we have determined that our most significant key macroeconomic inputs used in determining our allowance for loan losses consist of: net operating income and property value growth rates.</w:t>
      </w:r>
    </w:p>
    <w:p>
      <w:pPr>
        <w:spacing w:after="0" w:line="59"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evaluating the sensitivities of our allowance to these macroeconomic inputs, it is difficult to estimate how potential changes in any one factor or input might affect the overall credit loss estimates, because management considers a wide variety of factors and inputs in estimating the allowance for loan losses. Changes in the factors and inputs considered may not occur at the same rate and may not be consistent across all geographies or loan types, and changes in factors and inputs may be directionally inconsistent, such that improvement in one factor or input may offset deterioration in others. Changes in our assumptions and forecasts of economic conditions could significantly affect our estimate of expected credit losses and lead to significant changes in the estimate from one reporting period to the next.</w:t>
      </w:r>
    </w:p>
    <w:p>
      <w:pPr>
        <w:spacing w:after="0" w:line="4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provide more detailed information on our accounting for the allowance for loan losses in “Note 1, Summary of Significant Accounting Policies” in our 2024 Form 10-K. See “Note 5, Allowance for Loan Losses” for additional information about our current period (provision) benefit for loan losses.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51</w:t>
            </w:r>
          </w:p>
        </w:tc>
      </w:tr>
      <w:tr>
        <w:trPr>
          <w:trHeight w:val="207"/>
        </w:trPr>
        <w:tc>
          <w:tcPr>
            <w:tcW w:w="6840" w:type="dxa"/>
            <w:vAlign w:val="bottom"/>
            <w:tcBorders>
              <w:bottom w:val="single" w:sz="8" w:color="9A9A9A"/>
            </w:tcBorders>
          </w:tcPr>
          <w:p>
            <w:pPr>
              <w:spacing w:after="0"/>
              <w:rPr>
                <w:sz w:val="17"/>
                <w:szCs w:val="17"/>
                <w:color w:val="auto"/>
              </w:rPr>
            </w:pPr>
          </w:p>
        </w:tc>
        <w:tc>
          <w:tcPr>
            <w:tcW w:w="4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4" w:name="page55"/>
    <w:bookmarkEnd w:id="54"/>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Sensitivities and Inputs</w:t>
      </w:r>
    </w:p>
    <w:p>
      <w:pPr>
        <w:spacing w:after="0" w:line="54"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table below provides information about our most significant key macroeconomic inputs used in determining our single-family allowance for loan losses: forecasted home price growth rates and interest rates. Although the model consumes a wide range of possible regional home price forecasts and interest rate scenarios that take into account inherent uncertainty, the forecasts below represent the mean path of those simulations used in determining the allowance for the quarter ended March 31, 2025, and for each quarter during the year ended December 31, 2024, and how those forecasts have changed between periods of estimate. Below we present our home price growth and interest rate estimates used in our estimate of expected credit losses. Our forecasts include estimates for periods beyond 2027 that are not presented in the table below.</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Single-Family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38670"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home price growth (decline) rate by period of estimate:</w:t>
      </w:r>
      <w:r>
        <w:rPr>
          <w:rFonts w:ascii="Arial" w:cs="Arial" w:eastAsia="Arial" w:hAnsi="Arial"/>
          <w:sz w:val="20"/>
          <w:szCs w:val="20"/>
          <w:b w:val="1"/>
          <w:bCs w:val="1"/>
          <w:color w:val="auto"/>
          <w:vertAlign w:val="superscript"/>
        </w:rPr>
        <w:t>(2)</w:t>
      </w:r>
    </w:p>
    <w:p>
      <w:pPr>
        <w:spacing w:after="0" w:line="28" w:lineRule="exact"/>
        <w:rPr>
          <w:sz w:val="20"/>
          <w:szCs w:val="20"/>
          <w:color w:val="auto"/>
        </w:rPr>
      </w:pPr>
    </w:p>
    <w:p>
      <w:pPr>
        <w:ind w:left="7380"/>
        <w:spacing w:after="0"/>
        <w:rPr>
          <w:sz w:val="20"/>
          <w:szCs w:val="20"/>
          <w:color w:val="auto"/>
        </w:rPr>
      </w:pPr>
      <w:r>
        <w:rPr>
          <w:rFonts w:ascii="Arial" w:cs="Arial" w:eastAsia="Arial" w:hAnsi="Arial"/>
          <w:sz w:val="15"/>
          <w:szCs w:val="15"/>
          <w:b w:val="1"/>
          <w:bCs w:val="1"/>
          <w:color w:val="auto"/>
        </w:rPr>
        <w:t>For the Full Year ending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320" w:type="dxa"/>
            <w:vAlign w:val="bottom"/>
          </w:tcPr>
          <w:p>
            <w:pPr>
              <w:spacing w:after="0"/>
              <w:rPr>
                <w:sz w:val="17"/>
                <w:szCs w:val="17"/>
                <w:color w:val="auto"/>
              </w:rPr>
            </w:pPr>
          </w:p>
        </w:tc>
        <w:tc>
          <w:tcPr>
            <w:tcW w:w="122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rPr>
              <w:t>2025</w:t>
            </w:r>
          </w:p>
        </w:tc>
        <w:tc>
          <w:tcPr>
            <w:tcW w:w="58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80" w:type="dxa"/>
            <w:vAlign w:val="bottom"/>
            <w:tcBorders>
              <w:top w:val="single" w:sz="8" w:color="2C6937"/>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jc w:val="center"/>
              <w:ind w:right="383"/>
              <w:spacing w:after="0"/>
              <w:rPr>
                <w:sz w:val="20"/>
                <w:szCs w:val="20"/>
                <w:color w:val="auto"/>
              </w:rPr>
            </w:pPr>
            <w:r>
              <w:rPr>
                <w:rFonts w:ascii="Arial" w:cs="Arial" w:eastAsia="Arial" w:hAnsi="Arial"/>
                <w:sz w:val="15"/>
                <w:szCs w:val="15"/>
                <w:b w:val="1"/>
                <w:bCs w:val="1"/>
                <w:color w:val="auto"/>
              </w:rPr>
              <w:t>2027</w:t>
            </w:r>
          </w:p>
        </w:tc>
      </w:tr>
      <w:tr>
        <w:trPr>
          <w:trHeight w:val="210"/>
        </w:trPr>
        <w:tc>
          <w:tcPr>
            <w:tcW w:w="7540" w:type="dxa"/>
            <w:vAlign w:val="bottom"/>
            <w:gridSpan w:val="2"/>
          </w:tcPr>
          <w:p>
            <w:pPr>
              <w:spacing w:after="0"/>
              <w:rPr>
                <w:sz w:val="20"/>
                <w:szCs w:val="20"/>
                <w:color w:val="auto"/>
              </w:rPr>
            </w:pPr>
            <w:r>
              <w:rPr>
                <w:rFonts w:ascii="Arial" w:cs="Arial" w:eastAsia="Arial" w:hAnsi="Arial"/>
                <w:sz w:val="15"/>
                <w:szCs w:val="15"/>
                <w:color w:val="auto"/>
              </w:rPr>
              <w:t>First Quarter 2025</w:t>
            </w:r>
          </w:p>
        </w:tc>
        <w:tc>
          <w:tcPr>
            <w:tcW w:w="580" w:type="dxa"/>
            <w:vAlign w:val="bottom"/>
          </w:tcPr>
          <w:p>
            <w:pPr>
              <w:ind w:left="160"/>
              <w:spacing w:after="0"/>
              <w:rPr>
                <w:sz w:val="20"/>
                <w:szCs w:val="20"/>
                <w:color w:val="auto"/>
              </w:rPr>
            </w:pPr>
            <w:r>
              <w:rPr>
                <w:rFonts w:ascii="Arial" w:cs="Arial" w:eastAsia="Arial" w:hAnsi="Arial"/>
                <w:sz w:val="15"/>
                <w:szCs w:val="15"/>
                <w:color w:val="auto"/>
              </w:rPr>
              <w:t>4.2 %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2.0 %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w w:val="98"/>
              </w:rPr>
              <w:t>1.3 %</w:t>
            </w:r>
          </w:p>
        </w:tc>
      </w:tr>
      <w:tr>
        <w:trPr>
          <w:trHeight w:val="488"/>
        </w:trPr>
        <w:tc>
          <w:tcPr>
            <w:tcW w:w="6320" w:type="dxa"/>
            <w:vAlign w:val="bottom"/>
          </w:tcPr>
          <w:p>
            <w:pPr>
              <w:spacing w:after="0"/>
              <w:rPr>
                <w:sz w:val="24"/>
                <w:szCs w:val="24"/>
                <w:color w:val="auto"/>
              </w:rPr>
            </w:pPr>
          </w:p>
        </w:tc>
        <w:tc>
          <w:tcPr>
            <w:tcW w:w="3940" w:type="dxa"/>
            <w:vAlign w:val="bottom"/>
            <w:tcBorders>
              <w:bottom w:val="single" w:sz="8" w:color="2C6937"/>
            </w:tcBorders>
            <w:gridSpan w:val="6"/>
          </w:tcPr>
          <w:p>
            <w:pPr>
              <w:ind w:left="1040"/>
              <w:spacing w:after="0"/>
              <w:rPr>
                <w:sz w:val="20"/>
                <w:szCs w:val="20"/>
                <w:color w:val="auto"/>
              </w:rPr>
            </w:pPr>
            <w:r>
              <w:rPr>
                <w:rFonts w:ascii="Arial" w:cs="Arial" w:eastAsia="Arial" w:hAnsi="Arial"/>
                <w:sz w:val="15"/>
                <w:szCs w:val="15"/>
                <w:b w:val="1"/>
                <w:bCs w:val="1"/>
                <w:color w:val="auto"/>
              </w:rPr>
              <w:t>For the Full Year ending December 31,</w:t>
            </w:r>
          </w:p>
        </w:tc>
        <w:tc>
          <w:tcPr>
            <w:tcW w:w="960" w:type="dxa"/>
            <w:vAlign w:val="bottom"/>
            <w:tcBorders>
              <w:bottom w:val="single" w:sz="8" w:color="2C6937"/>
            </w:tcBorders>
          </w:tcPr>
          <w:p>
            <w:pPr>
              <w:spacing w:after="0"/>
              <w:rPr>
                <w:sz w:val="24"/>
                <w:szCs w:val="24"/>
                <w:color w:val="auto"/>
              </w:rPr>
            </w:pPr>
          </w:p>
        </w:tc>
      </w:tr>
      <w:tr>
        <w:trPr>
          <w:trHeight w:val="202"/>
        </w:trPr>
        <w:tc>
          <w:tcPr>
            <w:tcW w:w="6320" w:type="dxa"/>
            <w:vAlign w:val="bottom"/>
          </w:tcPr>
          <w:p>
            <w:pPr>
              <w:spacing w:after="0"/>
              <w:rPr>
                <w:sz w:val="17"/>
                <w:szCs w:val="17"/>
                <w:color w:val="auto"/>
              </w:rPr>
            </w:pPr>
          </w:p>
        </w:tc>
        <w:tc>
          <w:tcPr>
            <w:tcW w:w="122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rPr>
              <w:t>2024</w:t>
            </w:r>
          </w:p>
        </w:tc>
        <w:tc>
          <w:tcPr>
            <w:tcW w:w="58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4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center"/>
              <w:ind w:right="383"/>
              <w:spacing w:after="0"/>
              <w:rPr>
                <w:sz w:val="20"/>
                <w:szCs w:val="20"/>
                <w:color w:val="auto"/>
              </w:rPr>
            </w:pPr>
            <w:r>
              <w:rPr>
                <w:rFonts w:ascii="Arial" w:cs="Arial" w:eastAsia="Arial" w:hAnsi="Arial"/>
                <w:sz w:val="15"/>
                <w:szCs w:val="15"/>
                <w:b w:val="1"/>
                <w:bCs w:val="1"/>
                <w:color w:val="auto"/>
              </w:rPr>
              <w:t>2026</w:t>
            </w:r>
          </w:p>
        </w:tc>
      </w:tr>
      <w:tr>
        <w:trPr>
          <w:trHeight w:val="210"/>
        </w:trPr>
        <w:tc>
          <w:tcPr>
            <w:tcW w:w="7540" w:type="dxa"/>
            <w:vAlign w:val="bottom"/>
            <w:gridSpan w:val="2"/>
          </w:tcPr>
          <w:p>
            <w:pPr>
              <w:spacing w:after="0"/>
              <w:rPr>
                <w:sz w:val="20"/>
                <w:szCs w:val="20"/>
                <w:color w:val="auto"/>
              </w:rPr>
            </w:pPr>
            <w:r>
              <w:rPr>
                <w:rFonts w:ascii="Arial" w:cs="Arial" w:eastAsia="Arial" w:hAnsi="Arial"/>
                <w:sz w:val="15"/>
                <w:szCs w:val="15"/>
                <w:color w:val="auto"/>
              </w:rPr>
              <w:t>Fourth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5.9 %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3.5 %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w w:val="98"/>
              </w:rPr>
              <w:t>1.7 %</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Third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rPr>
              <w:t>1.7</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Second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rPr>
              <w:t>0.8</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First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center"/>
              <w:ind w:right="383"/>
              <w:spacing w:after="0"/>
              <w:rPr>
                <w:sz w:val="20"/>
                <w:szCs w:val="20"/>
                <w:color w:val="auto"/>
              </w:rPr>
            </w:pPr>
            <w:r>
              <w:rPr>
                <w:rFonts w:ascii="Arial" w:cs="Arial" w:eastAsia="Arial" w:hAnsi="Arial"/>
                <w:sz w:val="15"/>
                <w:szCs w:val="15"/>
                <w:color w:val="auto"/>
              </w:rPr>
              <w:t>*</w:t>
            </w: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30-year mortgage interest rates by period of estimate:</w:t>
      </w:r>
      <w:r>
        <w:rPr>
          <w:rFonts w:ascii="Arial" w:cs="Arial" w:eastAsia="Arial" w:hAnsi="Arial"/>
          <w:sz w:val="20"/>
          <w:szCs w:val="20"/>
          <w:b w:val="1"/>
          <w:bCs w:val="1"/>
          <w:color w:val="auto"/>
          <w:vertAlign w:val="superscript"/>
        </w:rPr>
        <w:t>(3)</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2024</w:t>
      </w:r>
    </w:p>
    <w:p>
      <w:pPr>
        <w:spacing w:after="0" w:line="142" w:lineRule="exact"/>
        <w:rPr>
          <w:sz w:val="20"/>
          <w:szCs w:val="20"/>
          <w:color w:val="auto"/>
        </w:rPr>
      </w:pPr>
    </w:p>
    <w:p>
      <w:pPr>
        <w:ind w:left="200" w:hanging="197"/>
        <w:spacing w:after="0"/>
        <w:tabs>
          <w:tab w:leader="none" w:pos="2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less than 0.05% of home price growth (decline).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Through the end of</w:t>
            </w:r>
          </w:p>
        </w:tc>
        <w:tc>
          <w:tcPr>
            <w:tcW w:w="302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December 31,</w:t>
            </w:r>
          </w:p>
        </w:tc>
        <w:tc>
          <w:tcPr>
            <w:tcW w:w="2080" w:type="dxa"/>
            <w:vAlign w:val="bottom"/>
            <w:gridSpan w:val="3"/>
          </w:tcPr>
          <w:p>
            <w:pPr>
              <w:jc w:val="center"/>
              <w:ind w:left="88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0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2C6937"/>
            </w:tcBorders>
          </w:tcPr>
          <w:p>
            <w:pPr>
              <w:spacing w:after="0"/>
              <w:rPr>
                <w:sz w:val="17"/>
                <w:szCs w:val="17"/>
                <w:color w:val="auto"/>
              </w:rPr>
            </w:pPr>
          </w:p>
        </w:tc>
        <w:tc>
          <w:tcPr>
            <w:tcW w:w="50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2027</w:t>
            </w:r>
          </w:p>
        </w:tc>
      </w:tr>
      <w:tr>
        <w:trPr>
          <w:trHeight w:val="210"/>
        </w:trPr>
        <w:tc>
          <w:tcPr>
            <w:tcW w:w="1800" w:type="dxa"/>
            <w:vAlign w:val="bottom"/>
          </w:tcPr>
          <w:p>
            <w:pPr>
              <w:ind w:left="1380"/>
              <w:spacing w:after="0"/>
              <w:rPr>
                <w:sz w:val="20"/>
                <w:szCs w:val="20"/>
                <w:color w:val="auto"/>
              </w:rPr>
            </w:pPr>
            <w:r>
              <w:rPr>
                <w:rFonts w:ascii="Arial" w:cs="Arial" w:eastAsia="Arial" w:hAnsi="Arial"/>
                <w:sz w:val="15"/>
                <w:szCs w:val="15"/>
                <w:color w:val="auto"/>
              </w:rPr>
              <w:t>6.6 %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6.3 %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6.3 %</w:t>
            </w:r>
          </w:p>
        </w:tc>
      </w:tr>
      <w:tr>
        <w:trPr>
          <w:trHeight w:val="451"/>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Through the end of</w:t>
            </w:r>
          </w:p>
        </w:tc>
        <w:tc>
          <w:tcPr>
            <w:tcW w:w="302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December 31,</w:t>
            </w:r>
          </w:p>
        </w:tc>
        <w:tc>
          <w:tcPr>
            <w:tcW w:w="2080" w:type="dxa"/>
            <w:vAlign w:val="bottom"/>
            <w:gridSpan w:val="3"/>
          </w:tcPr>
          <w:p>
            <w:pPr>
              <w:jc w:val="center"/>
              <w:ind w:left="88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0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50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2026</w:t>
            </w:r>
          </w:p>
        </w:tc>
      </w:tr>
      <w:tr>
        <w:trPr>
          <w:trHeight w:val="210"/>
        </w:trPr>
        <w:tc>
          <w:tcPr>
            <w:tcW w:w="1800" w:type="dxa"/>
            <w:vAlign w:val="bottom"/>
          </w:tcPr>
          <w:p>
            <w:pPr>
              <w:ind w:left="1380"/>
              <w:spacing w:after="0"/>
              <w:rPr>
                <w:sz w:val="20"/>
                <w:szCs w:val="20"/>
                <w:color w:val="auto"/>
              </w:rPr>
            </w:pPr>
            <w:r>
              <w:rPr>
                <w:rFonts w:ascii="Arial" w:cs="Arial" w:eastAsia="Arial" w:hAnsi="Arial"/>
                <w:sz w:val="15"/>
                <w:szCs w:val="15"/>
                <w:color w:val="auto"/>
              </w:rPr>
              <w:t>6.8 %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6.8 %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6.7 %</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5.9</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6.4</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6.2</w:t>
            </w:r>
          </w:p>
        </w:tc>
      </w:tr>
    </w:tbl>
    <w:p>
      <w:pPr>
        <w:spacing w:after="0" w:line="303" w:lineRule="exact"/>
        <w:rPr>
          <w:sz w:val="20"/>
          <w:szCs w:val="20"/>
          <w:color w:val="auto"/>
        </w:rPr>
      </w:pPr>
    </w:p>
    <w:p>
      <w:pPr>
        <w:sectPr>
          <w:pgSz w:w="11900" w:h="16838" w:orient="portrait"/>
          <w:cols w:equalWidth="0" w:num="2">
            <w:col w:w="5620" w:space="720"/>
            <w:col w:w="4900"/>
          </w:cols>
          <w:pgMar w:left="320" w:top="248" w:right="339" w:bottom="1440" w:gutter="0" w:footer="0" w:header="0"/>
          <w:type w:val="continuous"/>
        </w:sectPr>
      </w:pPr>
    </w:p>
    <w:p>
      <w:pPr>
        <w:ind w:left="240" w:right="40" w:hanging="237"/>
        <w:spacing w:after="0" w:line="259" w:lineRule="auto"/>
        <w:tabs>
          <w:tab w:leader="none" w:pos="233" w:val="left"/>
        </w:tabs>
        <w:numPr>
          <w:ilvl w:val="0"/>
          <w:numId w:val="49"/>
        </w:numPr>
        <w:rPr>
          <w:rFonts w:ascii="Arial" w:cs="Arial" w:eastAsia="Arial" w:hAnsi="Arial"/>
          <w:sz w:val="9"/>
          <w:szCs w:val="9"/>
          <w:color w:val="auto"/>
        </w:rPr>
      </w:pPr>
      <w:r>
        <w:rPr>
          <w:rFonts w:ascii="Arial" w:cs="Arial" w:eastAsia="Arial" w:hAnsi="Arial"/>
          <w:sz w:val="14"/>
          <w:szCs w:val="14"/>
          <w:color w:val="auto"/>
        </w:rPr>
        <w:t>These forecasts are provided solely for the purpose of providing insight into our credit loss model. Forecasts for future periods are subject to significant uncertainty, which increases for periods that are further in the future. We provide our most recent forecasts for certain macroeconomic and housing market conditions in “Key Market Economic Indicators.” In addition, each month our Economic and Strategic Research Group provides its forecast of economic and housing market conditions, which are available in the “Research &amp; Insights” section of our website, www.fanniemae.com. Information on our website is not incorporated into this report.</w:t>
      </w:r>
    </w:p>
    <w:p>
      <w:pPr>
        <w:spacing w:after="0" w:line="1" w:lineRule="exact"/>
        <w:rPr>
          <w:rFonts w:ascii="Arial" w:cs="Arial" w:eastAsia="Arial" w:hAnsi="Arial"/>
          <w:sz w:val="9"/>
          <w:szCs w:val="9"/>
          <w:color w:val="auto"/>
        </w:rPr>
      </w:pPr>
    </w:p>
    <w:p>
      <w:pPr>
        <w:ind w:left="240" w:right="180" w:hanging="237"/>
        <w:spacing w:after="0" w:line="274" w:lineRule="auto"/>
        <w:tabs>
          <w:tab w:leader="none" w:pos="233" w:val="left"/>
        </w:tabs>
        <w:numPr>
          <w:ilvl w:val="0"/>
          <w:numId w:val="49"/>
        </w:numPr>
        <w:rPr>
          <w:rFonts w:ascii="Arial" w:cs="Arial" w:eastAsia="Arial" w:hAnsi="Arial"/>
          <w:sz w:val="8"/>
          <w:szCs w:val="8"/>
          <w:color w:val="auto"/>
        </w:rPr>
      </w:pPr>
      <w:r>
        <w:rPr>
          <w:rFonts w:ascii="Arial" w:cs="Arial" w:eastAsia="Arial" w:hAnsi="Arial"/>
          <w:sz w:val="13"/>
          <w:szCs w:val="13"/>
          <w:color w:val="auto"/>
        </w:rPr>
        <w:t>These estimates are based on our national home price index, which is calculated differently from the S&amp;P CoreLogic Case-Shiller U.S. National Home Price Index and therefore results in different percentages for comparable growth. We periodically update our home price growth estimates and forecasts as new data become available. As a result, the forecast data in this table may also differ from the forecasted home price growth rate presented in “Key Market Economic Indicators,” because that section reflects our most recent forecast as of the filing date of this report, while this table reflects the quantitative forecast data we used in our model to estimate credit losses for the periods shown. Management continues to monitor macroeconomic updates to our inputs in our credit loss model from the time they are approved as part of our established governance process to ensure the reasonableness of the inputs used to calculate estimated credit losses. The forecast data excludes the impact of any qualitative adjustments.</w:t>
      </w:r>
    </w:p>
    <w:p>
      <w:pPr>
        <w:spacing w:after="0" w:line="7" w:lineRule="exact"/>
        <w:rPr>
          <w:rFonts w:ascii="Arial" w:cs="Arial" w:eastAsia="Arial" w:hAnsi="Arial"/>
          <w:sz w:val="8"/>
          <w:szCs w:val="8"/>
          <w:color w:val="auto"/>
        </w:rPr>
      </w:pPr>
    </w:p>
    <w:p>
      <w:pPr>
        <w:ind w:left="240" w:right="20" w:hanging="237"/>
        <w:spacing w:after="0" w:line="259" w:lineRule="auto"/>
        <w:tabs>
          <w:tab w:leader="none" w:pos="233" w:val="left"/>
        </w:tabs>
        <w:numPr>
          <w:ilvl w:val="0"/>
          <w:numId w:val="49"/>
        </w:numPr>
        <w:rPr>
          <w:rFonts w:ascii="Arial" w:cs="Arial" w:eastAsia="Arial" w:hAnsi="Arial"/>
          <w:sz w:val="9"/>
          <w:szCs w:val="9"/>
          <w:color w:val="auto"/>
        </w:rPr>
      </w:pPr>
      <w:r>
        <w:rPr>
          <w:rFonts w:ascii="Arial" w:cs="Arial" w:eastAsia="Arial" w:hAnsi="Arial"/>
          <w:sz w:val="14"/>
          <w:szCs w:val="14"/>
          <w:color w:val="auto"/>
        </w:rPr>
        <w:t>Forecasted 30-year interest rates represent the mean of possible future interest rate environments that are simulated by our interest rate model and used in the estimation of credit losses. Forecasts through the end of December 31, 2025 and 2024 represent the average forecasted rate from the quarter-end through the calendar year end of December 31st. The fourth quarter of 2024 interest rate represents the 30-year interest rate as of December 31, 2024. This table reflects the forecasted interest rate data we used in estimating credit losses for the periods shown and does not reflect changes in interest rates that occurred after the forecast date.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52</w:t>
            </w:r>
          </w:p>
        </w:tc>
      </w:tr>
      <w:tr>
        <w:trPr>
          <w:trHeight w:val="194"/>
        </w:trPr>
        <w:tc>
          <w:tcPr>
            <w:tcW w:w="6840" w:type="dxa"/>
            <w:vAlign w:val="bottom"/>
            <w:tcBorders>
              <w:bottom w:val="single" w:sz="8" w:color="9A9A9A"/>
            </w:tcBorders>
          </w:tcPr>
          <w:p>
            <w:pPr>
              <w:spacing w:after="0"/>
              <w:rPr>
                <w:sz w:val="16"/>
                <w:szCs w:val="16"/>
                <w:color w:val="auto"/>
              </w:rPr>
            </w:pPr>
          </w:p>
        </w:tc>
        <w:tc>
          <w:tcPr>
            <w:tcW w:w="44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55" w:name="page56"/>
    <w:bookmarkEnd w:id="55"/>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noted above, our single-family allowance for loan losses is sensitive to changes in home prices and interest rate changes. We present in the table below the impact of hypothetical changes in home prices and 30-year interest rates, with all other factors held constant.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Sensitivities - Hypothetical Changes to Model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38735</wp:posOffset>
            </wp:positionV>
            <wp:extent cx="712216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Forecasted change to the first 12 months of the forecast:</w:t>
            </w:r>
          </w:p>
        </w:tc>
        <w:tc>
          <w:tcPr>
            <w:tcW w:w="160" w:type="dxa"/>
            <w:vAlign w:val="bottom"/>
          </w:tcPr>
          <w:p>
            <w:pPr>
              <w:spacing w:after="0"/>
              <w:rPr>
                <w:sz w:val="14"/>
                <w:szCs w:val="14"/>
                <w:color w:val="auto"/>
              </w:rPr>
            </w:pPr>
          </w:p>
        </w:tc>
        <w:tc>
          <w:tcPr>
            <w:tcW w:w="21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Allowance Impact</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 Change in Allowance</w:t>
            </w:r>
          </w:p>
        </w:tc>
        <w:tc>
          <w:tcPr>
            <w:tcW w:w="0" w:type="dxa"/>
            <w:vAlign w:val="bottom"/>
          </w:tcPr>
          <w:p>
            <w:pPr>
              <w:spacing w:after="0"/>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334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w w:val="95"/>
              </w:rPr>
              <w:t>as of March 31, 2025</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172"/>
        </w:trPr>
        <w:tc>
          <w:tcPr>
            <w:tcW w:w="5580" w:type="dxa"/>
            <w:vAlign w:val="bottom"/>
          </w:tcPr>
          <w:p>
            <w:pPr>
              <w:jc w:val="right"/>
              <w:ind w:right="2004"/>
              <w:spacing w:after="0"/>
              <w:rPr>
                <w:sz w:val="20"/>
                <w:szCs w:val="20"/>
                <w:color w:val="auto"/>
              </w:rPr>
            </w:pPr>
            <w:r>
              <w:rPr>
                <w:rFonts w:ascii="Arial" w:cs="Arial" w:eastAsia="Arial" w:hAnsi="Arial"/>
                <w:sz w:val="14"/>
                <w:szCs w:val="14"/>
                <w:b w:val="1"/>
                <w:bCs w:val="1"/>
                <w:color w:val="auto"/>
              </w:rPr>
              <w:t>(In percentage points)</w:t>
            </w:r>
          </w:p>
        </w:tc>
        <w:tc>
          <w:tcPr>
            <w:tcW w:w="160" w:type="dxa"/>
            <w:vAlign w:val="bottom"/>
          </w:tcPr>
          <w:p>
            <w:pPr>
              <w:spacing w:after="0"/>
              <w:rPr>
                <w:sz w:val="14"/>
                <w:szCs w:val="14"/>
                <w:color w:val="auto"/>
              </w:rPr>
            </w:pPr>
          </w:p>
        </w:tc>
        <w:tc>
          <w:tcPr>
            <w:tcW w:w="2000" w:type="dxa"/>
            <w:vAlign w:val="bottom"/>
            <w:tcBorders>
              <w:top w:val="single" w:sz="8" w:color="2C6937"/>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58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Change in home prices growth rate:</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413"/>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30-year interest rates:</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4884"/>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58"/>
        </w:trPr>
        <w:tc>
          <w:tcPr>
            <w:tcW w:w="5580" w:type="dxa"/>
            <w:vAlign w:val="bottom"/>
          </w:tcPr>
          <w:p>
            <w:pPr>
              <w:jc w:val="right"/>
              <w:ind w:right="4884"/>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-915035</wp:posOffset>
            </wp:positionV>
            <wp:extent cx="90170" cy="1066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-751840</wp:posOffset>
            </wp:positionV>
            <wp:extent cx="98425" cy="1066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-325755</wp:posOffset>
            </wp:positionV>
            <wp:extent cx="98425" cy="1066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-161925</wp:posOffset>
            </wp:positionV>
            <wp:extent cx="90170" cy="1066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0170" cy="106680"/>
                    </a:xfrm>
                    <a:prstGeom prst="rect">
                      <a:avLst/>
                    </a:prstGeom>
                    <a:noFill/>
                  </pic:spPr>
                </pic:pic>
              </a:graphicData>
            </a:graphic>
          </wp:anchor>
        </w:drawing>
      </w:r>
    </w:p>
    <w:p>
      <w:pPr>
        <w:spacing w:after="0" w:line="76" w:lineRule="exact"/>
        <w:rPr>
          <w:sz w:val="20"/>
          <w:szCs w:val="20"/>
          <w:color w:val="auto"/>
        </w:rPr>
      </w:pPr>
    </w:p>
    <w:p>
      <w:pPr>
        <w:ind w:left="300" w:hanging="297"/>
        <w:spacing w:after="0"/>
        <w:tabs>
          <w:tab w:leader="none" w:pos="30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Calculated as a percentage of our single-family allowance for loan losses.</w:t>
      </w:r>
    </w:p>
    <w:p>
      <w:pPr>
        <w:spacing w:after="0" w:line="37" w:lineRule="exact"/>
        <w:rPr>
          <w:rFonts w:ascii="Arial" w:cs="Arial" w:eastAsia="Arial" w:hAnsi="Arial"/>
          <w:sz w:val="18"/>
          <w:szCs w:val="18"/>
          <w:color w:val="auto"/>
          <w:vertAlign w:val="superscript"/>
        </w:rPr>
      </w:pPr>
    </w:p>
    <w:p>
      <w:pPr>
        <w:ind w:left="300" w:hanging="297"/>
        <w:spacing w:after="0" w:line="195" w:lineRule="auto"/>
        <w:tabs>
          <w:tab w:leader="none" w:pos="30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Change in home price shown on a normalized basis.</w:t>
      </w:r>
    </w:p>
    <w:p>
      <w:pPr>
        <w:spacing w:after="0" w:line="5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above sensitivity analyses are hypothetical and are provided solely for the purpose of providing insight into our credit loss model inputs. In addition, sensitivities for home price and interest rate changes are non-linear. As a result, changes in these estimates are not always incrementally proportional. The purpose of this analysis is to provide an indication of the impact of changes in home prices and 30-year interest rates on the estimate of the single-family allowance for credit losses. This analysis is not intended to imply management’s expectation of future changes in our forecasts or any other variables that may change as a result.</w:t>
      </w:r>
    </w:p>
    <w:p>
      <w:pPr>
        <w:spacing w:after="0" w:line="5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See “Key Market Economic Indicators” in our 2024 Form 10-K and in this report for additional information about how home prices and interest rates can affect our credit loss estimates, including a discussion of home price growth rates and our home price forecast. Also see “Consolidated Results of Operations—(Provision) Benefit for Credit Losses” for information on how our home price and interest rate forecasts impacted our single-family (provision) benefit for credit losses.</w:t>
      </w:r>
    </w:p>
    <w:p>
      <w:pPr>
        <w:spacing w:after="0" w:line="7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Sensitivities and Inputs</w:t>
      </w:r>
    </w:p>
    <w:p>
      <w:pPr>
        <w:spacing w:after="0" w:line="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table below provides information about our most significant key macroeconomic inputs used in determining our multifamily allowance for loan losses: multifamily property net operating income and property value growth rates. Although the model consumes a wide range of possible future economic scenarios, the forecasts below represent the mean path of those simulations used in determining the allowance for the quarter ended March 31, 2025, and for the quarter ended December 31, 2024, and how those forecasts have changed between periods of estimate. Our forecasts include estimates for periods beyond those presented below.</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Multifamily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net operating income growth (decline) rate by period of estimate:</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18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3880" w:type="dxa"/>
            <w:vAlign w:val="bottom"/>
            <w:tcBorders>
              <w:bottom w:val="single" w:sz="8" w:color="2C6937"/>
            </w:tcBorders>
            <w:gridSpan w:val="4"/>
          </w:tcPr>
          <w:p>
            <w:pPr>
              <w:ind w:left="500"/>
              <w:spacing w:after="0"/>
              <w:rPr>
                <w:sz w:val="20"/>
                <w:szCs w:val="20"/>
                <w:color w:val="auto"/>
              </w:rPr>
            </w:pPr>
            <w:r>
              <w:rPr>
                <w:rFonts w:ascii="Arial" w:cs="Arial" w:eastAsia="Arial" w:hAnsi="Arial"/>
                <w:sz w:val="15"/>
                <w:szCs w:val="15"/>
                <w:b w:val="1"/>
                <w:bCs w:val="1"/>
                <w:color w:val="auto"/>
              </w:rPr>
              <w:t>For the Full Year ending December 31,</w:t>
            </w:r>
          </w:p>
        </w:tc>
        <w:tc>
          <w:tcPr>
            <w:tcW w:w="1860" w:type="dxa"/>
            <w:vAlign w:val="bottom"/>
            <w:tcBorders>
              <w:bottom w:val="single" w:sz="8" w:color="2C6937"/>
            </w:tcBorders>
          </w:tcPr>
          <w:p>
            <w:pPr>
              <w:spacing w:after="0"/>
              <w:rPr>
                <w:sz w:val="18"/>
                <w:szCs w:val="18"/>
                <w:color w:val="auto"/>
              </w:rPr>
            </w:pPr>
          </w:p>
        </w:tc>
      </w:tr>
      <w:tr>
        <w:trPr>
          <w:trHeight w:val="202"/>
        </w:trPr>
        <w:tc>
          <w:tcPr>
            <w:tcW w:w="354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860" w:type="dxa"/>
            <w:vAlign w:val="bottom"/>
            <w:tcBorders>
              <w:bottom w:val="single" w:sz="8" w:color="2C6937"/>
            </w:tcBorders>
          </w:tcPr>
          <w:p>
            <w:pPr>
              <w:jc w:val="right"/>
              <w:ind w:right="683"/>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1860" w:type="dxa"/>
            <w:vAlign w:val="bottom"/>
            <w:tcBorders>
              <w:bottom w:val="single" w:sz="8" w:color="2C6937"/>
            </w:tcBorders>
          </w:tcPr>
          <w:p>
            <w:pPr>
              <w:jc w:val="right"/>
              <w:ind w:right="683"/>
              <w:spacing w:after="0"/>
              <w:rPr>
                <w:sz w:val="20"/>
                <w:szCs w:val="20"/>
                <w:color w:val="auto"/>
              </w:rPr>
            </w:pPr>
            <w:r>
              <w:rPr>
                <w:rFonts w:ascii="Arial" w:cs="Arial" w:eastAsia="Arial" w:hAnsi="Arial"/>
                <w:sz w:val="15"/>
                <w:szCs w:val="15"/>
                <w:b w:val="1"/>
                <w:bCs w:val="1"/>
                <w:color w:val="auto"/>
              </w:rPr>
              <w:t>2027</w:t>
            </w:r>
          </w:p>
        </w:tc>
      </w:tr>
      <w:tr>
        <w:trPr>
          <w:trHeight w:val="210"/>
        </w:trPr>
        <w:tc>
          <w:tcPr>
            <w:tcW w:w="3540" w:type="dxa"/>
            <w:vAlign w:val="bottom"/>
          </w:tcPr>
          <w:p>
            <w:pPr>
              <w:spacing w:after="0"/>
              <w:rPr>
                <w:sz w:val="20"/>
                <w:szCs w:val="20"/>
                <w:color w:val="auto"/>
              </w:rPr>
            </w:pPr>
            <w:r>
              <w:rPr>
                <w:rFonts w:ascii="Arial" w:cs="Arial" w:eastAsia="Arial" w:hAnsi="Arial"/>
                <w:sz w:val="15"/>
                <w:szCs w:val="15"/>
                <w:color w:val="auto"/>
              </w:rPr>
              <w:t>First Quarter 2025</w:t>
            </w:r>
          </w:p>
        </w:tc>
        <w:tc>
          <w:tcPr>
            <w:tcW w:w="1940" w:type="dxa"/>
            <w:vAlign w:val="bottom"/>
            <w:gridSpan w:val="2"/>
          </w:tcPr>
          <w:p>
            <w:pPr>
              <w:ind w:left="1560"/>
              <w:spacing w:after="0"/>
              <w:rPr>
                <w:sz w:val="20"/>
                <w:szCs w:val="20"/>
                <w:color w:val="auto"/>
              </w:rPr>
            </w:pPr>
            <w:r>
              <w:rPr>
                <w:rFonts w:ascii="Arial" w:cs="Arial" w:eastAsia="Arial" w:hAnsi="Arial"/>
                <w:sz w:val="15"/>
                <w:szCs w:val="15"/>
                <w:color w:val="auto"/>
              </w:rPr>
              <w:t>N/A</w:t>
            </w:r>
          </w:p>
        </w:tc>
        <w:tc>
          <w:tcPr>
            <w:tcW w:w="1860" w:type="dxa"/>
            <w:vAlign w:val="bottom"/>
          </w:tcPr>
          <w:p>
            <w:pPr>
              <w:jc w:val="right"/>
              <w:spacing w:after="0"/>
              <w:rPr>
                <w:sz w:val="20"/>
                <w:szCs w:val="20"/>
                <w:color w:val="auto"/>
              </w:rPr>
            </w:pPr>
            <w:r>
              <w:rPr>
                <w:rFonts w:ascii="Arial" w:cs="Arial" w:eastAsia="Arial" w:hAnsi="Arial"/>
                <w:sz w:val="15"/>
                <w:szCs w:val="15"/>
                <w:color w:val="auto"/>
              </w:rPr>
              <w:t>2.1 %</w:t>
            </w:r>
          </w:p>
        </w:tc>
        <w:tc>
          <w:tcPr>
            <w:tcW w:w="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0.5 %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2.1 %</w:t>
            </w:r>
          </w:p>
        </w:tc>
      </w:tr>
      <w:tr>
        <w:trPr>
          <w:trHeight w:val="232"/>
        </w:trPr>
        <w:tc>
          <w:tcPr>
            <w:tcW w:w="3540" w:type="dxa"/>
            <w:vAlign w:val="bottom"/>
          </w:tcPr>
          <w:p>
            <w:pPr>
              <w:spacing w:after="0"/>
              <w:rPr>
                <w:sz w:val="20"/>
                <w:szCs w:val="20"/>
                <w:color w:val="auto"/>
              </w:rPr>
            </w:pPr>
            <w:r>
              <w:rPr>
                <w:rFonts w:ascii="Arial" w:cs="Arial" w:eastAsia="Arial" w:hAnsi="Arial"/>
                <w:sz w:val="15"/>
                <w:szCs w:val="15"/>
                <w:color w:val="auto"/>
              </w:rPr>
              <w:t>Fourth Quarter 2024</w:t>
            </w:r>
          </w:p>
        </w:tc>
        <w:tc>
          <w:tcPr>
            <w:tcW w:w="1840" w:type="dxa"/>
            <w:vAlign w:val="bottom"/>
          </w:tcPr>
          <w:p>
            <w:pPr>
              <w:jc w:val="right"/>
              <w:spacing w:after="0"/>
              <w:rPr>
                <w:sz w:val="20"/>
                <w:szCs w:val="20"/>
                <w:color w:val="auto"/>
              </w:rPr>
            </w:pPr>
            <w:r>
              <w:rPr>
                <w:rFonts w:ascii="Arial" w:cs="Arial" w:eastAsia="Arial" w:hAnsi="Arial"/>
                <w:sz w:val="15"/>
                <w:szCs w:val="15"/>
                <w:color w:val="auto"/>
              </w:rPr>
              <w:t>3.1 %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1.7 %</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0.3 %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369"/>
        </w:trPr>
        <w:tc>
          <w:tcPr>
            <w:tcW w:w="5480" w:type="dxa"/>
            <w:vAlign w:val="bottom"/>
            <w:gridSpan w:val="3"/>
          </w:tcPr>
          <w:p>
            <w:pPr>
              <w:spacing w:after="0"/>
              <w:rPr>
                <w:sz w:val="20"/>
                <w:szCs w:val="20"/>
                <w:color w:val="auto"/>
              </w:rPr>
            </w:pPr>
            <w:r>
              <w:rPr>
                <w:rFonts w:ascii="Arial" w:cs="Arial" w:eastAsia="Arial" w:hAnsi="Arial"/>
                <w:sz w:val="15"/>
                <w:szCs w:val="15"/>
                <w:b w:val="1"/>
                <w:bCs w:val="1"/>
                <w:color w:val="auto"/>
              </w:rPr>
              <w:t>Forecasted property value growth (decline) rate by period of estimate:</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5"/>
        </w:trPr>
        <w:tc>
          <w:tcPr>
            <w:tcW w:w="3540" w:type="dxa"/>
            <w:vAlign w:val="bottom"/>
          </w:tcPr>
          <w:p>
            <w:pPr>
              <w:spacing w:after="0"/>
              <w:rPr>
                <w:sz w:val="20"/>
                <w:szCs w:val="20"/>
                <w:color w:val="auto"/>
              </w:rPr>
            </w:pPr>
          </w:p>
        </w:tc>
        <w:tc>
          <w:tcPr>
            <w:tcW w:w="184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3880" w:type="dxa"/>
            <w:vAlign w:val="bottom"/>
            <w:tcBorders>
              <w:bottom w:val="single" w:sz="8" w:color="2C6937"/>
            </w:tcBorders>
            <w:gridSpan w:val="4"/>
          </w:tcPr>
          <w:p>
            <w:pPr>
              <w:ind w:left="500"/>
              <w:spacing w:after="0"/>
              <w:rPr>
                <w:sz w:val="20"/>
                <w:szCs w:val="20"/>
                <w:color w:val="auto"/>
              </w:rPr>
            </w:pPr>
            <w:r>
              <w:rPr>
                <w:rFonts w:ascii="Arial" w:cs="Arial" w:eastAsia="Arial" w:hAnsi="Arial"/>
                <w:sz w:val="15"/>
                <w:szCs w:val="15"/>
                <w:b w:val="1"/>
                <w:bCs w:val="1"/>
                <w:color w:val="auto"/>
              </w:rPr>
              <w:t>For the Full Year ending December 31,</w:t>
            </w:r>
          </w:p>
        </w:tc>
        <w:tc>
          <w:tcPr>
            <w:tcW w:w="1860" w:type="dxa"/>
            <w:vAlign w:val="bottom"/>
            <w:tcBorders>
              <w:bottom w:val="single" w:sz="8" w:color="2C6937"/>
            </w:tcBorders>
          </w:tcPr>
          <w:p>
            <w:pPr>
              <w:spacing w:after="0"/>
              <w:rPr>
                <w:sz w:val="20"/>
                <w:szCs w:val="20"/>
                <w:color w:val="auto"/>
              </w:rPr>
            </w:pPr>
          </w:p>
        </w:tc>
      </w:tr>
      <w:tr>
        <w:trPr>
          <w:trHeight w:val="202"/>
        </w:trPr>
        <w:tc>
          <w:tcPr>
            <w:tcW w:w="354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860" w:type="dxa"/>
            <w:vAlign w:val="bottom"/>
            <w:tcBorders>
              <w:bottom w:val="single" w:sz="8" w:color="2C6937"/>
            </w:tcBorders>
          </w:tcPr>
          <w:p>
            <w:pPr>
              <w:jc w:val="right"/>
              <w:ind w:right="683"/>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1860" w:type="dxa"/>
            <w:vAlign w:val="bottom"/>
            <w:tcBorders>
              <w:bottom w:val="single" w:sz="8" w:color="2C6937"/>
            </w:tcBorders>
          </w:tcPr>
          <w:p>
            <w:pPr>
              <w:jc w:val="right"/>
              <w:ind w:right="683"/>
              <w:spacing w:after="0"/>
              <w:rPr>
                <w:sz w:val="20"/>
                <w:szCs w:val="20"/>
                <w:color w:val="auto"/>
              </w:rPr>
            </w:pPr>
            <w:r>
              <w:rPr>
                <w:rFonts w:ascii="Arial" w:cs="Arial" w:eastAsia="Arial" w:hAnsi="Arial"/>
                <w:sz w:val="15"/>
                <w:szCs w:val="15"/>
                <w:b w:val="1"/>
                <w:bCs w:val="1"/>
                <w:color w:val="auto"/>
              </w:rPr>
              <w:t>2027</w:t>
            </w:r>
          </w:p>
        </w:tc>
      </w:tr>
      <w:tr>
        <w:trPr>
          <w:trHeight w:val="210"/>
        </w:trPr>
        <w:tc>
          <w:tcPr>
            <w:tcW w:w="3540" w:type="dxa"/>
            <w:vAlign w:val="bottom"/>
          </w:tcPr>
          <w:p>
            <w:pPr>
              <w:spacing w:after="0"/>
              <w:rPr>
                <w:sz w:val="20"/>
                <w:szCs w:val="20"/>
                <w:color w:val="auto"/>
              </w:rPr>
            </w:pPr>
            <w:r>
              <w:rPr>
                <w:rFonts w:ascii="Arial" w:cs="Arial" w:eastAsia="Arial" w:hAnsi="Arial"/>
                <w:sz w:val="15"/>
                <w:szCs w:val="15"/>
                <w:color w:val="auto"/>
              </w:rPr>
              <w:t>First Quarter 2025</w:t>
            </w:r>
          </w:p>
        </w:tc>
        <w:tc>
          <w:tcPr>
            <w:tcW w:w="1940" w:type="dxa"/>
            <w:vAlign w:val="bottom"/>
            <w:gridSpan w:val="2"/>
          </w:tcPr>
          <w:p>
            <w:pPr>
              <w:ind w:left="1560"/>
              <w:spacing w:after="0"/>
              <w:rPr>
                <w:sz w:val="20"/>
                <w:szCs w:val="20"/>
                <w:color w:val="auto"/>
              </w:rPr>
            </w:pPr>
            <w:r>
              <w:rPr>
                <w:rFonts w:ascii="Arial" w:cs="Arial" w:eastAsia="Arial" w:hAnsi="Arial"/>
                <w:sz w:val="15"/>
                <w:szCs w:val="15"/>
                <w:color w:val="auto"/>
              </w:rPr>
              <w:t>N/A</w:t>
            </w:r>
          </w:p>
        </w:tc>
        <w:tc>
          <w:tcPr>
            <w:tcW w:w="1860" w:type="dxa"/>
            <w:vAlign w:val="bottom"/>
          </w:tcPr>
          <w:p>
            <w:pPr>
              <w:jc w:val="right"/>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3.1 %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3.3 %</w:t>
            </w:r>
          </w:p>
        </w:tc>
      </w:tr>
      <w:tr>
        <w:trPr>
          <w:trHeight w:val="232"/>
        </w:trPr>
        <w:tc>
          <w:tcPr>
            <w:tcW w:w="3540" w:type="dxa"/>
            <w:vAlign w:val="bottom"/>
          </w:tcPr>
          <w:p>
            <w:pPr>
              <w:spacing w:after="0"/>
              <w:rPr>
                <w:sz w:val="20"/>
                <w:szCs w:val="20"/>
                <w:color w:val="auto"/>
              </w:rPr>
            </w:pPr>
            <w:r>
              <w:rPr>
                <w:rFonts w:ascii="Arial" w:cs="Arial" w:eastAsia="Arial" w:hAnsi="Arial"/>
                <w:sz w:val="15"/>
                <w:szCs w:val="15"/>
                <w:color w:val="auto"/>
              </w:rPr>
              <w:t>Fourth Quarter 2024</w:t>
            </w:r>
          </w:p>
        </w:tc>
        <w:tc>
          <w:tcPr>
            <w:tcW w:w="1840" w:type="dxa"/>
            <w:vAlign w:val="bottom"/>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3.7 %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N/A</w:t>
            </w:r>
          </w:p>
        </w:tc>
      </w:tr>
    </w:tbl>
    <w:p>
      <w:pPr>
        <w:spacing w:after="0" w:line="119" w:lineRule="exact"/>
        <w:rPr>
          <w:sz w:val="20"/>
          <w:szCs w:val="20"/>
          <w:color w:val="auto"/>
        </w:rPr>
      </w:pPr>
    </w:p>
    <w:p>
      <w:pPr>
        <w:ind w:left="240" w:right="220" w:hanging="231"/>
        <w:spacing w:after="0" w:line="259" w:lineRule="auto"/>
        <w:tabs>
          <w:tab w:leader="none" w:pos="220" w:val="left"/>
        </w:tabs>
        <w:rPr>
          <w:sz w:val="20"/>
          <w:szCs w:val="20"/>
          <w:color w:val="auto"/>
        </w:rPr>
      </w:pPr>
      <w:r>
        <w:rPr>
          <w:rFonts w:ascii="Arial" w:cs="Arial" w:eastAsia="Arial" w:hAnsi="Arial"/>
          <w:sz w:val="17"/>
          <w:szCs w:val="17"/>
          <w:color w:val="auto"/>
          <w:vertAlign w:val="superscript"/>
        </w:rPr>
        <w:t>N/A</w:t>
      </w:r>
      <w:r>
        <w:rPr>
          <w:rFonts w:ascii="Arial" w:cs="Arial" w:eastAsia="Arial" w:hAnsi="Arial"/>
          <w:sz w:val="14"/>
          <w:szCs w:val="14"/>
          <w:color w:val="auto"/>
        </w:rPr>
        <w:tab/>
        <w:t>Not applicable. For purposes of this disclosure, we provide the forecasted net operating income growth rate and property value growth rate for the period of estimate and the two years following the period of estimate.</w:t>
      </w:r>
    </w:p>
    <w:p>
      <w:pPr>
        <w:spacing w:after="0" w:line="18" w:lineRule="exact"/>
        <w:rPr>
          <w:sz w:val="20"/>
          <w:szCs w:val="20"/>
          <w:color w:val="auto"/>
        </w:rPr>
      </w:pPr>
    </w:p>
    <w:p>
      <w:pPr>
        <w:ind w:left="220" w:hanging="217"/>
        <w:spacing w:after="0"/>
        <w:tabs>
          <w:tab w:leader="none" w:pos="220" w:val="left"/>
        </w:tabs>
        <w:numPr>
          <w:ilvl w:val="0"/>
          <w:numId w:val="51"/>
        </w:numPr>
        <w:rPr>
          <w:rFonts w:ascii="Arial" w:cs="Arial" w:eastAsia="Arial" w:hAnsi="Arial"/>
          <w:sz w:val="9"/>
          <w:szCs w:val="9"/>
          <w:color w:val="auto"/>
        </w:rPr>
      </w:pPr>
      <w:r>
        <w:rPr>
          <w:rFonts w:ascii="Arial" w:cs="Arial" w:eastAsia="Arial" w:hAnsi="Arial"/>
          <w:sz w:val="14"/>
          <w:szCs w:val="14"/>
          <w:color w:val="auto"/>
        </w:rPr>
        <w:t>These forecasts are provided solely for the purpose of providing insight into our credit loss model. Forecasts for future periods are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53</w:t>
            </w:r>
          </w:p>
        </w:tc>
      </w:tr>
      <w:tr>
        <w:trPr>
          <w:trHeight w:val="207"/>
        </w:trPr>
        <w:tc>
          <w:tcPr>
            <w:tcW w:w="6840" w:type="dxa"/>
            <w:vAlign w:val="bottom"/>
            <w:tcBorders>
              <w:bottom w:val="single" w:sz="8" w:color="9A9A9A"/>
            </w:tcBorders>
          </w:tcPr>
          <w:p>
            <w:pPr>
              <w:spacing w:after="0"/>
              <w:rPr>
                <w:sz w:val="17"/>
                <w:szCs w:val="17"/>
                <w:color w:val="auto"/>
              </w:rPr>
            </w:pPr>
          </w:p>
        </w:tc>
        <w:tc>
          <w:tcPr>
            <w:tcW w:w="4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6" w:name="page57"/>
    <w:bookmarkEnd w:id="56"/>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subject to significant uncertainty, which increases for periods that are further in the future.</w:t>
      </w:r>
    </w:p>
    <w:p>
      <w:pPr>
        <w:spacing w:after="0" w:line="7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As noted above, our multifamily allowance for loan losses is sensitive to changes in net operating income and property value changes. We present in the table below the impact of hypothetical changes in net operating income and property value, with all other factors held constant.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Sensitivities - Hypothetical Changes to Model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Forecasted change to the first 12 months of the forecast:</w:t>
            </w:r>
          </w:p>
        </w:tc>
        <w:tc>
          <w:tcPr>
            <w:tcW w:w="160" w:type="dxa"/>
            <w:vAlign w:val="bottom"/>
          </w:tcPr>
          <w:p>
            <w:pPr>
              <w:spacing w:after="0"/>
              <w:rPr>
                <w:sz w:val="14"/>
                <w:szCs w:val="14"/>
                <w:color w:val="auto"/>
              </w:rPr>
            </w:pPr>
          </w:p>
        </w:tc>
        <w:tc>
          <w:tcPr>
            <w:tcW w:w="21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Allowance Impact</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 Change in Allowance</w:t>
            </w:r>
          </w:p>
        </w:tc>
        <w:tc>
          <w:tcPr>
            <w:tcW w:w="0" w:type="dxa"/>
            <w:vAlign w:val="bottom"/>
          </w:tcPr>
          <w:p>
            <w:pPr>
              <w:spacing w:after="0"/>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338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w w:val="95"/>
              </w:rPr>
              <w:t>as of March 31, 2025</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172"/>
        </w:trPr>
        <w:tc>
          <w:tcPr>
            <w:tcW w:w="5580" w:type="dxa"/>
            <w:vAlign w:val="bottom"/>
          </w:tcPr>
          <w:p>
            <w:pPr>
              <w:jc w:val="right"/>
              <w:ind w:right="2004"/>
              <w:spacing w:after="0"/>
              <w:rPr>
                <w:sz w:val="20"/>
                <w:szCs w:val="20"/>
                <w:color w:val="auto"/>
              </w:rPr>
            </w:pPr>
            <w:r>
              <w:rPr>
                <w:rFonts w:ascii="Arial" w:cs="Arial" w:eastAsia="Arial" w:hAnsi="Arial"/>
                <w:sz w:val="14"/>
                <w:szCs w:val="14"/>
                <w:b w:val="1"/>
                <w:bCs w:val="1"/>
                <w:color w:val="auto"/>
              </w:rPr>
              <w:t>(In percentage points)</w:t>
            </w:r>
          </w:p>
        </w:tc>
        <w:tc>
          <w:tcPr>
            <w:tcW w:w="160" w:type="dxa"/>
            <w:vAlign w:val="bottom"/>
          </w:tcPr>
          <w:p>
            <w:pPr>
              <w:spacing w:after="0"/>
              <w:rPr>
                <w:sz w:val="14"/>
                <w:szCs w:val="14"/>
                <w:color w:val="auto"/>
              </w:rPr>
            </w:pPr>
          </w:p>
        </w:tc>
        <w:tc>
          <w:tcPr>
            <w:tcW w:w="1980" w:type="dxa"/>
            <w:vAlign w:val="bottom"/>
            <w:tcBorders>
              <w:top w:val="single" w:sz="8" w:color="2C6937"/>
            </w:tcBorders>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net operating income growth rate:</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0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13"/>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property value growth rate:</w:t>
            </w: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0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-915035</wp:posOffset>
            </wp:positionV>
            <wp:extent cx="90170" cy="1066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-751205</wp:posOffset>
            </wp:positionV>
            <wp:extent cx="98425" cy="1066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-325755</wp:posOffset>
            </wp:positionV>
            <wp:extent cx="90170" cy="1066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-161925</wp:posOffset>
            </wp:positionV>
            <wp:extent cx="98425" cy="1066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8425" cy="106680"/>
                    </a:xfrm>
                    <a:prstGeom prst="rect">
                      <a:avLst/>
                    </a:prstGeom>
                    <a:noFill/>
                  </pic:spPr>
                </pic:pic>
              </a:graphicData>
            </a:graphic>
          </wp:anchor>
        </w:drawing>
      </w:r>
    </w:p>
    <w:p>
      <w:pPr>
        <w:spacing w:after="0" w:line="76" w:lineRule="exact"/>
        <w:rPr>
          <w:sz w:val="20"/>
          <w:szCs w:val="20"/>
          <w:color w:val="auto"/>
        </w:rPr>
      </w:pPr>
    </w:p>
    <w:p>
      <w:pPr>
        <w:ind w:left="300" w:hanging="297"/>
        <w:spacing w:after="0"/>
        <w:tabs>
          <w:tab w:leader="none" w:pos="30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Calculated as a percentage of our multifamily allowance for loan losses.</w:t>
      </w:r>
    </w:p>
    <w:p>
      <w:pPr>
        <w:spacing w:after="0" w:line="54"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above sensitivity analyses are hypothetical and are provided solely for the purpose of providing insight into our credit loss model inputs. In addition, sensitivities for net operating income and property value changes are non-linear. As a result, changes in these estimates are not always incrementally proportional. The purpose of this analysis is to provide an indication of the impact of net operating income and property value changes on the estimate of the multifamily allowance for credit losses. This analysis is not intended to imply management’s expectation of future changes in our forecasts or any other variables that may change as a result.</w:t>
      </w:r>
    </w:p>
    <w:p>
      <w:pPr>
        <w:spacing w:after="0" w:line="53"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See “Consolidated Results of Operations—(Provision) Benefit for Credit Losses” for information on how our property valuations impacted our multifamily (provision) benefit for credit losses.</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Impact of Future Adoption of New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80"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We identify and discuss the expected impact on our condensed consolidated financial statements of recently issued accounting guidance in “Note 1, Summary of Significant Accounting Policies.”</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This report includes statements that constitute forward-looking statements within the meaning of Section 21E of the Securities Exchange Act of 1934 (the “Exchange Act”). In addition, we and our senior management may from time to time make forward-looking statements in our other filings with the SEC, our other publicly available written statements, and orally to analysts, investors, the news media and others. Forward-looking statements often include words such as “expect,” “anticipate,” “intend,” “plan,” “believe,” “seek,” “estimate,” “forecast,” “project,” “would,” “should,” “could,” “likely,” “may,” “will” or similar words. Examples of forward-looking statements in this report include, among others, statements relating to our beliefs and expectations regarding the following matters:</w:t>
      </w:r>
    </w:p>
    <w:p>
      <w:pPr>
        <w:spacing w:after="0" w:line="55" w:lineRule="exact"/>
        <w:rPr>
          <w:sz w:val="20"/>
          <w:szCs w:val="20"/>
          <w:color w:val="auto"/>
        </w:rPr>
      </w:pPr>
    </w:p>
    <w:p>
      <w:pPr>
        <w:ind w:left="620" w:right="20" w:hanging="307"/>
        <w:spacing w:after="0" w:line="272" w:lineRule="auto"/>
        <w:tabs>
          <w:tab w:leader="none" w:pos="612" w:val="left"/>
        </w:tabs>
        <w:numPr>
          <w:ilvl w:val="0"/>
          <w:numId w:val="53"/>
        </w:numPr>
        <w:rPr>
          <w:rFonts w:ascii="Arial" w:cs="Arial" w:eastAsia="Arial" w:hAnsi="Arial"/>
          <w:sz w:val="16"/>
          <w:szCs w:val="16"/>
          <w:i w:val="1"/>
          <w:iCs w:val="1"/>
          <w:color w:val="auto"/>
        </w:rPr>
      </w:pPr>
      <w:r>
        <w:rPr>
          <w:rFonts w:ascii="Arial" w:cs="Arial" w:eastAsia="Arial" w:hAnsi="Arial"/>
          <w:sz w:val="16"/>
          <w:szCs w:val="16"/>
          <w:color w:val="auto"/>
        </w:rPr>
        <w:t>economic, mortgage market and housing market conditions (including expectations regarding economic growth, home price growth, multifamily property values, the unemployment rate, loan origination volumes, interest rates and multifamily property net operating income), the factors that will affect those conditions, and the impact of those conditions on our business and financial results;</w:t>
      </w:r>
    </w:p>
    <w:p>
      <w:pPr>
        <w:spacing w:after="0" w:line="31" w:lineRule="exact"/>
        <w:rPr>
          <w:rFonts w:ascii="Arial" w:cs="Arial" w:eastAsia="Arial" w:hAnsi="Arial"/>
          <w:sz w:val="16"/>
          <w:szCs w:val="16"/>
          <w:i w:val="1"/>
          <w:iCs w:val="1"/>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impact of hedge accounting on the volatility of our financial results;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future aggregate liquidation preference of our senior preferred stock;</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future dividend payments on the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business plans and strategies, and their impact;</w:t>
      </w:r>
    </w:p>
    <w:p>
      <w:pPr>
        <w:spacing w:after="0" w:line="86" w:lineRule="exact"/>
        <w:rPr>
          <w:rFonts w:ascii="Arial" w:cs="Arial" w:eastAsia="Arial" w:hAnsi="Arial"/>
          <w:sz w:val="16"/>
          <w:szCs w:val="16"/>
          <w:color w:val="auto"/>
        </w:rPr>
      </w:pPr>
    </w:p>
    <w:p>
      <w:pPr>
        <w:ind w:left="620" w:right="8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credit performance of the loans in our guaranty book of business (including future loan delinquencies and foreclosures) and the factors that will affect such performance;</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54</w:t>
            </w:r>
          </w:p>
        </w:tc>
      </w:tr>
      <w:tr>
        <w:trPr>
          <w:trHeight w:val="194"/>
        </w:trPr>
        <w:tc>
          <w:tcPr>
            <w:tcW w:w="6840" w:type="dxa"/>
            <w:vAlign w:val="bottom"/>
            <w:tcBorders>
              <w:bottom w:val="single" w:sz="8" w:color="9A9A9A"/>
            </w:tcBorders>
          </w:tcPr>
          <w:p>
            <w:pPr>
              <w:spacing w:after="0"/>
              <w:rPr>
                <w:sz w:val="16"/>
                <w:szCs w:val="16"/>
                <w:color w:val="auto"/>
              </w:rPr>
            </w:pPr>
          </w:p>
        </w:tc>
        <w:tc>
          <w:tcPr>
            <w:tcW w:w="44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7" w:name="page58"/>
    <w:bookmarkEnd w:id="57"/>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effects of our credit risk transfer transactions, as well as the factors that will affect our engagement in future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how we intend to repay our debt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impact on our single-family servicing concentration of Rocket Companies’ announced acquisition of Mr. Cooper;</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impact of the adoption of new accounting guidance;</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payments to HUD and Treasury funds under the GSE Act;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legal and regulatory proceedings;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risks to our business.</w:t>
      </w:r>
    </w:p>
    <w:p>
      <w:pPr>
        <w:spacing w:after="0" w:line="8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Forward-looking statements reflect our management’s current expectations, forecasts or predictions of future conditions, events or results based on various assumptions and management’s estimates of trends and economic conditions in the markets in which we are active and that otherwise impact our business plans. Forward-looking statements are not guarantees of future performance. By their nature, forward-looking statements are subject to significant risks and uncertainties and changes in circumstances. Our actual results and financial condition may differ, possibly materially, from the anticipated results and financial condition indicated in these forward-looking statements.</w:t>
      </w:r>
    </w:p>
    <w:p>
      <w:pPr>
        <w:spacing w:after="0" w:line="38"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There are a number of factors that could cause actual conditions, events or results to differ materially from those described in our forward-looking statements, including, among others, the following:</w:t>
      </w:r>
    </w:p>
    <w:p>
      <w:pPr>
        <w:spacing w:after="0" w:line="28" w:lineRule="exact"/>
        <w:rPr>
          <w:sz w:val="20"/>
          <w:szCs w:val="20"/>
          <w:color w:val="auto"/>
        </w:rPr>
      </w:pPr>
    </w:p>
    <w:p>
      <w:pPr>
        <w:ind w:left="620" w:right="180" w:hanging="307"/>
        <w:spacing w:after="0" w:line="293" w:lineRule="auto"/>
        <w:tabs>
          <w:tab w:leader="none" w:pos="6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growth, deterioration and the overall health and stability of the U.S. economy, including GDP, unemployment rates, personal income, inflation and other indicators thereof;</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impact of trade, fiscal, regulatory and immigration policies;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deterioration in a specific sector of the U.S. economy or in one or more regional areas of the United States;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future interest rates and credit spreads;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timing and level of, as well as regional variation in, home price changes;</w:t>
      </w:r>
    </w:p>
    <w:p>
      <w:pPr>
        <w:spacing w:after="0" w:line="86" w:lineRule="exact"/>
        <w:rPr>
          <w:rFonts w:ascii="Arial" w:cs="Arial" w:eastAsia="Arial" w:hAnsi="Arial"/>
          <w:sz w:val="16"/>
          <w:szCs w:val="16"/>
          <w:color w:val="auto"/>
        </w:rPr>
      </w:pPr>
    </w:p>
    <w:p>
      <w:pPr>
        <w:ind w:left="620" w:right="460" w:hanging="307"/>
        <w:spacing w:after="0" w:line="293" w:lineRule="auto"/>
        <w:tabs>
          <w:tab w:leader="none" w:pos="6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size and our share of the U.S. mortgage market (including the volume of mortgage originations) and the factors that affect them, including population growth and household formation;</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changes in fiscal or monetary policy of the U.S. or other countries, and the impact of such changes on domestic and international financial markets;</w:t>
      </w:r>
    </w:p>
    <w:p>
      <w:pPr>
        <w:spacing w:after="0" w:line="86" w:lineRule="exact"/>
        <w:rPr>
          <w:rFonts w:ascii="Arial" w:cs="Arial" w:eastAsia="Arial" w:hAnsi="Arial"/>
          <w:sz w:val="16"/>
          <w:szCs w:val="16"/>
          <w:color w:val="auto"/>
        </w:rPr>
      </w:pPr>
    </w:p>
    <w:p>
      <w:pPr>
        <w:ind w:left="620" w:right="120" w:hanging="307"/>
        <w:spacing w:after="0" w:line="310" w:lineRule="auto"/>
        <w:tabs>
          <w:tab w:leader="none" w:pos="6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domestic, regional and global political risks and uncertainties, including the impact of the Russian war in Ukraine and tensions between China and Taiwan;</w:t>
      </w:r>
    </w:p>
    <w:p>
      <w:pPr>
        <w:spacing w:after="0" w:line="1" w:lineRule="exact"/>
        <w:rPr>
          <w:rFonts w:ascii="Arial" w:cs="Arial" w:eastAsia="Arial" w:hAnsi="Arial"/>
          <w:sz w:val="16"/>
          <w:szCs w:val="16"/>
          <w:color w:val="auto"/>
        </w:rPr>
      </w:pPr>
    </w:p>
    <w:p>
      <w:pPr>
        <w:ind w:left="620" w:right="80" w:hanging="307"/>
        <w:spacing w:after="0" w:line="272" w:lineRule="auto"/>
        <w:tabs>
          <w:tab w:leader="none" w:pos="6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developments that may be difficult to predict, including: market conditions that result in changes in our deferred guaranty fee income or changes in net interest income from our portfolios; fluctuations in the estimated fair value of our assets and liabilities; and developments that affect our loss reserves, such as changes in interest rates or home prices;</w:t>
      </w:r>
    </w:p>
    <w:p>
      <w:pPr>
        <w:spacing w:after="0" w:line="31"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disruptions or instability in the housing and credit markets;</w:t>
      </w:r>
    </w:p>
    <w:p>
      <w:pPr>
        <w:spacing w:after="0" w:line="86" w:lineRule="exact"/>
        <w:rPr>
          <w:rFonts w:ascii="Arial" w:cs="Arial" w:eastAsia="Arial" w:hAnsi="Arial"/>
          <w:sz w:val="16"/>
          <w:szCs w:val="16"/>
          <w:color w:val="auto"/>
        </w:rPr>
      </w:pPr>
    </w:p>
    <w:p>
      <w:pPr>
        <w:ind w:left="620" w:right="120" w:hanging="307"/>
        <w:spacing w:after="0" w:line="310" w:lineRule="auto"/>
        <w:tabs>
          <w:tab w:leader="none" w:pos="6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changes in the demand for Fannie Mae MBS, our debt securities or our credit risk transfer securities, in general or from one or more major groups of investors;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constraints on our entry into new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decrease in our credit ratings;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limitations on our ability to access the debt capital markets;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size, composition, quality and performance of our guaranty book of business and retained mortgage portfolio;</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how long loans in our guaranty book of business remain outstanding;</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and our competitors’ future guaranty fee pricing and the impact of that pricing on our competitive environment and guaranty fee revenues;</w:t>
      </w:r>
    </w:p>
    <w:p>
      <w:pPr>
        <w:spacing w:after="0" w:line="86" w:lineRule="exact"/>
        <w:rPr>
          <w:rFonts w:ascii="Arial" w:cs="Arial" w:eastAsia="Arial" w:hAnsi="Arial"/>
          <w:sz w:val="16"/>
          <w:szCs w:val="16"/>
          <w:color w:val="auto"/>
        </w:rPr>
      </w:pPr>
    </w:p>
    <w:p>
      <w:pPr>
        <w:ind w:left="620" w:right="220" w:hanging="307"/>
        <w:spacing w:after="0" w:line="293" w:lineRule="auto"/>
        <w:tabs>
          <w:tab w:leader="none" w:pos="6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competitive environment in which we operate, including the impact of legislative, regulatory or other developments on levels of competition in our industry and other factors affecting our market share;</w:t>
      </w:r>
    </w:p>
    <w:p>
      <w:pPr>
        <w:spacing w:after="0" w:line="14" w:lineRule="exact"/>
        <w:rPr>
          <w:rFonts w:ascii="Arial" w:cs="Arial" w:eastAsia="Arial" w:hAnsi="Arial"/>
          <w:sz w:val="16"/>
          <w:szCs w:val="16"/>
          <w:color w:val="auto"/>
        </w:rPr>
      </w:pPr>
    </w:p>
    <w:p>
      <w:pPr>
        <w:ind w:left="620" w:right="380" w:hanging="307"/>
        <w:spacing w:after="0" w:line="310" w:lineRule="auto"/>
        <w:tabs>
          <w:tab w:leader="none" w:pos="6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impact of interdependence between the single-family mortgage securitization programs of Fannie Mae and Freddie Mac in connection with UMBS;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55</w:t>
            </w:r>
          </w:p>
        </w:tc>
      </w:tr>
      <w:tr>
        <w:trPr>
          <w:trHeight w:val="207"/>
        </w:trPr>
        <w:tc>
          <w:tcPr>
            <w:tcW w:w="6840" w:type="dxa"/>
            <w:vAlign w:val="bottom"/>
            <w:tcBorders>
              <w:bottom w:val="single" w:sz="8" w:color="9A9A9A"/>
            </w:tcBorders>
          </w:tcPr>
          <w:p>
            <w:pPr>
              <w:spacing w:after="0"/>
              <w:rPr>
                <w:sz w:val="17"/>
                <w:szCs w:val="17"/>
                <w:color w:val="auto"/>
              </w:rPr>
            </w:pPr>
          </w:p>
        </w:tc>
        <w:tc>
          <w:tcPr>
            <w:tcW w:w="4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8" w:name="page59"/>
    <w:bookmarkEnd w:id="58"/>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significant challenges we face in retaining and hiring qualified executives and other employees;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conservatorship, including any changes to or termination (by receivership or otherwise) of the conservatorship and its effect on our business;</w:t>
      </w:r>
    </w:p>
    <w:p>
      <w:pPr>
        <w:spacing w:after="0" w:line="86" w:lineRule="exact"/>
        <w:rPr>
          <w:rFonts w:ascii="Arial" w:cs="Arial" w:eastAsia="Arial" w:hAnsi="Arial"/>
          <w:sz w:val="16"/>
          <w:szCs w:val="16"/>
          <w:color w:val="auto"/>
        </w:rPr>
      </w:pPr>
    </w:p>
    <w:p>
      <w:pPr>
        <w:ind w:left="620" w:hanging="307"/>
        <w:spacing w:after="0" w:line="271"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investment by Treasury, including the impact of past or potential future changes to the terms of the senior preferred stock purchase agreement, senior preferred stock and warrant, and their effect on our business, including restrictions imposed on us by the terms of the senior preferred stock purchase agreement, the senior preferred stock, and the warrant, as well as the extent that these or other restrictions on our business and activities are applied to us through other mechanisms even if we cease to be subject to these agreements and instruments;</w:t>
      </w:r>
    </w:p>
    <w:p>
      <w:pPr>
        <w:spacing w:after="0" w:line="32"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uncertainty regarding our future, our exit from conservatorship, and our ability to raise or earn the capital needed to meet our capital requirements;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impact of the enterprise regulatory capital framework on our business and financial results;</w:t>
      </w:r>
    </w:p>
    <w:p>
      <w:pPr>
        <w:spacing w:after="0" w:line="99" w:lineRule="exact"/>
        <w:rPr>
          <w:rFonts w:ascii="Arial" w:cs="Arial" w:eastAsia="Arial" w:hAnsi="Arial"/>
          <w:sz w:val="16"/>
          <w:szCs w:val="16"/>
          <w:color w:val="auto"/>
        </w:rPr>
      </w:pPr>
    </w:p>
    <w:p>
      <w:pPr>
        <w:ind w:left="620" w:right="260" w:hanging="307"/>
        <w:spacing w:after="0" w:line="272"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future legislative and regulatory requirements or changes, governmental initiatives, or executive orders affecting us, such as the enactment of housing finance reform legislation, including changes that limit our business activities or our footprint, impose new mandates on us, or affect our ability to change our pricing;</w:t>
      </w:r>
    </w:p>
    <w:p>
      <w:pPr>
        <w:spacing w:after="0" w:line="31"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future legislative and regulatory requirements or changes, governmental initiatives, or executive orders affecting macroeconomic conditions, such as changes to trade, fiscal, or immigration policies;</w:t>
      </w:r>
    </w:p>
    <w:p>
      <w:pPr>
        <w:spacing w:after="0" w:line="14" w:lineRule="exact"/>
        <w:rPr>
          <w:rFonts w:ascii="Arial" w:cs="Arial" w:eastAsia="Arial" w:hAnsi="Arial"/>
          <w:sz w:val="16"/>
          <w:szCs w:val="16"/>
          <w:color w:val="auto"/>
        </w:rPr>
      </w:pPr>
    </w:p>
    <w:p>
      <w:pPr>
        <w:ind w:left="620" w:right="60" w:hanging="307"/>
        <w:spacing w:after="0" w:line="281"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actions by FHFA, Treasury, the Federal Reserve, the Office of the Comptroller of the Currency (“OCC”), the Federal Deposit Insurance Corporation (“FDIC”), the Commodity Futures Trading Commission (“CFTC”), HUD, the Consumer Financial Protection Bureau, the SEC or other regulators, Congress, the Executive Branch, or state or local governments that affect our business;</w:t>
      </w:r>
    </w:p>
    <w:p>
      <w:pPr>
        <w:spacing w:after="0" w:line="24"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changes in the structure and regulation of the financial services industry;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potential impact of a change in the corporate income tax rate, which we expect would affect our net income in the quarter of enactment;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possibility that changes in leadership at FHFA or the Administration will result in changes that affect our company or our business;</w:t>
      </w:r>
    </w:p>
    <w:p>
      <w:pPr>
        <w:spacing w:after="0" w:line="99" w:lineRule="exact"/>
        <w:rPr>
          <w:rFonts w:ascii="Arial" w:cs="Arial" w:eastAsia="Arial" w:hAnsi="Arial"/>
          <w:sz w:val="16"/>
          <w:szCs w:val="16"/>
          <w:color w:val="auto"/>
        </w:rPr>
      </w:pPr>
    </w:p>
    <w:p>
      <w:pPr>
        <w:ind w:left="620" w:right="400" w:hanging="307"/>
        <w:spacing w:after="0" w:line="293"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actions we may be required to take by FHFA, in its role as our conservator or as our regulator, such as changes in the type of business we do, actions relating to UMBS or our resecuritization of Freddie Mac-issued securities, or credit risk management actions;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limitations on our business imposed by FHFA, in its role as our conservator or as our regulator;</w:t>
      </w:r>
    </w:p>
    <w:p>
      <w:pPr>
        <w:spacing w:after="0" w:line="86"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adverse effects from activities we undertake to support the mortgage market and help borrowers, renters, lenders and servicers, including actions we may take to reach additional underserved borrowers;</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default by the United States government on its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shutdown of the United States government;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significant changes in forbearance, modification and foreclosure activity;</w:t>
      </w:r>
    </w:p>
    <w:p>
      <w:pPr>
        <w:spacing w:after="0" w:line="86" w:lineRule="exact"/>
        <w:rPr>
          <w:rFonts w:ascii="Arial" w:cs="Arial" w:eastAsia="Arial" w:hAnsi="Arial"/>
          <w:sz w:val="16"/>
          <w:szCs w:val="16"/>
          <w:color w:val="auto"/>
        </w:rPr>
      </w:pPr>
    </w:p>
    <w:p>
      <w:pPr>
        <w:ind w:left="620" w:right="300" w:hanging="307"/>
        <w:spacing w:after="0" w:line="293"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volume and pace of any future nonperforming and reperforming loan sales and their impact on our financial results and serious delinquency rates;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changes in borrower behavior;</w:t>
      </w:r>
    </w:p>
    <w:p>
      <w:pPr>
        <w:spacing w:after="0" w:line="99" w:lineRule="exact"/>
        <w:rPr>
          <w:rFonts w:ascii="Arial" w:cs="Arial" w:eastAsia="Arial" w:hAnsi="Arial"/>
          <w:sz w:val="16"/>
          <w:szCs w:val="16"/>
          <w:color w:val="auto"/>
        </w:rPr>
      </w:pPr>
    </w:p>
    <w:p>
      <w:pPr>
        <w:ind w:left="620" w:right="280" w:hanging="307"/>
        <w:spacing w:after="0" w:line="293"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actions we may take to mitigate losses, and the effectiveness of our loss mitigation strategies, management of our REO inventory and pursuit of contractual remedies;</w:t>
      </w:r>
    </w:p>
    <w:p>
      <w:pPr>
        <w:spacing w:after="0" w:line="14"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environmental disasters, terrorist attacks, widespread health emergencies or pandemics, infrastructure failures, or other disruptive or catastrophic events;</w:t>
      </w:r>
    </w:p>
    <w:p>
      <w:pPr>
        <w:spacing w:after="0" w:line="14" w:lineRule="exact"/>
        <w:rPr>
          <w:rFonts w:ascii="Arial" w:cs="Arial" w:eastAsia="Arial" w:hAnsi="Arial"/>
          <w:sz w:val="16"/>
          <w:szCs w:val="16"/>
          <w:color w:val="auto"/>
        </w:rPr>
      </w:pPr>
    </w:p>
    <w:p>
      <w:pPr>
        <w:ind w:left="620" w:right="40" w:hanging="307"/>
        <w:spacing w:after="0" w:line="310"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earthquakes or other natural disasters, including those for which we may be uninsured or under-insured or that may affect our counterparties or the hazard insurers insuring properties underlying our guaranty book of business;</w:t>
      </w:r>
    </w:p>
    <w:p>
      <w:pPr>
        <w:spacing w:after="0" w:line="1" w:lineRule="exact"/>
        <w:rPr>
          <w:rFonts w:ascii="Arial" w:cs="Arial" w:eastAsia="Arial" w:hAnsi="Arial"/>
          <w:sz w:val="16"/>
          <w:szCs w:val="16"/>
          <w:color w:val="auto"/>
        </w:rPr>
      </w:pPr>
    </w:p>
    <w:p>
      <w:pPr>
        <w:ind w:left="620" w:right="400" w:hanging="307"/>
        <w:spacing w:after="0" w:line="272"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severe weather events, fires, floods, wind or other climate-related events or impacts, including those for which we may be uninsured or under-insured or that may affect our counterparties or the hazard insurers insuring properties underlying our guaranty book of business, and other climate-related risks;</w:t>
      </w:r>
    </w:p>
    <w:p>
      <w:pPr>
        <w:spacing w:after="0" w:line="31" w:lineRule="exact"/>
        <w:rPr>
          <w:rFonts w:ascii="Arial" w:cs="Arial" w:eastAsia="Arial" w:hAnsi="Arial"/>
          <w:sz w:val="16"/>
          <w:szCs w:val="16"/>
          <w:color w:val="auto"/>
        </w:rPr>
      </w:pPr>
    </w:p>
    <w:p>
      <w:pPr>
        <w:ind w:left="620" w:hanging="307"/>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defaults by one or more of our counterparties or by the hazard insurers insuring properties underlying our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56</w:t>
            </w:r>
          </w:p>
        </w:tc>
      </w:tr>
      <w:tr>
        <w:trPr>
          <w:trHeight w:val="207"/>
        </w:trPr>
        <w:tc>
          <w:tcPr>
            <w:tcW w:w="6840" w:type="dxa"/>
            <w:vAlign w:val="bottom"/>
            <w:tcBorders>
              <w:bottom w:val="single" w:sz="8" w:color="9A9A9A"/>
            </w:tcBorders>
          </w:tcPr>
          <w:p>
            <w:pPr>
              <w:spacing w:after="0"/>
              <w:rPr>
                <w:sz w:val="17"/>
                <w:szCs w:val="17"/>
                <w:color w:val="auto"/>
              </w:rPr>
            </w:pPr>
          </w:p>
        </w:tc>
        <w:tc>
          <w:tcPr>
            <w:tcW w:w="4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9" w:name="page60"/>
    <w:bookmarkEnd w:id="59"/>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resolution or settlement agreements we may enter into with our counterparties;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need to rely on third parties to achieve some of our corporate objectives, including our reliance on mortgage servicers;</w:t>
      </w:r>
    </w:p>
    <w:p>
      <w:pPr>
        <w:spacing w:after="0" w:line="86" w:lineRule="exact"/>
        <w:rPr>
          <w:rFonts w:ascii="Arial" w:cs="Arial" w:eastAsia="Arial" w:hAnsi="Arial"/>
          <w:sz w:val="16"/>
          <w:szCs w:val="16"/>
          <w:color w:val="auto"/>
        </w:rPr>
      </w:pPr>
    </w:p>
    <w:p>
      <w:pPr>
        <w:ind w:left="620" w:right="20" w:hanging="307"/>
        <w:spacing w:after="0" w:line="271" w:lineRule="auto"/>
        <w:tabs>
          <w:tab w:leader="none" w:pos="612"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reliance on Common Securitization Solutions, LLC (“CSS”) and the common securitization platform CSS operates for a majority of our single-family securitization activities; provisions in the CSS limited liability company agreement that permit FHFA to appoint members to the CSS Board of Managers, which limit the ability of Fannie Mae and Freddie Mac to control decisions of the Board; and changes FHFA may require in our relationship with or in our support of CSS;</w:t>
      </w:r>
    </w:p>
    <w:p>
      <w:pPr>
        <w:spacing w:after="0" w:line="32" w:lineRule="exact"/>
        <w:rPr>
          <w:rFonts w:ascii="Arial" w:cs="Arial" w:eastAsia="Arial" w:hAnsi="Arial"/>
          <w:sz w:val="16"/>
          <w:szCs w:val="16"/>
          <w:color w:val="auto"/>
        </w:rPr>
      </w:pPr>
    </w:p>
    <w:p>
      <w:pPr>
        <w:ind w:left="620" w:hanging="307"/>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effectiveness of our risk management processes and related controls;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effectiveness of our business resiliency plans and systems;</w:t>
      </w:r>
    </w:p>
    <w:p>
      <w:pPr>
        <w:spacing w:after="0" w:line="99" w:lineRule="exact"/>
        <w:rPr>
          <w:rFonts w:ascii="Arial" w:cs="Arial" w:eastAsia="Arial" w:hAnsi="Arial"/>
          <w:sz w:val="16"/>
          <w:szCs w:val="16"/>
          <w:color w:val="auto"/>
        </w:rPr>
      </w:pPr>
    </w:p>
    <w:p>
      <w:pPr>
        <w:ind w:left="620" w:right="140" w:hanging="307"/>
        <w:spacing w:after="0" w:line="293" w:lineRule="auto"/>
        <w:tabs>
          <w:tab w:leader="none" w:pos="61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stability and adequacy of the systems and infrastructure that impact our operations, including ours and those of CSS, our other counterparties and other third parties;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reliance on models and future updates we make to our models, including the data and assumptions used by these models;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cyber attacks or other cybersecurity breaches or threats impacting us, the third parties with which we do business or our regulators;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changes in GAAP, guidance by the Financial Accounting Standards Board (“FASB”), SEC guidance, and our accounting policies;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other factors described in “Risk Factors” in this report and in our 2024 Form 10-K.</w:t>
      </w:r>
    </w:p>
    <w:p>
      <w:pPr>
        <w:spacing w:after="0" w:line="10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Readers are cautioned not to unduly rely on the forward-looking statements we make and to place these forward-looking statements into proper context by carefully considering the factors identified above and those discussed in “Risk Factors” in our 2024 Form 10-K and in this report. These forward-looking statements are representative only as of the date they are made, and we undertake no obligation to update any forward-looking statement as a result of new information, future events or otherwise, except as required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57</w:t>
            </w:r>
          </w:p>
        </w:tc>
      </w:tr>
      <w:tr>
        <w:trPr>
          <w:trHeight w:val="194"/>
        </w:trPr>
        <w:tc>
          <w:tcPr>
            <w:tcW w:w="6840" w:type="dxa"/>
            <w:vAlign w:val="bottom"/>
            <w:tcBorders>
              <w:bottom w:val="single" w:sz="8" w:color="9A9A9A"/>
            </w:tcBorders>
          </w:tcPr>
          <w:p>
            <w:pPr>
              <w:spacing w:after="0"/>
              <w:rPr>
                <w:sz w:val="16"/>
                <w:szCs w:val="16"/>
                <w:color w:val="auto"/>
              </w:rPr>
            </w:pPr>
          </w:p>
        </w:tc>
        <w:tc>
          <w:tcPr>
            <w:tcW w:w="44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4"/>
          <w:szCs w:val="14"/>
          <w:color w:val="05314D"/>
        </w:rPr>
        <w:t>Financial Statements |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Financial Statements</w:t>
      </w:r>
    </w:p>
    <w:p>
      <w:pPr>
        <w:spacing w:after="0" w:line="110" w:lineRule="exact"/>
        <w:rPr>
          <w:sz w:val="20"/>
          <w:szCs w:val="20"/>
          <w:color w:val="auto"/>
        </w:rPr>
      </w:pPr>
    </w:p>
    <w:p>
      <w:pPr>
        <w:jc w:val="center"/>
        <w:ind w:right="-1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(In conservatorship)</w:t>
      </w:r>
    </w:p>
    <w:p>
      <w:pPr>
        <w:spacing w:after="0" w:line="176" w:lineRule="exact"/>
        <w:rPr>
          <w:sz w:val="20"/>
          <w:szCs w:val="20"/>
          <w:color w:val="auto"/>
        </w:rPr>
      </w:pPr>
    </w:p>
    <w:p>
      <w:pPr>
        <w:jc w:val="center"/>
        <w:ind w:right="-119"/>
        <w:spacing w:after="0"/>
        <w:rPr>
          <w:sz w:val="20"/>
          <w:szCs w:val="20"/>
          <w:color w:val="auto"/>
        </w:rPr>
      </w:pPr>
      <w:r>
        <w:rPr>
          <w:rFonts w:ascii="Georgia" w:cs="Georgia" w:eastAsia="Georgia" w:hAnsi="Georgia"/>
          <w:sz w:val="27"/>
          <w:szCs w:val="27"/>
          <w:b w:val="1"/>
          <w:bCs w:val="1"/>
          <w:color w:val="05314D"/>
        </w:rPr>
        <w:t>Condensed Consolidated Balance Sheets — (Unaudited)</w:t>
      </w:r>
    </w:p>
    <w:p>
      <w:pPr>
        <w:spacing w:after="0" w:line="84"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(Dollars in millions)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gridSpan w:val="5"/>
          </w:tcPr>
          <w:p>
            <w:pPr>
              <w:jc w:val="right"/>
              <w:ind w:right="191"/>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gridSpan w:val="2"/>
          </w:tcPr>
          <w:p>
            <w:pPr>
              <w:jc w:val="right"/>
              <w:ind w:right="31"/>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Borders>
              <w:bottom w:val="single" w:sz="8" w:color="2C6937"/>
            </w:tcBorders>
            <w:gridSpan w:val="4"/>
          </w:tcPr>
          <w:p>
            <w:pPr>
              <w:ind w:left="60"/>
              <w:spacing w:after="0"/>
              <w:rPr>
                <w:sz w:val="20"/>
                <w:szCs w:val="20"/>
                <w:color w:val="auto"/>
              </w:rPr>
            </w:pPr>
            <w:r>
              <w:rPr>
                <w:rFonts w:ascii="Arial" w:cs="Arial" w:eastAsia="Arial" w:hAnsi="Arial"/>
                <w:sz w:val="14"/>
                <w:szCs w:val="14"/>
                <w:b w:val="1"/>
                <w:bCs w:val="1"/>
                <w:color w:val="auto"/>
                <w:w w:val="99"/>
              </w:rPr>
              <w:t>December 31, 2024</w:t>
            </w:r>
          </w:p>
        </w:tc>
        <w:tc>
          <w:tcPr>
            <w:tcW w:w="0" w:type="dxa"/>
            <w:vAlign w:val="bottom"/>
          </w:tcPr>
          <w:p>
            <w:pPr>
              <w:spacing w:after="0"/>
              <w:rPr>
                <w:sz w:val="1"/>
                <w:szCs w:val="1"/>
                <w:color w:val="auto"/>
              </w:rPr>
            </w:pPr>
          </w:p>
        </w:tc>
      </w:tr>
      <w:tr>
        <w:trPr>
          <w:trHeight w:val="173"/>
        </w:trPr>
        <w:tc>
          <w:tcPr>
            <w:tcW w:w="7820" w:type="dxa"/>
            <w:vAlign w:val="bottom"/>
            <w:gridSpan w:val="2"/>
          </w:tcPr>
          <w:p>
            <w:pPr>
              <w:ind w:left="360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2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39,352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920" w:type="dxa"/>
            <w:vAlign w:val="bottom"/>
            <w:gridSpan w:val="3"/>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gridSpan w:val="4"/>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38,853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20" w:type="dxa"/>
            <w:vAlign w:val="bottom"/>
            <w:gridSpan w:val="3"/>
          </w:tcPr>
          <w:p>
            <w:pPr>
              <w:ind w:left="20"/>
              <w:spacing w:after="0"/>
              <w:rPr>
                <w:sz w:val="20"/>
                <w:szCs w:val="20"/>
                <w:color w:val="auto"/>
              </w:rPr>
            </w:pPr>
            <w:r>
              <w:rPr>
                <w:rFonts w:ascii="Arial" w:cs="Arial" w:eastAsia="Arial" w:hAnsi="Arial"/>
                <w:sz w:val="14"/>
                <w:szCs w:val="14"/>
                <w:color w:val="auto"/>
              </w:rPr>
              <w:t>Restricted cash and cash equivalents (includes $31,138 and $31,893, respectively, related to consolidated trusts)</w:t>
            </w:r>
          </w:p>
        </w:tc>
        <w:tc>
          <w:tcPr>
            <w:tcW w:w="28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38,445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20" w:type="dxa"/>
            <w:vAlign w:val="bottom"/>
            <w:gridSpan w:val="3"/>
          </w:tcPr>
          <w:p>
            <w:pPr>
              <w:ind w:left="20"/>
              <w:spacing w:after="0"/>
              <w:rPr>
                <w:sz w:val="20"/>
                <w:szCs w:val="20"/>
                <w:color w:val="auto"/>
              </w:rPr>
            </w:pPr>
            <w:r>
              <w:rPr>
                <w:rFonts w:ascii="Arial" w:cs="Arial" w:eastAsia="Arial" w:hAnsi="Arial"/>
                <w:sz w:val="14"/>
                <w:szCs w:val="14"/>
                <w:color w:val="auto"/>
              </w:rPr>
              <w:t>Securities purchased under agreements to resell (includes $1,069 and $0 respectively, related to consolidated trusts)</w:t>
            </w:r>
          </w:p>
        </w:tc>
        <w:tc>
          <w:tcPr>
            <w:tcW w:w="28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31,769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920" w:type="dxa"/>
            <w:vAlign w:val="bottom"/>
            <w:gridSpan w:val="3"/>
          </w:tcPr>
          <w:p>
            <w:pPr>
              <w:ind w:left="20"/>
              <w:spacing w:after="0"/>
              <w:rPr>
                <w:sz w:val="20"/>
                <w:szCs w:val="20"/>
                <w:color w:val="auto"/>
              </w:rPr>
            </w:pPr>
            <w:r>
              <w:rPr>
                <w:rFonts w:ascii="Arial" w:cs="Arial" w:eastAsia="Arial" w:hAnsi="Arial"/>
                <w:sz w:val="14"/>
                <w:szCs w:val="14"/>
                <w:color w:val="auto"/>
              </w:rPr>
              <w:t>Investments in securities, at fair value</w:t>
            </w: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79,347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79,197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20" w:type="dxa"/>
            <w:vAlign w:val="bottom"/>
            <w:gridSpan w:val="3"/>
          </w:tcPr>
          <w:p>
            <w:pPr>
              <w:ind w:left="20"/>
              <w:spacing w:after="0"/>
              <w:rPr>
                <w:sz w:val="20"/>
                <w:szCs w:val="20"/>
                <w:color w:val="auto"/>
              </w:rPr>
            </w:pPr>
            <w:r>
              <w:rPr>
                <w:rFonts w:ascii="Arial" w:cs="Arial" w:eastAsia="Arial" w:hAnsi="Arial"/>
                <w:sz w:val="14"/>
                <w:szCs w:val="14"/>
                <w:color w:val="auto"/>
              </w:rPr>
              <w:t>Mortgage loans:</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20" w:type="dxa"/>
            <w:vAlign w:val="bottom"/>
            <w:gridSpan w:val="3"/>
          </w:tcPr>
          <w:p>
            <w:pPr>
              <w:ind w:left="180"/>
              <w:spacing w:after="0"/>
              <w:rPr>
                <w:sz w:val="20"/>
                <w:szCs w:val="20"/>
                <w:color w:val="auto"/>
              </w:rPr>
            </w:pPr>
            <w:r>
              <w:rPr>
                <w:rFonts w:ascii="Arial" w:cs="Arial" w:eastAsia="Arial" w:hAnsi="Arial"/>
                <w:sz w:val="14"/>
                <w:szCs w:val="14"/>
                <w:color w:val="auto"/>
              </w:rPr>
              <w:t>Loans held for sale, at lower of cost or fair value</w:t>
            </w: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775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920" w:type="dxa"/>
            <w:vAlign w:val="bottom"/>
            <w:gridSpan w:val="3"/>
          </w:tcPr>
          <w:p>
            <w:pPr>
              <w:ind w:left="180"/>
              <w:spacing w:after="0"/>
              <w:rPr>
                <w:sz w:val="20"/>
                <w:szCs w:val="20"/>
                <w:color w:val="auto"/>
              </w:rPr>
            </w:pPr>
            <w:r>
              <w:rPr>
                <w:rFonts w:ascii="Arial" w:cs="Arial" w:eastAsia="Arial" w:hAnsi="Arial"/>
                <w:sz w:val="14"/>
                <w:szCs w:val="14"/>
                <w:color w:val="auto"/>
              </w:rPr>
              <w:t>Loans held for investment, at amortized cost:</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20" w:type="dxa"/>
            <w:vAlign w:val="bottom"/>
            <w:gridSpan w:val="3"/>
          </w:tcPr>
          <w:p>
            <w:pPr>
              <w:ind w:left="34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47,425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2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Of consolidated trusts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4,086,508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4,095,287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20" w:type="dxa"/>
            <w:vAlign w:val="bottom"/>
            <w:gridSpan w:val="3"/>
          </w:tcPr>
          <w:p>
            <w:pPr>
              <w:ind w:left="320"/>
              <w:spacing w:after="0"/>
              <w:rPr>
                <w:sz w:val="20"/>
                <w:szCs w:val="20"/>
                <w:color w:val="auto"/>
              </w:rPr>
            </w:pPr>
            <w:r>
              <w:rPr>
                <w:rFonts w:ascii="Arial" w:cs="Arial" w:eastAsia="Arial" w:hAnsi="Arial"/>
                <w:sz w:val="14"/>
                <w:szCs w:val="14"/>
                <w:color w:val="auto"/>
              </w:rPr>
              <w:t>Total loans held for investment (includes $4,508 and $3,744, respectively, at fair value)</w:t>
            </w: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4,133,933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4,145,340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2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Allowance for loan losses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(7,532)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(7,707)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20" w:type="dxa"/>
            <w:vAlign w:val="bottom"/>
            <w:tcBorders>
              <w:bottom w:val="single" w:sz="8" w:color="2C6937"/>
            </w:tcBorders>
          </w:tcPr>
          <w:p>
            <w:pPr>
              <w:ind w:left="480"/>
              <w:spacing w:after="0"/>
              <w:rPr>
                <w:sz w:val="20"/>
                <w:szCs w:val="20"/>
                <w:color w:val="auto"/>
              </w:rPr>
            </w:pPr>
            <w:r>
              <w:rPr>
                <w:rFonts w:ascii="Arial" w:cs="Arial" w:eastAsia="Arial" w:hAnsi="Arial"/>
                <w:sz w:val="14"/>
                <w:szCs w:val="14"/>
                <w:color w:val="auto"/>
              </w:rPr>
              <w:t>Total loans held for investment, net of allowance</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4,126,401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4,137,633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20" w:type="dxa"/>
            <w:vAlign w:val="bottom"/>
            <w:gridSpan w:val="3"/>
          </w:tcPr>
          <w:p>
            <w:pPr>
              <w:ind w:left="640"/>
              <w:spacing w:after="0"/>
              <w:rPr>
                <w:sz w:val="20"/>
                <w:szCs w:val="20"/>
                <w:color w:val="auto"/>
              </w:rPr>
            </w:pPr>
            <w:r>
              <w:rPr>
                <w:rFonts w:ascii="Arial" w:cs="Arial" w:eastAsia="Arial" w:hAnsi="Arial"/>
                <w:sz w:val="14"/>
                <w:szCs w:val="14"/>
                <w:color w:val="auto"/>
              </w:rPr>
              <w:t>Total mortgage loans</w:t>
            </w: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4,127,176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4,138,006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20" w:type="dxa"/>
            <w:vAlign w:val="bottom"/>
            <w:gridSpan w:val="3"/>
          </w:tcPr>
          <w:p>
            <w:pPr>
              <w:ind w:left="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1,848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20" w:type="dxa"/>
            <w:vAlign w:val="bottom"/>
            <w:gridSpan w:val="3"/>
          </w:tcPr>
          <w:p>
            <w:pPr>
              <w:ind w:left="20"/>
              <w:spacing w:after="0"/>
              <w:rPr>
                <w:sz w:val="20"/>
                <w:szCs w:val="20"/>
                <w:color w:val="auto"/>
              </w:rPr>
            </w:pPr>
            <w:r>
              <w:rPr>
                <w:rFonts w:ascii="Arial" w:cs="Arial" w:eastAsia="Arial" w:hAnsi="Arial"/>
                <w:sz w:val="14"/>
                <w:szCs w:val="14"/>
                <w:color w:val="auto"/>
              </w:rPr>
              <w:t>Deferred tax assets, net</w:t>
            </w: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10,453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20" w:type="dxa"/>
            <w:vAlign w:val="bottom"/>
            <w:gridSpan w:val="3"/>
          </w:tcPr>
          <w:p>
            <w:pPr>
              <w:ind w:left="20"/>
              <w:spacing w:after="0"/>
              <w:rPr>
                <w:sz w:val="20"/>
                <w:szCs w:val="20"/>
                <w:color w:val="auto"/>
              </w:rPr>
            </w:pPr>
            <w:r>
              <w:rPr>
                <w:rFonts w:ascii="Arial" w:cs="Arial" w:eastAsia="Arial" w:hAnsi="Arial"/>
                <w:sz w:val="14"/>
                <w:szCs w:val="14"/>
                <w:color w:val="auto"/>
              </w:rPr>
              <w:t>Accrued interest receivable (includes $10,855 and $10,666, respectively, related to consolidated trusts)</w:t>
            </w:r>
          </w:p>
        </w:tc>
        <w:tc>
          <w:tcPr>
            <w:tcW w:w="28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11,592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7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13,727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2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assets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4,353,709</w:t>
            </w:r>
          </w:p>
        </w:tc>
        <w:tc>
          <w:tcPr>
            <w:tcW w:w="280" w:type="dxa"/>
            <w:vAlign w:val="bottom"/>
            <w:gridSpan w:val="3"/>
          </w:tcPr>
          <w:p>
            <w:pPr>
              <w:spacing w:after="0"/>
              <w:rPr>
                <w:sz w:val="16"/>
                <w:szCs w:val="16"/>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4,349,731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20" w:type="dxa"/>
            <w:vAlign w:val="bottom"/>
            <w:gridSpan w:val="3"/>
          </w:tcPr>
          <w:p>
            <w:pPr>
              <w:ind w:left="3040"/>
              <w:spacing w:after="0"/>
              <w:rPr>
                <w:sz w:val="20"/>
                <w:szCs w:val="20"/>
                <w:color w:val="auto"/>
              </w:rPr>
            </w:pPr>
            <w:r>
              <w:rPr>
                <w:rFonts w:ascii="Arial" w:cs="Arial" w:eastAsia="Arial" w:hAnsi="Arial"/>
                <w:sz w:val="14"/>
                <w:szCs w:val="14"/>
                <w:b w:val="1"/>
                <w:bCs w:val="1"/>
                <w:color w:val="auto"/>
              </w:rPr>
              <w:t>LIABILITIES AND EQUITY</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20" w:type="dxa"/>
            <w:vAlign w:val="bottom"/>
            <w:gridSpan w:val="3"/>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20" w:type="dxa"/>
            <w:vAlign w:val="bottom"/>
            <w:gridSpan w:val="3"/>
          </w:tcPr>
          <w:p>
            <w:pPr>
              <w:ind w:left="180"/>
              <w:spacing w:after="0"/>
              <w:rPr>
                <w:sz w:val="20"/>
                <w:szCs w:val="20"/>
                <w:color w:val="auto"/>
              </w:rPr>
            </w:pPr>
            <w:r>
              <w:rPr>
                <w:rFonts w:ascii="Arial" w:cs="Arial" w:eastAsia="Arial" w:hAnsi="Arial"/>
                <w:sz w:val="14"/>
                <w:szCs w:val="14"/>
                <w:color w:val="auto"/>
              </w:rPr>
              <w:t>Accrued interest payable (includes $11,025 and $10,858, respectively, related to consolidated trusts)</w:t>
            </w:r>
          </w:p>
        </w:tc>
        <w:tc>
          <w:tcPr>
            <w:tcW w:w="28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11,902</w:t>
            </w:r>
          </w:p>
        </w:tc>
        <w:tc>
          <w:tcPr>
            <w:tcW w:w="560" w:type="dxa"/>
            <w:vAlign w:val="bottom"/>
            <w:gridSpan w:val="4"/>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920" w:type="dxa"/>
            <w:vAlign w:val="bottom"/>
            <w:gridSpan w:val="3"/>
          </w:tcPr>
          <w:p>
            <w:pPr>
              <w:ind w:left="180"/>
              <w:spacing w:after="0"/>
              <w:rPr>
                <w:sz w:val="20"/>
                <w:szCs w:val="20"/>
                <w:color w:val="auto"/>
              </w:rPr>
            </w:pPr>
            <w:r>
              <w:rPr>
                <w:rFonts w:ascii="Arial" w:cs="Arial" w:eastAsia="Arial" w:hAnsi="Arial"/>
                <w:sz w:val="14"/>
                <w:szCs w:val="14"/>
                <w:color w:val="auto"/>
              </w:rPr>
              <w:t>Debt:</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20" w:type="dxa"/>
            <w:vAlign w:val="bottom"/>
            <w:gridSpan w:val="3"/>
          </w:tcPr>
          <w:p>
            <w:pPr>
              <w:ind w:left="340"/>
              <w:spacing w:after="0"/>
              <w:rPr>
                <w:sz w:val="20"/>
                <w:szCs w:val="20"/>
                <w:color w:val="auto"/>
              </w:rPr>
            </w:pPr>
            <w:r>
              <w:rPr>
                <w:rFonts w:ascii="Arial" w:cs="Arial" w:eastAsia="Arial" w:hAnsi="Arial"/>
                <w:sz w:val="14"/>
                <w:szCs w:val="14"/>
                <w:color w:val="auto"/>
              </w:rPr>
              <w:t>Of Fannie Mae (includes $358 and $385, respectively, at fair value)</w:t>
            </w: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136,818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139,422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20" w:type="dxa"/>
            <w:vAlign w:val="bottom"/>
            <w:gridSpan w:val="3"/>
          </w:tcPr>
          <w:p>
            <w:pPr>
              <w:ind w:left="340"/>
              <w:spacing w:after="0"/>
              <w:rPr>
                <w:sz w:val="20"/>
                <w:szCs w:val="20"/>
                <w:color w:val="auto"/>
              </w:rPr>
            </w:pPr>
            <w:r>
              <w:rPr>
                <w:rFonts w:ascii="Arial" w:cs="Arial" w:eastAsia="Arial" w:hAnsi="Arial"/>
                <w:sz w:val="14"/>
                <w:szCs w:val="14"/>
                <w:color w:val="auto"/>
              </w:rPr>
              <w:t>Of consolidated trusts (includes $14,977 and $13,292, respectively, at fair value)</w:t>
            </w: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4,091,840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4,088,675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2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liabilities (includes $1,677 and $1,699, respectively, related to consolidated trusts)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14,837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15,392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2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liabilities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4,255,397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4,255,074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20" w:type="dxa"/>
            <w:vAlign w:val="bottom"/>
            <w:gridSpan w:val="3"/>
          </w:tcPr>
          <w:p>
            <w:pPr>
              <w:ind w:left="20"/>
              <w:spacing w:after="0"/>
              <w:rPr>
                <w:sz w:val="20"/>
                <w:szCs w:val="20"/>
                <w:color w:val="auto"/>
              </w:rPr>
            </w:pPr>
            <w:r>
              <w:rPr>
                <w:rFonts w:ascii="Arial" w:cs="Arial" w:eastAsia="Arial" w:hAnsi="Arial"/>
                <w:sz w:val="14"/>
                <w:szCs w:val="14"/>
                <w:color w:val="auto"/>
              </w:rPr>
              <w:t>Commitments and contingencies (Note 14)</w:t>
            </w: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920" w:type="dxa"/>
            <w:vAlign w:val="bottom"/>
            <w:gridSpan w:val="3"/>
          </w:tcPr>
          <w:p>
            <w:pPr>
              <w:ind w:left="20"/>
              <w:spacing w:after="0"/>
              <w:rPr>
                <w:sz w:val="20"/>
                <w:szCs w:val="20"/>
                <w:color w:val="auto"/>
              </w:rPr>
            </w:pPr>
            <w:r>
              <w:rPr>
                <w:rFonts w:ascii="Arial" w:cs="Arial" w:eastAsia="Arial" w:hAnsi="Arial"/>
                <w:sz w:val="14"/>
                <w:szCs w:val="14"/>
                <w:color w:val="auto"/>
              </w:rPr>
              <w:t>Fannie Mae stockholders’ equity:</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20" w:type="dxa"/>
            <w:vAlign w:val="bottom"/>
            <w:gridSpan w:val="3"/>
          </w:tcPr>
          <w:p>
            <w:pPr>
              <w:ind w:left="180"/>
              <w:spacing w:after="0"/>
              <w:rPr>
                <w:sz w:val="20"/>
                <w:szCs w:val="20"/>
                <w:color w:val="auto"/>
              </w:rPr>
            </w:pPr>
            <w:r>
              <w:rPr>
                <w:rFonts w:ascii="Arial" w:cs="Arial" w:eastAsia="Arial" w:hAnsi="Arial"/>
                <w:sz w:val="14"/>
                <w:szCs w:val="14"/>
                <w:color w:val="auto"/>
              </w:rPr>
              <w:t>Senior preferred stock (liquidation preference of $216,156 and $212,029, respectively)</w:t>
            </w: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120,836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20" w:type="dxa"/>
            <w:vAlign w:val="bottom"/>
            <w:gridSpan w:val="3"/>
          </w:tcPr>
          <w:p>
            <w:pPr>
              <w:ind w:left="180"/>
              <w:spacing w:after="0"/>
              <w:rPr>
                <w:sz w:val="20"/>
                <w:szCs w:val="20"/>
                <w:color w:val="auto"/>
              </w:rPr>
            </w:pPr>
            <w:r>
              <w:rPr>
                <w:rFonts w:ascii="Arial" w:cs="Arial" w:eastAsia="Arial" w:hAnsi="Arial"/>
                <w:sz w:val="14"/>
                <w:szCs w:val="14"/>
                <w:color w:val="auto"/>
              </w:rPr>
              <w:t>Preferred stock, 700,000,000 shares are authorized—555,374,922 shares issued and outstanding</w:t>
            </w: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19,130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9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Common stock, no par value, no maximum authorization—1,308,762,703 shares issued and 1,158,087,567 shares</w:t>
            </w:r>
          </w:p>
        </w:tc>
        <w:tc>
          <w:tcPr>
            <w:tcW w:w="280" w:type="dxa"/>
            <w:vAlign w:val="bottom"/>
          </w:tcPr>
          <w:p>
            <w:pPr>
              <w:spacing w:after="0"/>
              <w:rPr>
                <w:sz w:val="12"/>
                <w:szCs w:val="12"/>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687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920" w:type="dxa"/>
            <w:vAlign w:val="bottom"/>
            <w:gridSpan w:val="3"/>
          </w:tcPr>
          <w:p>
            <w:pPr>
              <w:ind w:left="180"/>
              <w:spacing w:after="0"/>
              <w:rPr>
                <w:sz w:val="20"/>
                <w:szCs w:val="20"/>
                <w:color w:val="auto"/>
              </w:rPr>
            </w:pPr>
            <w:r>
              <w:rPr>
                <w:rFonts w:ascii="Arial" w:cs="Arial" w:eastAsia="Arial" w:hAnsi="Arial"/>
                <w:sz w:val="14"/>
                <w:szCs w:val="14"/>
                <w:color w:val="auto"/>
              </w:rPr>
              <w:t>outstanding</w:t>
            </w:r>
          </w:p>
        </w:tc>
        <w:tc>
          <w:tcPr>
            <w:tcW w:w="2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920" w:type="dxa"/>
            <w:vAlign w:val="bottom"/>
            <w:gridSpan w:val="3"/>
          </w:tcPr>
          <w:p>
            <w:pPr>
              <w:ind w:left="180"/>
              <w:spacing w:after="0"/>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(34,964)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(38,625)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20" w:type="dxa"/>
            <w:vAlign w:val="bottom"/>
            <w:gridSpan w:val="3"/>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2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Treasury stock, at cost, 150,675,136 shares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stockholders’ equity</w:t>
            </w:r>
          </w:p>
        </w:tc>
        <w:tc>
          <w:tcPr>
            <w:tcW w:w="200" w:type="dxa"/>
            <w:vAlign w:val="bottom"/>
            <w:gridSpan w:val="2"/>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98,312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94,657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920" w:type="dxa"/>
            <w:vAlign w:val="bottom"/>
            <w:gridSpan w:val="3"/>
          </w:tcPr>
          <w:p>
            <w:pPr>
              <w:ind w:left="180"/>
              <w:spacing w:after="0"/>
              <w:rPr>
                <w:sz w:val="20"/>
                <w:szCs w:val="20"/>
                <w:color w:val="auto"/>
              </w:rPr>
            </w:pPr>
            <w:r>
              <w:rPr>
                <w:rFonts w:ascii="Arial" w:cs="Arial" w:eastAsia="Arial" w:hAnsi="Arial"/>
                <w:sz w:val="14"/>
                <w:szCs w:val="14"/>
                <w:color w:val="auto"/>
              </w:rPr>
              <w:t>Total liabilities and equity</w:t>
            </w:r>
          </w:p>
        </w:tc>
        <w:tc>
          <w:tcPr>
            <w:tcW w:w="28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4,353,709</w:t>
            </w:r>
          </w:p>
        </w:tc>
        <w:tc>
          <w:tcPr>
            <w:tcW w:w="560" w:type="dxa"/>
            <w:vAlign w:val="bottom"/>
            <w:gridSpan w:val="4"/>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4,349,731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48" w:right="459" w:bottom="1440" w:gutter="0" w:footer="0" w:header="0"/>
        </w:sectPr>
      </w:pPr>
    </w:p>
    <w:bookmarkStart w:id="61" w:name="page62"/>
    <w:bookmarkEnd w:id="61"/>
    <w:p>
      <w:pPr>
        <w:ind w:left="4820"/>
        <w:spacing w:after="0"/>
        <w:rPr>
          <w:sz w:val="20"/>
          <w:szCs w:val="20"/>
          <w:color w:val="auto"/>
        </w:rPr>
      </w:pPr>
      <w:r>
        <w:rPr>
          <w:rFonts w:ascii="Arial" w:cs="Arial" w:eastAsia="Arial" w:hAnsi="Arial"/>
          <w:sz w:val="14"/>
          <w:szCs w:val="14"/>
          <w:color w:val="05314D"/>
        </w:rPr>
        <w:t>Financial Statements |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154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20"/>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120"/>
        <w:spacing w:after="0" w:line="254" w:lineRule="auto"/>
        <w:rPr>
          <w:sz w:val="20"/>
          <w:szCs w:val="20"/>
          <w:color w:val="auto"/>
        </w:rPr>
      </w:pPr>
      <w:r>
        <w:rPr>
          <w:rFonts w:ascii="Georgia" w:cs="Georgia" w:eastAsia="Georgia" w:hAnsi="Georgia"/>
          <w:sz w:val="27"/>
          <w:szCs w:val="27"/>
          <w:b w:val="1"/>
          <w:bCs w:val="1"/>
          <w:color w:val="05314D"/>
        </w:rPr>
        <w:t>Condensed Consolidated Statements of Operations and Comprehensive Income — (Unaudited)</w:t>
      </w:r>
    </w:p>
    <w:p>
      <w:pPr>
        <w:spacing w:after="0" w:line="77" w:lineRule="exact"/>
        <w:rPr>
          <w:sz w:val="20"/>
          <w:szCs w:val="20"/>
          <w:color w:val="auto"/>
        </w:rPr>
      </w:pPr>
    </w:p>
    <w:p>
      <w:pPr>
        <w:jc w:val="center"/>
        <w:ind w:right="120"/>
        <w:spacing w:after="0"/>
        <w:rPr>
          <w:sz w:val="20"/>
          <w:szCs w:val="20"/>
          <w:color w:val="auto"/>
        </w:rPr>
      </w:pPr>
      <w:r>
        <w:rPr>
          <w:rFonts w:ascii="Georgia" w:cs="Georgia" w:eastAsia="Georgia" w:hAnsi="Georgia"/>
          <w:sz w:val="17"/>
          <w:szCs w:val="17"/>
          <w:b w:val="1"/>
          <w:bCs w:val="1"/>
          <w:color w:val="001543"/>
        </w:rPr>
        <w:t>(Dollars and shares in millions, except per share amounts)</w:t>
      </w:r>
    </w:p>
    <w:p>
      <w:pPr>
        <w:spacing w:after="0" w:line="264"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8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Borders>
              <w:bottom w:val="single" w:sz="8" w:color="2C6937"/>
            </w:tcBorders>
            <w:gridSpan w:val="4"/>
          </w:tcPr>
          <w:p>
            <w:pPr>
              <w:jc w:val="right"/>
              <w:spacing w:after="0"/>
              <w:rPr>
                <w:sz w:val="20"/>
                <w:szCs w:val="20"/>
                <w:color w:val="auto"/>
              </w:rPr>
            </w:pPr>
            <w:r>
              <w:rPr>
                <w:rFonts w:ascii="Arial" w:cs="Arial" w:eastAsia="Arial" w:hAnsi="Arial"/>
                <w:sz w:val="14"/>
                <w:szCs w:val="14"/>
                <w:b w:val="1"/>
                <w:bCs w:val="1"/>
                <w:color w:val="auto"/>
                <w:w w:val="99"/>
              </w:rPr>
              <w:t>For the Three Months Ended Ma</w:t>
            </w:r>
          </w:p>
        </w:tc>
        <w:tc>
          <w:tcPr>
            <w:tcW w:w="0" w:type="dxa"/>
            <w:vAlign w:val="bottom"/>
          </w:tcPr>
          <w:p>
            <w:pPr>
              <w:spacing w:after="0"/>
              <w:rPr>
                <w:sz w:val="1"/>
                <w:szCs w:val="1"/>
                <w:color w:val="auto"/>
              </w:rPr>
            </w:pPr>
          </w:p>
        </w:tc>
      </w:tr>
      <w:tr>
        <w:trPr>
          <w:trHeight w:val="185"/>
        </w:trPr>
        <w:tc>
          <w:tcPr>
            <w:tcW w:w="8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7"/>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1,127</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Investments in securities</w:t>
            </w:r>
          </w:p>
        </w:tc>
        <w:tc>
          <w:tcPr>
            <w:tcW w:w="3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11"/>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93"/>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Mortgage loans</w:t>
            </w:r>
          </w:p>
        </w:tc>
        <w:tc>
          <w:tcPr>
            <w:tcW w:w="30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37,399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5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490</w:t>
            </w:r>
          </w:p>
        </w:tc>
        <w:tc>
          <w:tcPr>
            <w:tcW w:w="100" w:type="dxa"/>
            <w:vAlign w:val="bottom"/>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income</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39,016</w:t>
            </w:r>
          </w:p>
        </w:tc>
        <w:tc>
          <w:tcPr>
            <w:tcW w:w="100" w:type="dxa"/>
            <w:vAlign w:val="bottom"/>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Short-term debt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5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Long-term debt</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(31,910)</w:t>
            </w:r>
          </w:p>
        </w:tc>
        <w:tc>
          <w:tcPr>
            <w:tcW w:w="100" w:type="dxa"/>
            <w:vAlign w:val="bottom"/>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5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expense</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(32,015)</w:t>
            </w:r>
          </w:p>
        </w:tc>
        <w:tc>
          <w:tcPr>
            <w:tcW w:w="100" w:type="dxa"/>
            <w:vAlign w:val="bottom"/>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Net interest income</w:t>
            </w:r>
          </w:p>
        </w:tc>
        <w:tc>
          <w:tcPr>
            <w:tcW w:w="30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7,001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5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(Provision) benefit for credit losses</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Net interest income after (provision) benefit for credit losses</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6,977</w:t>
            </w:r>
          </w:p>
        </w:tc>
        <w:tc>
          <w:tcPr>
            <w:tcW w:w="100" w:type="dxa"/>
            <w:vAlign w:val="bottom"/>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Fair value gains (losses), net</w:t>
            </w:r>
          </w:p>
        </w:tc>
        <w:tc>
          <w:tcPr>
            <w:tcW w:w="30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Fee and other income</w:t>
            </w:r>
          </w:p>
        </w:tc>
        <w:tc>
          <w:tcPr>
            <w:tcW w:w="30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5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Investment gains (losses), net</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Non-interest income</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207</w:t>
            </w:r>
          </w:p>
        </w:tc>
        <w:tc>
          <w:tcPr>
            <w:tcW w:w="100" w:type="dxa"/>
            <w:vAlign w:val="bottom"/>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Non-interest expense:</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580" w:type="dxa"/>
            <w:vAlign w:val="bottom"/>
            <w:gridSpan w:val="2"/>
          </w:tcPr>
          <w:p>
            <w:pPr>
              <w:ind w:left="120"/>
              <w:spacing w:after="0"/>
              <w:rPr>
                <w:sz w:val="20"/>
                <w:szCs w:val="20"/>
                <w:color w:val="auto"/>
              </w:rPr>
            </w:pPr>
            <w:r>
              <w:rPr>
                <w:rFonts w:ascii="Arial" w:cs="Arial" w:eastAsia="Arial" w:hAnsi="Arial"/>
                <w:sz w:val="14"/>
                <w:szCs w:val="14"/>
                <w:color w:val="auto"/>
              </w:rPr>
              <w:t>Salaries and employee benefits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(611)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580" w:type="dxa"/>
            <w:vAlign w:val="bottom"/>
            <w:gridSpan w:val="2"/>
          </w:tcPr>
          <w:p>
            <w:pPr>
              <w:ind w:left="120"/>
              <w:spacing w:after="0"/>
              <w:rPr>
                <w:sz w:val="20"/>
                <w:szCs w:val="20"/>
                <w:color w:val="auto"/>
              </w:rPr>
            </w:pPr>
            <w:r>
              <w:rPr>
                <w:rFonts w:ascii="Arial" w:cs="Arial" w:eastAsia="Arial" w:hAnsi="Arial"/>
                <w:sz w:val="14"/>
                <w:szCs w:val="14"/>
                <w:color w:val="auto"/>
              </w:rPr>
              <w:t>Professional services, technology, and occupancy</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(381)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580" w:type="dxa"/>
            <w:vAlign w:val="bottom"/>
            <w:gridSpan w:val="2"/>
          </w:tcPr>
          <w:p>
            <w:pPr>
              <w:ind w:left="120"/>
              <w:spacing w:after="0"/>
              <w:rPr>
                <w:sz w:val="20"/>
                <w:szCs w:val="20"/>
                <w:color w:val="auto"/>
              </w:rPr>
            </w:pPr>
            <w:r>
              <w:rPr>
                <w:rFonts w:ascii="Arial" w:cs="Arial" w:eastAsia="Arial" w:hAnsi="Arial"/>
                <w:sz w:val="14"/>
                <w:szCs w:val="14"/>
                <w:color w:val="auto"/>
              </w:rPr>
              <w:t>Legislative assessments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(931)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580" w:type="dxa"/>
            <w:vAlign w:val="bottom"/>
            <w:gridSpan w:val="2"/>
          </w:tcPr>
          <w:p>
            <w:pPr>
              <w:ind w:left="120"/>
              <w:spacing w:after="0"/>
              <w:rPr>
                <w:sz w:val="20"/>
                <w:szCs w:val="20"/>
                <w:color w:val="auto"/>
              </w:rPr>
            </w:pPr>
            <w:r>
              <w:rPr>
                <w:rFonts w:ascii="Arial" w:cs="Arial" w:eastAsia="Arial" w:hAnsi="Arial"/>
                <w:sz w:val="14"/>
                <w:szCs w:val="14"/>
                <w:color w:val="auto"/>
              </w:rPr>
              <w:t>Credit enhancement expense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(479)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5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income (expense), net</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(198)</w:t>
            </w:r>
          </w:p>
        </w:tc>
        <w:tc>
          <w:tcPr>
            <w:tcW w:w="100" w:type="dxa"/>
            <w:vAlign w:val="bottom"/>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non-interest expense</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(2,600)</w:t>
            </w:r>
          </w:p>
        </w:tc>
        <w:tc>
          <w:tcPr>
            <w:tcW w:w="100" w:type="dxa"/>
            <w:vAlign w:val="bottom"/>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Income before federal income taxes</w:t>
            </w:r>
          </w:p>
        </w:tc>
        <w:tc>
          <w:tcPr>
            <w:tcW w:w="30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4,584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5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Provision for federal income taxes</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(923)</w:t>
            </w:r>
          </w:p>
        </w:tc>
        <w:tc>
          <w:tcPr>
            <w:tcW w:w="100" w:type="dxa"/>
            <w:vAlign w:val="bottom"/>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3,661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5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comprehensive income</w:t>
            </w:r>
          </w:p>
        </w:tc>
        <w:tc>
          <w:tcPr>
            <w:tcW w:w="80" w:type="dxa"/>
            <w:vAlign w:val="bottom"/>
          </w:tcPr>
          <w:p>
            <w:pPr>
              <w:spacing w:after="0"/>
              <w:rPr>
                <w:sz w:val="16"/>
                <w:szCs w:val="16"/>
                <w:color w:val="auto"/>
              </w:rPr>
            </w:pPr>
          </w:p>
        </w:tc>
        <w:tc>
          <w:tcPr>
            <w:tcW w:w="30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3,655</w:t>
            </w:r>
          </w:p>
        </w:tc>
        <w:tc>
          <w:tcPr>
            <w:tcW w:w="100" w:type="dxa"/>
            <w:vAlign w:val="bottom"/>
          </w:tcPr>
          <w:p>
            <w:pPr>
              <w:spacing w:after="0"/>
              <w:rPr>
                <w:sz w:val="16"/>
                <w:szCs w:val="16"/>
                <w:color w:val="auto"/>
              </w:rPr>
            </w:pPr>
          </w:p>
        </w:tc>
        <w:tc>
          <w:tcPr>
            <w:tcW w:w="760" w:type="dxa"/>
            <w:vAlign w:val="bottom"/>
            <w:tcBorders>
              <w:bottom w:val="single" w:sz="8" w:color="2C6937"/>
            </w:tcBorders>
          </w:tcPr>
          <w:p>
            <w:pPr>
              <w:jc w:val="right"/>
              <w:ind w:right="611"/>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0"/>
        </w:trPr>
        <w:tc>
          <w:tcPr>
            <w:tcW w:w="85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3,661</w:t>
            </w:r>
          </w:p>
        </w:tc>
        <w:tc>
          <w:tcPr>
            <w:tcW w:w="100" w:type="dxa"/>
            <w:vAlign w:val="bottom"/>
          </w:tcPr>
          <w:p>
            <w:pPr>
              <w:spacing w:after="0"/>
              <w:rPr>
                <w:sz w:val="16"/>
                <w:szCs w:val="16"/>
                <w:color w:val="auto"/>
              </w:rPr>
            </w:pPr>
          </w:p>
        </w:tc>
        <w:tc>
          <w:tcPr>
            <w:tcW w:w="760" w:type="dxa"/>
            <w:vAlign w:val="bottom"/>
          </w:tcPr>
          <w:p>
            <w:pPr>
              <w:jc w:val="right"/>
              <w:ind w:right="611"/>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94"/>
        </w:trPr>
        <w:tc>
          <w:tcPr>
            <w:tcW w:w="85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Dividends distributed or amounts attributable to senior preferred stock</w:t>
            </w:r>
          </w:p>
        </w:tc>
        <w:tc>
          <w:tcPr>
            <w:tcW w:w="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(3,655)</w:t>
            </w:r>
          </w:p>
        </w:tc>
        <w:tc>
          <w:tcPr>
            <w:tcW w:w="100" w:type="dxa"/>
            <w:vAlign w:val="bottom"/>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0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760" w:type="dxa"/>
            <w:vAlign w:val="bottom"/>
          </w:tcPr>
          <w:p>
            <w:pPr>
              <w:jc w:val="right"/>
              <w:ind w:right="611"/>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0"/>
        </w:trPr>
        <w:tc>
          <w:tcPr>
            <w:tcW w:w="85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Earnings per share:</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58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8"/>
                <w:szCs w:val="18"/>
                <w:color w:val="auto"/>
              </w:rPr>
            </w:pPr>
          </w:p>
        </w:tc>
        <w:tc>
          <w:tcPr>
            <w:tcW w:w="760" w:type="dxa"/>
            <w:vAlign w:val="bottom"/>
          </w:tcPr>
          <w:p>
            <w:pPr>
              <w:jc w:val="right"/>
              <w:ind w:right="611"/>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93"/>
        </w:trPr>
        <w:tc>
          <w:tcPr>
            <w:tcW w:w="858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Weighted-average common shares outstanding:</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58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7"/>
                <w:szCs w:val="17"/>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58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5,893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387985</wp:posOffset>
            </wp:positionV>
            <wp:extent cx="68059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340" w:top="248" w:right="239" w:bottom="1440" w:gutter="0" w:footer="0" w:header="0"/>
        </w:sectPr>
      </w:pPr>
    </w:p>
    <w:bookmarkStart w:id="62" w:name="page63"/>
    <w:bookmarkEnd w:id="62"/>
    <w:p>
      <w:pPr>
        <w:ind w:left="6540"/>
        <w:spacing w:after="0"/>
        <w:rPr>
          <w:sz w:val="20"/>
          <w:szCs w:val="20"/>
          <w:color w:val="auto"/>
        </w:rPr>
      </w:pPr>
      <w:r>
        <w:rPr>
          <w:rFonts w:ascii="Arial" w:cs="Arial" w:eastAsia="Arial" w:hAnsi="Arial"/>
          <w:sz w:val="13"/>
          <w:szCs w:val="13"/>
          <w:color w:val="05314D"/>
        </w:rPr>
        <w:t>Financial Statements |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072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39"/>
        <w:spacing w:after="0"/>
        <w:rPr>
          <w:sz w:val="20"/>
          <w:szCs w:val="20"/>
          <w:color w:val="auto"/>
        </w:rPr>
      </w:pPr>
      <w:r>
        <w:rPr>
          <w:rFonts w:ascii="Georgia" w:cs="Georgia" w:eastAsia="Georgia" w:hAnsi="Georgia"/>
          <w:sz w:val="27"/>
          <w:szCs w:val="27"/>
          <w:b w:val="1"/>
          <w:bCs w:val="1"/>
          <w:color w:val="05314D"/>
        </w:rPr>
        <w:t>Condensed Consolidated Statements of Cash Flows — (Unaudited)</w:t>
      </w:r>
    </w:p>
    <w:p>
      <w:pPr>
        <w:spacing w:after="0" w:line="84"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(Dollars in millions)</w:t>
      </w:r>
    </w:p>
    <w:p>
      <w:pPr>
        <w:spacing w:after="0" w:line="117"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For the Three Months Ended</w:t>
      </w:r>
    </w:p>
    <w:p>
      <w:pPr>
        <w:jc w:val="center"/>
        <w:ind w:left="8900"/>
        <w:spacing w:after="0"/>
        <w:rPr>
          <w:sz w:val="20"/>
          <w:szCs w:val="20"/>
          <w:color w:val="auto"/>
        </w:rPr>
      </w:pPr>
      <w:r>
        <w:rPr>
          <w:rFonts w:ascii="Arial" w:cs="Arial" w:eastAsia="Arial" w:hAnsi="Arial"/>
          <w:sz w:val="14"/>
          <w:szCs w:val="14"/>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660" w:type="dxa"/>
            <w:vAlign w:val="bottom"/>
            <w:tcBorders>
              <w:top w:val="single" w:sz="8" w:color="2C6937"/>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2C6937"/>
              <w:bottom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2C6937"/>
              <w:bottom w:val="single" w:sz="8" w:color="2C6937"/>
            </w:tcBorders>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3,505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7,135</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Mortgage loans acquired held for investment:</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060" w:type="dxa"/>
            <w:vAlign w:val="bottom"/>
            <w:gridSpan w:val="2"/>
          </w:tcPr>
          <w:p>
            <w:pPr>
              <w:ind w:left="400"/>
              <w:spacing w:after="0"/>
              <w:rPr>
                <w:sz w:val="20"/>
                <w:szCs w:val="20"/>
                <w:color w:val="auto"/>
              </w:rPr>
            </w:pPr>
            <w:r>
              <w:rPr>
                <w:rFonts w:ascii="Arial" w:cs="Arial" w:eastAsia="Arial" w:hAnsi="Arial"/>
                <w:sz w:val="14"/>
                <w:szCs w:val="14"/>
                <w:color w:val="auto"/>
              </w:rPr>
              <w:t>Purchases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(26,055)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(28,018)</w:t>
            </w:r>
          </w:p>
        </w:tc>
        <w:tc>
          <w:tcPr>
            <w:tcW w:w="100" w:type="dxa"/>
            <w:vAlign w:val="bottom"/>
          </w:tcPr>
          <w:p>
            <w:pPr>
              <w:spacing w:after="0"/>
              <w:rPr>
                <w:sz w:val="17"/>
                <w:szCs w:val="17"/>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sales</w:t>
            </w:r>
          </w:p>
        </w:tc>
        <w:tc>
          <w:tcPr>
            <w:tcW w:w="200" w:type="dxa"/>
            <w:vAlign w:val="bottom"/>
          </w:tcPr>
          <w:p>
            <w:pPr>
              <w:spacing w:after="0"/>
              <w:rPr>
                <w:sz w:val="16"/>
                <w:szCs w:val="16"/>
                <w:color w:val="auto"/>
              </w:rPr>
            </w:pPr>
          </w:p>
        </w:tc>
        <w:tc>
          <w:tcPr>
            <w:tcW w:w="9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repayments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85,594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76,364</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Advances to lenders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(19,487)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(18,753)</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disposition of acquired property, preforeclosure sales and insurance proceeds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Net change in securities purchased under agreements to resell</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(15,794)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(43,025)</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24,150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(12,293)</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Borrowings that have an original maturity of three months or less, net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Fannie Mae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7,165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6,060</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Fannie Mae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(10,343)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(12,265)</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consolidated trusts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62,565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53,098</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consolidated trusts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(88,168)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(77,944)</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(28,669)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(30,294)</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 and cash equivalents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(35,452)</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Cash, cash equivalents and restricted cash and cash equivalents at beginning of period</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78,811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68,706</w:t>
            </w:r>
          </w:p>
        </w:tc>
        <w:tc>
          <w:tcPr>
            <w:tcW w:w="100" w:type="dxa"/>
            <w:vAlign w:val="bottom"/>
          </w:tcPr>
          <w:p>
            <w:pPr>
              <w:spacing w:after="0"/>
              <w:rPr>
                <w:sz w:val="16"/>
                <w:szCs w:val="16"/>
                <w:color w:val="auto"/>
              </w:rPr>
            </w:pPr>
          </w:p>
        </w:tc>
      </w:tr>
      <w:tr>
        <w:trPr>
          <w:trHeight w:val="186"/>
        </w:trPr>
        <w:tc>
          <w:tcPr>
            <w:tcW w:w="9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cash equivalents and restricted cash and cash equivalents at end of period</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77,797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33,254</w:t>
            </w:r>
          </w:p>
        </w:tc>
        <w:tc>
          <w:tcPr>
            <w:tcW w:w="100" w:type="dxa"/>
            <w:vAlign w:val="bottom"/>
          </w:tcPr>
          <w:p>
            <w:pPr>
              <w:spacing w:after="0"/>
              <w:rPr>
                <w:sz w:val="16"/>
                <w:szCs w:val="16"/>
                <w:color w:val="auto"/>
              </w:rPr>
            </w:pPr>
          </w:p>
        </w:tc>
      </w:tr>
      <w:tr>
        <w:trPr>
          <w:trHeight w:val="20"/>
        </w:trPr>
        <w:tc>
          <w:tcPr>
            <w:tcW w:w="8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paid during the period for:</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Interest</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33,407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31,381</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Income taxes, net of refunds</w:t>
            </w:r>
          </w:p>
        </w:tc>
        <w:tc>
          <w:tcPr>
            <w:tcW w:w="200" w:type="dxa"/>
            <w:vAlign w:val="bottom"/>
          </w:tcPr>
          <w:p>
            <w:pPr>
              <w:spacing w:after="0"/>
              <w:rPr>
                <w:sz w:val="16"/>
                <w:szCs w:val="16"/>
                <w:color w:val="auto"/>
              </w:rPr>
            </w:pPr>
          </w:p>
        </w:tc>
        <w:tc>
          <w:tcPr>
            <w:tcW w:w="9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bl>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63" w:name="page64"/>
    <w:bookmarkEnd w:id="63"/>
    <w:p>
      <w:pPr>
        <w:jc w:val="right"/>
        <w:ind w:right="10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spacing w:after="0"/>
        <w:rPr>
          <w:sz w:val="20"/>
          <w:szCs w:val="20"/>
          <w:color w:val="auto"/>
        </w:rPr>
      </w:pPr>
      <w:r>
        <w:rPr>
          <w:rFonts w:ascii="Georgia" w:cs="Georgia" w:eastAsia="Georgia" w:hAnsi="Georgia"/>
          <w:sz w:val="27"/>
          <w:szCs w:val="27"/>
          <w:b w:val="1"/>
          <w:bCs w:val="1"/>
          <w:color w:val="05314D"/>
        </w:rPr>
        <w:t>Condensed Consolidated Statements of Changes in</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27"/>
          <w:szCs w:val="27"/>
          <w:b w:val="1"/>
          <w:bCs w:val="1"/>
          <w:color w:val="05314D"/>
        </w:rPr>
        <w:t>Equity — (Unaudited)</w:t>
      </w:r>
    </w:p>
    <w:p>
      <w:pPr>
        <w:spacing w:after="0" w:line="97"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5314D"/>
        </w:rPr>
        <w:t>(Dollars and shares in millions)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6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2440" w:type="dxa"/>
            <w:vAlign w:val="bottom"/>
            <w:tcBorders>
              <w:bottom w:val="single" w:sz="8" w:color="2C6937"/>
            </w:tcBorders>
            <w:gridSpan w:val="8"/>
          </w:tcPr>
          <w:p>
            <w:pPr>
              <w:ind w:left="4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Senior</w:t>
            </w:r>
          </w:p>
        </w:tc>
        <w:tc>
          <w:tcPr>
            <w:tcW w:w="12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December 31, 2024</w:t>
            </w: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(38,625)</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94,657</w:t>
            </w:r>
          </w:p>
        </w:tc>
        <w:tc>
          <w:tcPr>
            <w:tcW w:w="0" w:type="dxa"/>
            <w:vAlign w:val="bottom"/>
          </w:tcPr>
          <w:p>
            <w:pPr>
              <w:spacing w:after="0"/>
              <w:rPr>
                <w:sz w:val="1"/>
                <w:szCs w:val="1"/>
                <w:color w:val="auto"/>
              </w:rPr>
            </w:pPr>
          </w:p>
        </w:tc>
      </w:tr>
      <w:tr>
        <w:trPr>
          <w:trHeight w:val="149"/>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3,661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3,661</w:t>
            </w: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sale securities (net of taxes of $1)</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3,655</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March 31, 2025</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(34,964)</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98,312</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6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2440" w:type="dxa"/>
            <w:vAlign w:val="bottom"/>
            <w:tcBorders>
              <w:bottom w:val="single" w:sz="8" w:color="2C6937"/>
            </w:tcBorders>
            <w:gridSpan w:val="8"/>
          </w:tcPr>
          <w:p>
            <w:pPr>
              <w:ind w:left="4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Senior</w:t>
            </w:r>
          </w:p>
        </w:tc>
        <w:tc>
          <w:tcPr>
            <w:tcW w:w="12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89"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2023</w:t>
            </w: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(55,603)</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77,682</w:t>
            </w:r>
          </w:p>
        </w:tc>
        <w:tc>
          <w:tcPr>
            <w:tcW w:w="0" w:type="dxa"/>
            <w:vAlign w:val="bottom"/>
          </w:tcPr>
          <w:p>
            <w:pPr>
              <w:spacing w:after="0"/>
              <w:rPr>
                <w:sz w:val="1"/>
                <w:szCs w:val="1"/>
                <w:color w:val="auto"/>
              </w:rPr>
            </w:pPr>
          </w:p>
        </w:tc>
      </w:tr>
      <w:tr>
        <w:trPr>
          <w:trHeight w:val="149"/>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4,320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4,320</w:t>
            </w: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sale securities (net of taxes of $2)</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4,324</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March 31, 2024</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(51,283)</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82,006</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1182370</wp:posOffset>
            </wp:positionV>
            <wp:extent cx="68059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716407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48" w:right="359" w:bottom="1440" w:gutter="0" w:footer="0" w:header="0"/>
        </w:sectPr>
      </w:pPr>
    </w:p>
    <w:bookmarkStart w:id="64" w:name="page65"/>
    <w:bookmarkEnd w:id="64"/>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Notes to Condensed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(Unaudited)</w:t>
      </w:r>
    </w:p>
    <w:p>
      <w:pPr>
        <w:spacing w:after="0" w:line="175"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 Summary of Significant Accounting Policies</w:t>
      </w:r>
    </w:p>
    <w:p>
      <w:pPr>
        <w:spacing w:after="0" w:line="8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Fannie Mae is a leading source of financing for residential mortgages in the United States. 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that global investors buy from us. We do not originate mortgage loans or lend money directly to borrowers.</w:t>
      </w:r>
    </w:p>
    <w:p>
      <w:pPr>
        <w:spacing w:after="0" w:line="48"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We are currently operating under conservatorship, with the Federal Housing Finance Agency (“FHFA”) acting as conservator. See “Note 2, Conservatorship, Senior Preferred Stock Purchase Agreement and Related Matters” below and in our annual report on Form 10-K for the year ended December 31, 2024 (“2024 Form 10-K”) for information on our conservatorship, the senior preferred stock purchase agreement, the impact of U.S. government support of our business, and related party relationships.</w:t>
      </w:r>
    </w:p>
    <w:p>
      <w:pPr>
        <w:spacing w:after="0" w:line="8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Basis of Presentation</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of America (“GAAP”) for interim financial information. Accordingly, they do not include all of the information and note disclosures required by GAAP for complete consolidated financial statements and therefore should be read in conjunction with our audited consolidated financial statements and related notes included in our 2024 Form 10-K. In the opinion of management, our unaudited interim condensed consolidated financial statements contain all adjustments, which include only normal recurring adjustments, necessary for a fair presentation of our results. The nature of our business is such that the results of any interim period are not necessarily indicative of results for a full year. The accompanying condensed consolidated financial statements include our accounts as well as the accounts of other entities in which we have a controlling financial interest. All intercompany balances and transactions have been eliminated. To conform to our current-period presentation, we have reclassified certain amounts reported in our prior period consolidated financial statements.</w:t>
      </w:r>
    </w:p>
    <w:p>
      <w:pPr>
        <w:spacing w:after="0" w:line="44"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Beginning in the first quarter of 2025, we changed our presentation on the condensed consolidated statement of cash flows for certain borrowings with original contractual maturities of three months or less such that the proceeds from the issuance of these borrowings and the related payments to redeem them are presented on a net basis. Previously, proceeds from the issuance of these borrowings and the related repayments to redeem them were presented separately (i.e., gross) on the condensed consolidated statement of cash flows. As a result of this change, we recast the prior periods presented to reflect the net presentation of cash flows on these borrowings. For borrowings with original contractual maturities greater than three months, we continue to present proceeds from issuance and payments to redeem the borrowings on a gross basis.</w:t>
      </w:r>
    </w:p>
    <w:p>
      <w:pPr>
        <w:spacing w:after="0" w:line="8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Use of Estimates</w:t>
      </w:r>
    </w:p>
    <w:p>
      <w:pPr>
        <w:spacing w:after="0" w:line="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Preparing condensed consolidated financial statements in accordance with GAAP requires management to make estimates and assumptions that affect our reported amounts of assets and liabilities and disclosure of contingent assets and liabilities as of the dates of our condensed consolidated financial statements, as well as our reported amounts of revenues and expenses during the reporting periods. Management has made significant estimates in a variety of areas including, but not limited to, the allowance for loan losses. Actual results could be different from these estimates.</w:t>
      </w:r>
    </w:p>
    <w:p>
      <w:pPr>
        <w:spacing w:after="0" w:line="9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Earnings per Share</w:t>
      </w:r>
    </w:p>
    <w:p>
      <w:pPr>
        <w:spacing w:after="0" w:line="68"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Earnings per share (“EPS”) is presented for basic and diluted EPS. For the three months ended March 31, 2025 and 2024, the weighted average shares outstanding used in the computation of basic and diluted EPS includes 4.7 billion shares of common stock that would be issuable upon full exercise of the common stock warrant issued to the U.S. Department of the Treasury (“Treasury”).</w:t>
      </w:r>
    </w:p>
    <w:p>
      <w:pPr>
        <w:spacing w:after="0" w:line="4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For the calculation of diluted EPS, the weighted average shares outstanding is increased to include the number of additional common shares that would have been outstanding if the dilutive potential common shares had been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342900</wp:posOffset>
            </wp:positionV>
            <wp:extent cx="68059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65" w:name="page66"/>
    <w:bookmarkEnd w:id="65"/>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color w:val="auto"/>
        </w:rPr>
        <w:t>For the three months ended March 31, 2025, our diluted EPS weighted-average shares outstanding includes the 26 million shares issuable upon the conversion of convertible preferred stock. Shares issuable upon the conversion of convertible preferred stock are not included in the calculation for the three months ended March 31, 2024 because it would have had an anti-dilutive effect.</w:t>
      </w:r>
    </w:p>
    <w:p>
      <w:pPr>
        <w:spacing w:after="0" w:line="9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Collateral</w:t>
      </w:r>
    </w:p>
    <w:p>
      <w:pPr>
        <w:spacing w:after="0" w:line="6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enter into various transactions where we pledge and accept collateral, the most common of which are our derivative transactions. We also pledge and receive collateral under our repurchase and reverse repurchase agreements.</w:t>
      </w:r>
    </w:p>
    <w:p>
      <w:pPr>
        <w:spacing w:after="0" w:line="15"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We posted U.S. Treasury securities of $9.4 billion and $8.9 billion as collateral, of which $3.2 billion and $2.7 billion could be sold or repledged as of March 31, 2025 and December 31, 2024, respectively. The fair value of non-cash collateral received was $71.5 billion and $56.3 billion, of which $69.3 billion and $49.0 billion could be sold or repledged as of March 31, 2025 and December 31, 2024, respectively. None of the underlying collateral we received was sold or repledged as of March 31, 2025 or December 31, 2024.</w:t>
      </w:r>
    </w:p>
    <w:p>
      <w:pPr>
        <w:spacing w:after="0" w:line="7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Foreclosed Property</w:t>
      </w:r>
    </w:p>
    <w:p>
      <w:pPr>
        <w:spacing w:after="0" w:line="68"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We present foreclosed property in “Other assets” in our condensed consolidated balance sheets. We held $1.7 billion of acquired property, net as of March 31, 2025 and December 31, 2024.</w:t>
      </w:r>
    </w:p>
    <w:p>
      <w:pPr>
        <w:spacing w:after="0" w:line="4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New Accounting Guidance</w:t>
      </w:r>
    </w:p>
    <w:p>
      <w:pPr>
        <w:spacing w:after="0" w:line="11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Income Taxes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In December 2023, the Financial Accounting Standards Board (“FASB”) issued Accounting Standards Update (“ASU”) 2023-09,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which enhances the required disclosures primarily related to the income tax rate reconciliation and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paid. The ASU requires an entity’s income tax rate reconciliation to provide additional information for reconciling items meeting a quantitative threshold, and to disclose certain selected categories within the income tax rate reconciliation. The ASU also requires entities to disclose the amount of income taxes paid, disaggregated by federal, state and foreign taxes. The ASU is effective for annual periods beginning after December 15, 2024, though early adoption is permitted. The adoption of this guidance is not expected to have a material impact on our consolidated financial statements.</w:t>
      </w:r>
    </w:p>
    <w:p>
      <w:pPr>
        <w:spacing w:after="0" w:line="100"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Disaggregation of Income Statement Expenses</w:t>
      </w:r>
    </w:p>
    <w:p>
      <w:pPr>
        <w:spacing w:after="0" w:line="6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 Disaggregation Disclosures</w:t>
      </w:r>
      <w:r>
        <w:rPr>
          <w:rFonts w:ascii="Arial" w:cs="Arial" w:eastAsia="Arial" w:hAnsi="Arial"/>
          <w:sz w:val="16"/>
          <w:szCs w:val="16"/>
          <w:color w:val="auto"/>
        </w:rPr>
        <w:t>. The guidance enhances the disclosures about an entity’s expenses by requiring more detailed information about the types of expenses in commonly presented expense captions. This guidance is effective for fiscal years beginning after December 15, 2026 and interim periods beginning after December 15, 2027. The adoption of this guidance is not expected to have a material impact on our consolidated financial statements.</w:t>
      </w:r>
    </w:p>
    <w:p>
      <w:pPr>
        <w:spacing w:after="0" w:line="134" w:lineRule="exact"/>
        <w:rPr>
          <w:sz w:val="20"/>
          <w:szCs w:val="20"/>
          <w:color w:val="auto"/>
        </w:rPr>
      </w:pPr>
    </w:p>
    <w:p>
      <w:pPr>
        <w:ind w:right="200" w:firstLine="3"/>
        <w:spacing w:after="0" w:line="253" w:lineRule="auto"/>
        <w:tabs>
          <w:tab w:leader="none" w:pos="452" w:val="left"/>
        </w:tabs>
        <w:numPr>
          <w:ilvl w:val="0"/>
          <w:numId w:val="58"/>
        </w:numPr>
        <w:rPr>
          <w:rFonts w:ascii="Georgia" w:cs="Georgia" w:eastAsia="Georgia" w:hAnsi="Georgia"/>
          <w:sz w:val="31"/>
          <w:szCs w:val="31"/>
          <w:b w:val="1"/>
          <w:bCs w:val="1"/>
          <w:color w:val="05314D"/>
        </w:rPr>
      </w:pPr>
      <w:r>
        <w:rPr>
          <w:rFonts w:ascii="Georgia" w:cs="Georgia" w:eastAsia="Georgia" w:hAnsi="Georgia"/>
          <w:sz w:val="31"/>
          <w:szCs w:val="31"/>
          <w:b w:val="1"/>
          <w:bCs w:val="1"/>
          <w:color w:val="05314D"/>
        </w:rPr>
        <w:t>Conservatorship, Senior Preferred Stock Purchase Agreement and Related Matters</w:t>
      </w:r>
    </w:p>
    <w:p>
      <w:pPr>
        <w:spacing w:after="0" w:line="10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Conservatorship</w:t>
      </w:r>
    </w:p>
    <w:p>
      <w:pPr>
        <w:spacing w:after="0" w:line="68" w:lineRule="exact"/>
        <w:rPr>
          <w:sz w:val="20"/>
          <w:szCs w:val="20"/>
          <w:color w:val="auto"/>
        </w:rPr>
      </w:pPr>
    </w:p>
    <w:p>
      <w:pPr>
        <w:ind w:right="580"/>
        <w:spacing w:after="0" w:line="310" w:lineRule="auto"/>
        <w:rPr>
          <w:sz w:val="20"/>
          <w:szCs w:val="20"/>
          <w:color w:val="auto"/>
        </w:rPr>
      </w:pPr>
      <w:r>
        <w:rPr>
          <w:rFonts w:ascii="Arial" w:cs="Arial" w:eastAsia="Arial" w:hAnsi="Arial"/>
          <w:sz w:val="16"/>
          <w:szCs w:val="16"/>
          <w:color w:val="auto"/>
        </w:rPr>
        <w:t>We are currently operating under conservatorship, with FHFA acting as conservator. The conservatorship and related matters significantly affect our management, business activities, financial condition and results of operations.</w:t>
      </w:r>
    </w:p>
    <w:p>
      <w:pPr>
        <w:spacing w:after="0" w:line="4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w:t>
      </w:r>
    </w:p>
    <w:p>
      <w:pPr>
        <w:spacing w:after="0" w:line="68"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FHFA, as conservator, entered into a senior preferred stock purchase agreement with Treasury on our behalf in September 2008. In connection with that agreement, we issued Treasury one million shares of Variable Liquidation Preference Senior Preferred Stock, Series 2008-2, which we refer to as the “senior preferred stock,” and a warrant to purchase shares equal to 79.9% of our common stock, on a fully diluted basis, for a nominal price of $0.00001. This agreement also provides funding to us under certain circumstances if we have a net worth deficit. Pursuant to the senior preferred stock purchase agreement, we have received a total of $119.8 billion from Treasury as of March 31, 2025, and the amount of remaining funding available to us under the agreement is $113.9 billion. We have not received any funding from Treasury under this commitment since the first quarter of 2018. We had a positive net worth of $98.3 billion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66" w:name="page67"/>
    <w:bookmarkEnd w:id="66"/>
    <w:p>
      <w:pPr>
        <w:ind w:left="2620"/>
        <w:spacing w:after="0"/>
        <w:rPr>
          <w:sz w:val="20"/>
          <w:szCs w:val="20"/>
          <w:color w:val="auto"/>
        </w:rPr>
      </w:pPr>
      <w:r>
        <w:rPr>
          <w:rFonts w:ascii="Arial" w:cs="Arial" w:eastAsia="Arial" w:hAnsi="Arial"/>
          <w:sz w:val="13"/>
          <w:szCs w:val="13"/>
          <w:color w:val="05314D"/>
        </w:rPr>
        <w:t>Notes to Condensed Consolidated Financial Statements | Conservatorship, Senior Preferred Stock Purchase Agreement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dividend provisions of the senior preferred stock permit us to retain increases in our net worth until our net worth exceeds the amount of adjusted total capital necessary for us to meet the capital requirements and buffers under the enterprise regulatory capital framework established by FHFA. As a result of our conservatorship status and the terms of the senior preferred stock, no amounts would be available to distribute as dividends to common or preferred stockholders (other than to Treasury as the holder of the senior preferred stock).</w:t>
      </w:r>
    </w:p>
    <w:p>
      <w:pPr>
        <w:spacing w:after="0" w:line="33"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The aggregate liquidation preference of the senior preferred stock increased to $216.2 billion as of March 31, 2025 from $212.0 billion as of December 31, 2024, due to the increase in our net worth in the fourth quarter of 2024. The aggregate liquidation preference of the senior preferred stock will further increase to $219.8 billion as of June 30, 2025, due to the increase in our net worth in the first quarter of 2025.</w:t>
      </w:r>
    </w:p>
    <w:p>
      <w:pPr>
        <w:spacing w:after="0" w:line="7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Impact of U.S. Government Support</w:t>
      </w:r>
    </w:p>
    <w:p>
      <w:pPr>
        <w:spacing w:after="0" w:line="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have been operating under the control of FHFA as conservator since 2008, which is a form of government support. We continue to rely on financial support from Treasury pursuant to our senior preferred stock purchase agreement to eliminate any net worth deficits we may experience in the future, which would otherwise trigger our being placed into receivership by FHFA. Treasury also has authority under the Charter Act to purchase up to $2.25 billion of the debt obligations that we issue. We believe that continued support from Treasury and our status as a government-sponsored enterprise are essential to maintaining our access to debt funding and maintaining the liquidity necessary to conduct our normal business activities. Therefore, changes or perceived changes in (i) our status as a government-sponsored enterprise, (ii) our support from Treasury and/or (iii) the creditworthiness of the U.S. government could have a material adverse impact on our access to debt funding or the cost of debt funding. These events would have a negative impact on our liquidity, financial condition, and results of operations. Our reliance on support from the U.S. government is critical to keeping us operating as a going concern.</w:t>
      </w:r>
    </w:p>
    <w:p>
      <w:pPr>
        <w:spacing w:after="0" w:line="8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Related Parties</w:t>
      </w:r>
    </w:p>
    <w:p>
      <w:pPr>
        <w:spacing w:after="0" w:line="8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Because Treasury holds a warrant to purchase shares of Fannie Mae common stock equal to 79.9% of the total number of shares of Fannie Mae common stock, we and Treasury are deemed related parties. As of March 31, 2025, Treasury held an investment in our senior preferred stock with an aggregate liquidation preference of $216.2 billion.</w:t>
      </w:r>
    </w:p>
    <w:p>
      <w:pPr>
        <w:spacing w:after="0" w:line="32"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FHFA’s control of both Fannie Mae and Freddie Mac has caused Fannie Mae, FHFA and Freddie Mac to be deemed related parties. Additionally, Fannie Mae and Freddie Mac jointly own Common Securitization Solutions, LLC (“CSS”), a limited liability company created to operate a common securitization platform; as a result, CSS is deemed a related party. CSS operates as a separate company from us and Freddie Mac, with all funding and limited administrative support services and other resources provided to it by us and Freddie Mac.</w:t>
      </w:r>
    </w:p>
    <w:p>
      <w:pPr>
        <w:spacing w:after="0" w:line="3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following table provides the income statement impact of our related party transactions for the periods presented in addition to the associated liability at period end. The associated liability represents amounts accrued with respect to the related party transactions that have not yet been paid to the applicable related parties</w:t>
      </w:r>
      <w:r>
        <w:rPr>
          <w:rFonts w:ascii="Arial" w:cs="Arial" w:eastAsia="Arial" w:hAnsi="Arial"/>
          <w:sz w:val="16"/>
          <w:szCs w:val="16"/>
          <w:color w:val="0070C0"/>
        </w:rPr>
        <w:t>.</w:t>
      </w:r>
      <w:r>
        <w:rPr>
          <w:rFonts w:ascii="Arial" w:cs="Arial" w:eastAsia="Arial" w:hAnsi="Arial"/>
          <w:sz w:val="16"/>
          <w:szCs w:val="16"/>
          <w:color w:val="auto"/>
        </w:rPr>
        <w:t xml:space="preserve"> In addition to the impact described in the table below, our investment in CSS, which is accounted for using the equity method, is classified as Other assets” in our condensed consolidated balance sheets. We contributed $27 million and $22 million to CSS for the three months ended March 31, 2025 and 2024, respectively.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4"/>
          </w:tcPr>
          <w:p>
            <w:pPr>
              <w:jc w:val="center"/>
              <w:ind w:right="220"/>
              <w:spacing w:after="0"/>
              <w:rPr>
                <w:sz w:val="20"/>
                <w:szCs w:val="20"/>
                <w:color w:val="auto"/>
              </w:rPr>
            </w:pPr>
            <w:r>
              <w:rPr>
                <w:rFonts w:ascii="Arial" w:cs="Arial" w:eastAsia="Arial" w:hAnsi="Arial"/>
                <w:sz w:val="15"/>
                <w:szCs w:val="15"/>
                <w:b w:val="1"/>
                <w:bCs w:val="1"/>
                <w:color w:val="auto"/>
              </w:rPr>
              <w:t>For the Three Months Ended</w:t>
            </w:r>
          </w:p>
        </w:tc>
        <w:tc>
          <w:tcPr>
            <w:tcW w:w="120" w:type="dxa"/>
            <w:vAlign w:val="bottom"/>
          </w:tcPr>
          <w:p>
            <w:pPr>
              <w:spacing w:after="0"/>
              <w:rPr>
                <w:sz w:val="15"/>
                <w:szCs w:val="15"/>
                <w:color w:val="auto"/>
              </w:rPr>
            </w:pPr>
          </w:p>
        </w:tc>
        <w:tc>
          <w:tcPr>
            <w:tcW w:w="2800" w:type="dxa"/>
            <w:vAlign w:val="bottom"/>
            <w:gridSpan w:val="3"/>
          </w:tcPr>
          <w:p>
            <w:pPr>
              <w:jc w:val="center"/>
              <w:ind w:right="83"/>
              <w:spacing w:after="0"/>
              <w:rPr>
                <w:sz w:val="20"/>
                <w:szCs w:val="20"/>
                <w:color w:val="auto"/>
              </w:rPr>
            </w:pPr>
            <w:r>
              <w:rPr>
                <w:rFonts w:ascii="Arial" w:cs="Arial" w:eastAsia="Arial" w:hAnsi="Arial"/>
                <w:sz w:val="15"/>
                <w:szCs w:val="15"/>
                <w:b w:val="1"/>
                <w:bCs w:val="1"/>
                <w:color w:val="auto"/>
              </w:rPr>
              <w:t>Other Liabilities</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gridSpan w:val="2"/>
          </w:tcPr>
          <w:p>
            <w:pPr>
              <w:jc w:val="center"/>
              <w:ind w:left="603"/>
              <w:spacing w:after="0"/>
              <w:rPr>
                <w:sz w:val="20"/>
                <w:szCs w:val="20"/>
                <w:color w:val="auto"/>
              </w:rPr>
            </w:pPr>
            <w:r>
              <w:rPr>
                <w:rFonts w:ascii="Arial" w:cs="Arial" w:eastAsia="Arial" w:hAnsi="Arial"/>
                <w:sz w:val="15"/>
                <w:szCs w:val="15"/>
                <w:b w:val="1"/>
                <w:bCs w:val="1"/>
                <w:color w:val="auto"/>
              </w:rPr>
              <w:t>March 31,</w:t>
            </w:r>
          </w:p>
        </w:tc>
        <w:tc>
          <w:tcPr>
            <w:tcW w:w="7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gridSpan w:val="2"/>
          </w:tcPr>
          <w:p>
            <w:pPr>
              <w:jc w:val="center"/>
              <w:ind w:left="1043"/>
              <w:spacing w:after="0"/>
              <w:rPr>
                <w:sz w:val="20"/>
                <w:szCs w:val="20"/>
                <w:color w:val="auto"/>
              </w:rPr>
            </w:pPr>
            <w:r>
              <w:rPr>
                <w:rFonts w:ascii="Arial" w:cs="Arial" w:eastAsia="Arial" w:hAnsi="Arial"/>
                <w:sz w:val="15"/>
                <w:szCs w:val="15"/>
                <w:b w:val="1"/>
                <w:bCs w:val="1"/>
                <w:color w:val="auto"/>
              </w:rPr>
              <w:t>as of</w:t>
            </w:r>
          </w:p>
        </w:tc>
        <w:tc>
          <w:tcPr>
            <w:tcW w:w="12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30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Related Party</w:t>
            </w:r>
          </w:p>
        </w:tc>
        <w:tc>
          <w:tcPr>
            <w:tcW w:w="100" w:type="dxa"/>
            <w:vAlign w:val="bottom"/>
            <w:vMerge w:val="restart"/>
          </w:tcPr>
          <w:p>
            <w:pPr>
              <w:spacing w:after="0"/>
              <w:rPr>
                <w:sz w:val="15"/>
                <w:szCs w:val="15"/>
                <w:color w:val="auto"/>
              </w:rPr>
            </w:pPr>
          </w:p>
        </w:tc>
        <w:tc>
          <w:tcPr>
            <w:tcW w:w="2860" w:type="dxa"/>
            <w:vAlign w:val="bottom"/>
            <w:vMerge w:val="restart"/>
          </w:tcPr>
          <w:p>
            <w:pPr>
              <w:ind w:left="1140"/>
              <w:spacing w:after="0"/>
              <w:rPr>
                <w:sz w:val="20"/>
                <w:szCs w:val="20"/>
                <w:color w:val="auto"/>
              </w:rPr>
            </w:pPr>
            <w:r>
              <w:rPr>
                <w:rFonts w:ascii="Arial" w:cs="Arial" w:eastAsia="Arial" w:hAnsi="Arial"/>
                <w:sz w:val="15"/>
                <w:szCs w:val="15"/>
                <w:b w:val="1"/>
                <w:bCs w:val="1"/>
                <w:color w:val="auto"/>
              </w:rPr>
              <w:t>Activity</w:t>
            </w:r>
          </w:p>
        </w:tc>
        <w:tc>
          <w:tcPr>
            <w:tcW w:w="80" w:type="dxa"/>
            <w:vAlign w:val="bottom"/>
            <w:vMerge w:val="restart"/>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Arial" w:cs="Arial" w:eastAsia="Arial" w:hAnsi="Arial"/>
                <w:sz w:val="15"/>
                <w:szCs w:val="15"/>
                <w:b w:val="1"/>
                <w:bCs w:val="1"/>
                <w:color w:val="auto"/>
              </w:rPr>
              <w:t>Income Statement</w:t>
            </w:r>
          </w:p>
        </w:tc>
        <w:tc>
          <w:tcPr>
            <w:tcW w:w="120" w:type="dxa"/>
            <w:vAlign w:val="bottom"/>
          </w:tcPr>
          <w:p>
            <w:pPr>
              <w:spacing w:after="0"/>
              <w:rPr>
                <w:sz w:val="15"/>
                <w:szCs w:val="15"/>
                <w:color w:val="auto"/>
              </w:rPr>
            </w:pPr>
          </w:p>
        </w:tc>
        <w:tc>
          <w:tcPr>
            <w:tcW w:w="1060" w:type="dxa"/>
            <w:vAlign w:val="bottom"/>
            <w:vMerge w:val="restart"/>
          </w:tcPr>
          <w:p>
            <w:pPr>
              <w:jc w:val="right"/>
              <w:ind w:right="363"/>
              <w:spacing w:after="0"/>
              <w:rPr>
                <w:sz w:val="20"/>
                <w:szCs w:val="20"/>
                <w:color w:val="auto"/>
              </w:rPr>
            </w:pPr>
            <w:r>
              <w:rPr>
                <w:rFonts w:ascii="Arial" w:cs="Arial" w:eastAsia="Arial" w:hAnsi="Arial"/>
                <w:sz w:val="15"/>
                <w:szCs w:val="15"/>
                <w:b w:val="1"/>
                <w:bCs w:val="1"/>
                <w:color w:val="auto"/>
              </w:rPr>
              <w:t>2025</w:t>
            </w:r>
          </w:p>
        </w:tc>
        <w:tc>
          <w:tcPr>
            <w:tcW w:w="420" w:type="dxa"/>
            <w:vAlign w:val="bottom"/>
          </w:tcPr>
          <w:p>
            <w:pPr>
              <w:spacing w:after="0"/>
              <w:rPr>
                <w:sz w:val="15"/>
                <w:szCs w:val="15"/>
                <w:color w:val="auto"/>
              </w:rPr>
            </w:pPr>
          </w:p>
        </w:tc>
        <w:tc>
          <w:tcPr>
            <w:tcW w:w="78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March 31, 2025</w:t>
            </w:r>
          </w:p>
        </w:tc>
        <w:tc>
          <w:tcPr>
            <w:tcW w:w="240" w:type="dxa"/>
            <w:vAlign w:val="bottom"/>
          </w:tcPr>
          <w:p>
            <w:pPr>
              <w:spacing w:after="0"/>
              <w:rPr>
                <w:sz w:val="15"/>
                <w:szCs w:val="15"/>
                <w:color w:val="auto"/>
              </w:rPr>
            </w:pPr>
          </w:p>
        </w:tc>
        <w:tc>
          <w:tcPr>
            <w:tcW w:w="1240" w:type="dxa"/>
            <w:vAlign w:val="bottom"/>
          </w:tcPr>
          <w:p>
            <w:pPr>
              <w:jc w:val="right"/>
              <w:ind w:right="123"/>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1300" w:type="dxa"/>
            <w:vAlign w:val="bottom"/>
            <w:tcBorders>
              <w:bottom w:val="single" w:sz="8" w:color="2C6937"/>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860" w:type="dxa"/>
            <w:vAlign w:val="bottom"/>
            <w:tcBorders>
              <w:bottom w:val="single" w:sz="8" w:color="2C6937"/>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20" w:type="dxa"/>
            <w:vAlign w:val="bottom"/>
            <w:tcBorders>
              <w:bottom w:val="single" w:sz="8" w:color="2C6937"/>
            </w:tcBorders>
          </w:tcPr>
          <w:p>
            <w:pPr>
              <w:ind w:left="200"/>
              <w:spacing w:after="0"/>
              <w:rPr>
                <w:sz w:val="20"/>
                <w:szCs w:val="20"/>
                <w:color w:val="auto"/>
              </w:rPr>
            </w:pPr>
            <w:r>
              <w:rPr>
                <w:rFonts w:ascii="Arial" w:cs="Arial" w:eastAsia="Arial" w:hAnsi="Arial"/>
                <w:sz w:val="15"/>
                <w:szCs w:val="15"/>
                <w:b w:val="1"/>
                <w:bCs w:val="1"/>
                <w:color w:val="auto"/>
              </w:rPr>
              <w:t>Classification</w:t>
            </w:r>
          </w:p>
        </w:tc>
        <w:tc>
          <w:tcPr>
            <w:tcW w:w="8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vMerge w:val="continue"/>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vMerge w:val="continue"/>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320" w:type="dxa"/>
            <w:vAlign w:val="bottom"/>
            <w:tcBorders>
              <w:bottom w:val="single" w:sz="8" w:color="2C6937"/>
            </w:tcBorders>
            <w:vMerge w:val="continue"/>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2"/>
            <w:vMerge w:val="restart"/>
          </w:tcPr>
          <w:p>
            <w:pPr>
              <w:ind w:left="20"/>
              <w:spacing w:after="0"/>
              <w:rPr>
                <w:sz w:val="20"/>
                <w:szCs w:val="20"/>
                <w:color w:val="auto"/>
              </w:rPr>
            </w:pPr>
            <w:r>
              <w:rPr>
                <w:rFonts w:ascii="Arial" w:cs="Arial" w:eastAsia="Arial" w:hAnsi="Arial"/>
                <w:sz w:val="15"/>
                <w:szCs w:val="15"/>
                <w:color w:val="auto"/>
              </w:rPr>
              <w:t>Tax Cut Continuation Act of 2011</w:t>
            </w:r>
          </w:p>
        </w:tc>
        <w:tc>
          <w:tcPr>
            <w:tcW w:w="1500" w:type="dxa"/>
            <w:vAlign w:val="bottom"/>
            <w:gridSpan w:val="2"/>
            <w:vMerge w:val="restart"/>
          </w:tcPr>
          <w:p>
            <w:pPr>
              <w:ind w:left="20"/>
              <w:spacing w:after="0"/>
              <w:rPr>
                <w:sz w:val="20"/>
                <w:szCs w:val="20"/>
                <w:color w:val="auto"/>
              </w:rPr>
            </w:pPr>
            <w:r>
              <w:rPr>
                <w:rFonts w:ascii="Arial" w:cs="Arial" w:eastAsia="Arial" w:hAnsi="Arial"/>
                <w:sz w:val="15"/>
                <w:szCs w:val="15"/>
                <w:color w:val="auto"/>
              </w:rPr>
              <w:t>Legislative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gridSpan w:val="4"/>
          </w:tcPr>
          <w:p>
            <w:pPr>
              <w:jc w:val="right"/>
              <w:ind w:right="423"/>
              <w:spacing w:after="0"/>
              <w:rPr>
                <w:sz w:val="20"/>
                <w:szCs w:val="20"/>
                <w:color w:val="auto"/>
              </w:rPr>
            </w:pPr>
            <w:r>
              <w:rPr>
                <w:rFonts w:ascii="Arial" w:cs="Arial" w:eastAsia="Arial" w:hAnsi="Arial"/>
                <w:sz w:val="15"/>
                <w:szCs w:val="15"/>
                <w:b w:val="1"/>
                <w:bCs w:val="1"/>
                <w:color w:val="auto"/>
              </w:rPr>
              <w:t>(Dollars in millions)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400" w:type="dxa"/>
            <w:vAlign w:val="bottom"/>
            <w:gridSpan w:val="2"/>
            <w:vMerge w:val="restart"/>
          </w:tcPr>
          <w:p>
            <w:pPr>
              <w:ind w:left="20"/>
              <w:spacing w:after="0"/>
              <w:rPr>
                <w:sz w:val="20"/>
                <w:szCs w:val="20"/>
                <w:color w:val="auto"/>
              </w:rPr>
            </w:pPr>
            <w:r>
              <w:rPr>
                <w:rFonts w:ascii="Arial" w:cs="Arial" w:eastAsia="Arial" w:hAnsi="Arial"/>
                <w:sz w:val="15"/>
                <w:szCs w:val="15"/>
                <w:color w:val="auto"/>
              </w:rPr>
              <w:t>Treasury</w:t>
            </w:r>
          </w:p>
        </w:tc>
        <w:tc>
          <w:tcPr>
            <w:tcW w:w="294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859</w:t>
            </w:r>
          </w:p>
        </w:tc>
        <w:tc>
          <w:tcPr>
            <w:tcW w:w="420" w:type="dxa"/>
            <w:vAlign w:val="bottom"/>
            <w:vMerge w:val="restart"/>
          </w:tcPr>
          <w:p>
            <w:pPr>
              <w:jc w:val="right"/>
              <w:ind w:right="183"/>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860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859</w:t>
            </w:r>
          </w:p>
        </w:tc>
        <w:tc>
          <w:tcPr>
            <w:tcW w:w="2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861</w:t>
            </w:r>
          </w:p>
        </w:tc>
        <w:tc>
          <w:tcPr>
            <w:tcW w:w="0" w:type="dxa"/>
            <w:vAlign w:val="bottom"/>
          </w:tcPr>
          <w:p>
            <w:pPr>
              <w:spacing w:after="0"/>
              <w:rPr>
                <w:sz w:val="1"/>
                <w:szCs w:val="1"/>
                <w:color w:val="auto"/>
              </w:rPr>
            </w:pPr>
          </w:p>
        </w:tc>
      </w:tr>
      <w:tr>
        <w:trPr>
          <w:trHeight w:val="206"/>
        </w:trPr>
        <w:tc>
          <w:tcPr>
            <w:tcW w:w="1400" w:type="dxa"/>
            <w:vAlign w:val="bottom"/>
            <w:gridSpan w:val="2"/>
            <w:vMerge w:val="continue"/>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(“TCCA”) fees</w:t>
            </w:r>
          </w:p>
        </w:tc>
        <w:tc>
          <w:tcPr>
            <w:tcW w:w="1500" w:type="dxa"/>
            <w:vAlign w:val="bottom"/>
            <w:gridSpan w:val="2"/>
          </w:tcPr>
          <w:p>
            <w:pPr>
              <w:ind w:left="20"/>
              <w:spacing w:after="0"/>
              <w:rPr>
                <w:sz w:val="20"/>
                <w:szCs w:val="20"/>
                <w:color w:val="auto"/>
              </w:rPr>
            </w:pPr>
            <w:r>
              <w:rPr>
                <w:rFonts w:ascii="Arial" w:cs="Arial" w:eastAsia="Arial" w:hAnsi="Arial"/>
                <w:sz w:val="15"/>
                <w:szCs w:val="15"/>
                <w:color w:val="auto"/>
              </w:rPr>
              <w:t>assessments</w:t>
            </w:r>
          </w:p>
        </w:tc>
        <w:tc>
          <w:tcPr>
            <w:tcW w:w="1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400" w:type="dxa"/>
            <w:vAlign w:val="bottom"/>
            <w:gridSpan w:val="2"/>
            <w:vMerge w:val="restart"/>
          </w:tcPr>
          <w:p>
            <w:pPr>
              <w:ind w:left="20"/>
              <w:spacing w:after="0"/>
              <w:rPr>
                <w:sz w:val="20"/>
                <w:szCs w:val="20"/>
                <w:color w:val="auto"/>
              </w:rPr>
            </w:pPr>
            <w:r>
              <w:rPr>
                <w:rFonts w:ascii="Arial" w:cs="Arial" w:eastAsia="Arial" w:hAnsi="Arial"/>
                <w:sz w:val="15"/>
                <w:szCs w:val="15"/>
                <w:color w:val="auto"/>
              </w:rPr>
              <w:t>Treasury</w:t>
            </w:r>
          </w:p>
        </w:tc>
        <w:tc>
          <w:tcPr>
            <w:tcW w:w="2940" w:type="dxa"/>
            <w:vAlign w:val="bottom"/>
            <w:gridSpan w:val="2"/>
            <w:vMerge w:val="restart"/>
          </w:tcPr>
          <w:p>
            <w:pPr>
              <w:ind w:left="20"/>
              <w:spacing w:after="0"/>
              <w:rPr>
                <w:sz w:val="20"/>
                <w:szCs w:val="20"/>
                <w:color w:val="auto"/>
              </w:rPr>
            </w:pPr>
            <w:r>
              <w:rPr>
                <w:rFonts w:ascii="Arial" w:cs="Arial" w:eastAsia="Arial" w:hAnsi="Arial"/>
                <w:sz w:val="15"/>
                <w:szCs w:val="15"/>
                <w:color w:val="auto"/>
              </w:rPr>
              <w:t>Treasury’s Capital Magnet Fund</w:t>
            </w:r>
          </w:p>
        </w:tc>
        <w:tc>
          <w:tcPr>
            <w:tcW w:w="15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Legislative</w:t>
            </w:r>
          </w:p>
        </w:tc>
        <w:tc>
          <w:tcPr>
            <w:tcW w:w="120" w:type="dxa"/>
            <w:vAlign w:val="bottom"/>
          </w:tcPr>
          <w:p>
            <w:pPr>
              <w:spacing w:after="0"/>
              <w:rPr>
                <w:sz w:val="13"/>
                <w:szCs w:val="13"/>
                <w:color w:val="auto"/>
              </w:rPr>
            </w:pPr>
          </w:p>
        </w:tc>
        <w:tc>
          <w:tcPr>
            <w:tcW w:w="10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11</w:t>
            </w:r>
          </w:p>
        </w:tc>
        <w:tc>
          <w:tcPr>
            <w:tcW w:w="4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11</w:t>
            </w:r>
          </w:p>
        </w:tc>
        <w:tc>
          <w:tcPr>
            <w:tcW w:w="2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6"/>
        </w:trPr>
        <w:tc>
          <w:tcPr>
            <w:tcW w:w="1400" w:type="dxa"/>
            <w:vAlign w:val="bottom"/>
            <w:gridSpan w:val="2"/>
            <w:vMerge w:val="continue"/>
          </w:tcPr>
          <w:p>
            <w:pPr>
              <w:spacing w:after="0"/>
              <w:rPr>
                <w:sz w:val="17"/>
                <w:szCs w:val="17"/>
                <w:color w:val="auto"/>
              </w:rPr>
            </w:pPr>
          </w:p>
        </w:tc>
        <w:tc>
          <w:tcPr>
            <w:tcW w:w="2940" w:type="dxa"/>
            <w:vAlign w:val="bottom"/>
            <w:gridSpan w:val="2"/>
            <w:vMerge w:val="continue"/>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color w:val="auto"/>
              </w:rPr>
              <w:t>assessments</w:t>
            </w: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400" w:type="dxa"/>
            <w:vAlign w:val="bottom"/>
            <w:gridSpan w:val="2"/>
            <w:vMerge w:val="restart"/>
          </w:tcPr>
          <w:p>
            <w:pPr>
              <w:ind w:left="20"/>
              <w:spacing w:after="0"/>
              <w:rPr>
                <w:sz w:val="20"/>
                <w:szCs w:val="20"/>
                <w:color w:val="auto"/>
              </w:rPr>
            </w:pPr>
            <w:r>
              <w:rPr>
                <w:rFonts w:ascii="Arial" w:cs="Arial" w:eastAsia="Arial" w:hAnsi="Arial"/>
                <w:sz w:val="15"/>
                <w:szCs w:val="15"/>
                <w:color w:val="auto"/>
              </w:rPr>
              <w:t>FHFA</w:t>
            </w:r>
          </w:p>
        </w:tc>
        <w:tc>
          <w:tcPr>
            <w:tcW w:w="2940" w:type="dxa"/>
            <w:vAlign w:val="bottom"/>
            <w:gridSpan w:val="2"/>
            <w:vMerge w:val="restart"/>
          </w:tcPr>
          <w:p>
            <w:pPr>
              <w:ind w:left="20"/>
              <w:spacing w:after="0"/>
              <w:rPr>
                <w:sz w:val="20"/>
                <w:szCs w:val="20"/>
                <w:color w:val="auto"/>
              </w:rPr>
            </w:pPr>
            <w:r>
              <w:rPr>
                <w:rFonts w:ascii="Arial" w:cs="Arial" w:eastAsia="Arial" w:hAnsi="Arial"/>
                <w:sz w:val="15"/>
                <w:szCs w:val="15"/>
                <w:color w:val="auto"/>
              </w:rPr>
              <w:t>FHFA assessments</w:t>
            </w:r>
          </w:p>
        </w:tc>
        <w:tc>
          <w:tcPr>
            <w:tcW w:w="15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Legislative</w:t>
            </w:r>
          </w:p>
        </w:tc>
        <w:tc>
          <w:tcPr>
            <w:tcW w:w="120" w:type="dxa"/>
            <w:vAlign w:val="bottom"/>
          </w:tcPr>
          <w:p>
            <w:pPr>
              <w:spacing w:after="0"/>
              <w:rPr>
                <w:sz w:val="13"/>
                <w:szCs w:val="13"/>
                <w:color w:val="auto"/>
              </w:rPr>
            </w:pPr>
          </w:p>
        </w:tc>
        <w:tc>
          <w:tcPr>
            <w:tcW w:w="10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40</w:t>
            </w:r>
          </w:p>
        </w:tc>
        <w:tc>
          <w:tcPr>
            <w:tcW w:w="4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1400" w:type="dxa"/>
            <w:vAlign w:val="bottom"/>
            <w:gridSpan w:val="2"/>
            <w:vMerge w:val="continue"/>
          </w:tcPr>
          <w:p>
            <w:pPr>
              <w:spacing w:after="0"/>
              <w:rPr>
                <w:sz w:val="17"/>
                <w:szCs w:val="17"/>
                <w:color w:val="auto"/>
              </w:rPr>
            </w:pPr>
          </w:p>
        </w:tc>
        <w:tc>
          <w:tcPr>
            <w:tcW w:w="2940" w:type="dxa"/>
            <w:vAlign w:val="bottom"/>
            <w:gridSpan w:val="2"/>
            <w:vMerge w:val="continue"/>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color w:val="auto"/>
              </w:rPr>
              <w:t>assessments</w:t>
            </w: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4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CSS &amp;</w:t>
            </w:r>
          </w:p>
        </w:tc>
        <w:tc>
          <w:tcPr>
            <w:tcW w:w="294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Net operating losses associated with our</w:t>
            </w:r>
          </w:p>
        </w:tc>
        <w:tc>
          <w:tcPr>
            <w:tcW w:w="150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Other income</w:t>
            </w:r>
          </w:p>
        </w:tc>
        <w:tc>
          <w:tcPr>
            <w:tcW w:w="120" w:type="dxa"/>
            <w:vAlign w:val="bottom"/>
          </w:tcPr>
          <w:p>
            <w:pPr>
              <w:spacing w:after="0"/>
              <w:rPr>
                <w:sz w:val="13"/>
                <w:szCs w:val="13"/>
                <w:color w:val="auto"/>
              </w:rPr>
            </w:pPr>
          </w:p>
        </w:tc>
        <w:tc>
          <w:tcPr>
            <w:tcW w:w="10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27</w:t>
            </w:r>
          </w:p>
        </w:tc>
        <w:tc>
          <w:tcPr>
            <w:tcW w:w="4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1400" w:type="dxa"/>
            <w:vAlign w:val="bottom"/>
            <w:gridSpan w:val="2"/>
          </w:tcPr>
          <w:p>
            <w:pPr>
              <w:ind w:left="20"/>
              <w:spacing w:after="0"/>
              <w:rPr>
                <w:sz w:val="20"/>
                <w:szCs w:val="20"/>
                <w:color w:val="auto"/>
              </w:rPr>
            </w:pPr>
            <w:r>
              <w:rPr>
                <w:rFonts w:ascii="Arial" w:cs="Arial" w:eastAsia="Arial" w:hAnsi="Arial"/>
                <w:sz w:val="15"/>
                <w:szCs w:val="15"/>
                <w:color w:val="auto"/>
              </w:rPr>
              <w:t>Freddie Mac</w:t>
            </w: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investment in CSS</w:t>
            </w:r>
          </w:p>
        </w:tc>
        <w:tc>
          <w:tcPr>
            <w:tcW w:w="1500" w:type="dxa"/>
            <w:vAlign w:val="bottom"/>
            <w:gridSpan w:val="2"/>
          </w:tcPr>
          <w:p>
            <w:pPr>
              <w:ind w:left="20"/>
              <w:spacing w:after="0"/>
              <w:rPr>
                <w:sz w:val="20"/>
                <w:szCs w:val="20"/>
                <w:color w:val="auto"/>
              </w:rPr>
            </w:pPr>
            <w:r>
              <w:rPr>
                <w:rFonts w:ascii="Arial" w:cs="Arial" w:eastAsia="Arial" w:hAnsi="Arial"/>
                <w:sz w:val="15"/>
                <w:szCs w:val="15"/>
                <w:color w:val="auto"/>
              </w:rPr>
              <w:t>(expense), net</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421640</wp:posOffset>
            </wp:positionV>
            <wp:extent cx="68059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color w:val="05314D"/>
        </w:rPr>
        <w:t>Notes to Condensed Consolidated Financial Statements | Conservatorship, Senior Preferred Stock Purchase Agreement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7122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In the ordinary course of business, Fannie Mae may purchase and sell securities issued by Treasury and Freddie Mac in the capital markets. Some of the structured securities we issue are backed in whole or in part by Freddie Mac securities. Fannie Mae and Freddie Mac each have agreed to indemnify the other party for losses caused by: its failure to meet its payment or other specified obligations under the trust agreements pursuant to which the underlying resecuritized securities were issued; its failure to meet its obligations under the customer services agreement; its violations of laws; or with respect to material misstatements or omissions in offering documents, ongoing disclosures and materials relating to the underlying resecuritized securities. We also make regular income tax payments to and receive tax refunds from the Internal Revenue Service (“IRS”), a bureau of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68" w:name="page69"/>
    <w:bookmarkEnd w:id="68"/>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3. Consolidations and Transfers of Financial Assets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interests in various entities that are considered to be variable interest entities (“VIEs”). The primary types of VIEs are securitization and resecuritization trusts, limited partnerships and special purpose vehicles (“SPVs”). Variable interests from Freddie Mac and other issuers may include a guaranty that reduces our exposure to credit risk when we hold them as investments or resecuritize them in a resecuritization trust that issues MBS that are backed by our guaranty. We consolidate the substantial majority of our single-class securitization trusts because our role as guarantor and master servicer provides us with the power to direct activities (primarily the servicing of mortgage loans) that impact the credit risk to which we are exposed. In contrast, we do not consolidate single-class securitization trusts when other organizations have the power to direct these activities unless we have the unilateral ability to dissolve the trust. We also do not consolidate our resecuritization trusts unless we have the unilateral ability to dissolve the trust. We may include securities issued by Freddie Mac in some of our resecuritization trusts. The mortgage loans that serve as collateral for Freddie Mac-issued securities are not held in trusts that are consolidated by Fannie Mae.</w:t>
      </w:r>
    </w:p>
    <w:p>
      <w:pPr>
        <w:spacing w:after="0" w:line="90"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Unconsolidated VIEs</w:t>
      </w:r>
    </w:p>
    <w:p>
      <w:pPr>
        <w:spacing w:after="0" w:line="8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do not consolidate VIEs when we are not deemed to be the primary beneficiary. The following table displays the carrying amount and classification of our assets and liabilities that relate to our involvement with unconsolidated securitization and resecuritization trusts.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800" w:type="dxa"/>
            <w:vAlign w:val="bottom"/>
            <w:tcBorders>
              <w:bottom w:val="single" w:sz="8" w:color="2C6937"/>
            </w:tcBorders>
          </w:tcPr>
          <w:p>
            <w:pPr>
              <w:spacing w:after="0"/>
              <w:rPr>
                <w:sz w:val="18"/>
                <w:szCs w:val="18"/>
                <w:color w:val="auto"/>
              </w:rPr>
            </w:pPr>
          </w:p>
        </w:tc>
      </w:tr>
      <w:tr>
        <w:trPr>
          <w:trHeight w:val="199"/>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March 31, 2025</w:t>
            </w:r>
          </w:p>
        </w:tc>
        <w:tc>
          <w:tcPr>
            <w:tcW w:w="4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2024</w:t>
            </w:r>
          </w:p>
        </w:tc>
      </w:tr>
      <w:tr>
        <w:trPr>
          <w:trHeight w:val="207"/>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5"/>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199"/>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Assets and liabilities recorded in our condensed consolidated balance sheets related to</w:t>
            </w: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4"/>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unconsolidated mortgage-backed trusts:</w:t>
            </w: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3"/>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1560" w:type="dxa"/>
            <w:vAlign w:val="bottom"/>
          </w:tcPr>
          <w:p>
            <w:pPr>
              <w:jc w:val="right"/>
              <w:ind w:right="138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1,094</w:t>
            </w:r>
          </w:p>
        </w:tc>
        <w:tc>
          <w:tcPr>
            <w:tcW w:w="10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1,182</w:t>
            </w:r>
          </w:p>
        </w:tc>
      </w:tr>
      <w:tr>
        <w:trPr>
          <w:trHeight w:val="224"/>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Other assets</w:t>
            </w:r>
          </w:p>
        </w:tc>
        <w:tc>
          <w:tcPr>
            <w:tcW w:w="1560" w:type="dxa"/>
            <w:vAlign w:val="bottom"/>
          </w:tcPr>
          <w:p>
            <w:pPr>
              <w:spacing w:after="0"/>
              <w:rPr>
                <w:sz w:val="19"/>
                <w:szCs w:val="19"/>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b w:val="1"/>
                <w:bCs w:val="1"/>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8"/>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1560" w:type="dxa"/>
            <w:vAlign w:val="bottom"/>
            <w:tcBorders>
              <w:bottom w:val="single" w:sz="8" w:color="2C6937"/>
            </w:tcBorders>
          </w:tcPr>
          <w:p>
            <w:pPr>
              <w:spacing w:after="0"/>
              <w:rPr>
                <w:sz w:val="18"/>
                <w:szCs w:val="18"/>
                <w:color w:val="auto"/>
              </w:rPr>
            </w:pPr>
          </w:p>
        </w:tc>
        <w:tc>
          <w:tcPr>
            <w:tcW w:w="4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(37)</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w:t>
            </w:r>
          </w:p>
        </w:tc>
      </w:tr>
      <w:tr>
        <w:trPr>
          <w:trHeight w:val="19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Net carrying amount</w:t>
            </w:r>
          </w:p>
        </w:tc>
        <w:tc>
          <w:tcPr>
            <w:tcW w:w="1560" w:type="dxa"/>
            <w:vAlign w:val="bottom"/>
          </w:tcPr>
          <w:p>
            <w:pPr>
              <w:jc w:val="right"/>
              <w:ind w:right="138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1,089</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1,177</w:t>
            </w:r>
          </w:p>
        </w:tc>
      </w:tr>
      <w:tr>
        <w:trPr>
          <w:trHeight w:val="20"/>
        </w:trPr>
        <w:tc>
          <w:tcPr>
            <w:tcW w:w="7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maximum exposure to loss generally represents the greater of our carrying amount related to our involvement with unconsolidated securitization and resecuritization trusts or the unpaid principal balance of the assets covered by our guaranty. Our involvement in unconsolidated resecuritization trusts may give rise to additional exposure to loss depending on the type of resecuritization trust. Fannie Mae resecuritization trusts that are backed entirely by Fannie Mae MBS are not consolidated and do not give rise to any additional exposure to loss as we already consolidate the underlying collateral. In contrast, Fannie Mae resecuritization trusts that are backed in whole or in part by Freddie Mac securities may increase our exposure to loss to the extent that we are providing a guaranty for the timely payment and interest on the underlying Freddie Mac securities that we have not previously guaranteed. Our maximum exposure to loss for these unconsolidated trusts is measured by the amount of Freddie Mac securities that are held in these resecuritization trusts.</w:t>
      </w:r>
    </w:p>
    <w:p>
      <w:pPr>
        <w:spacing w:after="0" w:line="4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maximum exposure to loss related to unconsolidated securitization and resecuritization trusts, which includes but is not limited to our exposure to these Freddie Mac securities, was approximately $199 billion and $203 billion as of March 31, 2025 and December 31, 2024, respectively. The total assets of our unconsolidated securitization and resecuritization trusts were approximately $200 billion and $204 billion as of March 31, 2025 and December 31, 2024, respectively.</w:t>
      </w:r>
    </w:p>
    <w:p>
      <w:pPr>
        <w:spacing w:after="0" w:line="33"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The maximum exposure to loss for our unconsolidated limited partnerships and similar legal entities, which consist primarily of low income housing tax credit (“LIHTC”) investments, was $697 million and the related net carrying value was $697 million as of March 31, 2025. As of December 31, 2024, the maximum exposure to loss was $669 million and the related net carrying value was $669 million. The total assets of these limited partnership investments were $6.3 billion and $6.4 billion as of March 31, 2025 and December 31, 2024, respectively.</w:t>
      </w:r>
    </w:p>
    <w:p>
      <w:pPr>
        <w:spacing w:after="0" w:line="33"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The maximum exposure to loss related to our involvement with unconsolidated SPVs that transfer credit risk represents the unpaid principal balance and accrued interest payable of obligations issued by our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Multifamily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(“MCAS</w:t>
      </w:r>
      <w:r>
        <w:rPr>
          <w:rFonts w:ascii="Arial" w:cs="Arial" w:eastAsia="Arial" w:hAnsi="Arial"/>
          <w:sz w:val="8"/>
          <w:szCs w:val="8"/>
          <w:color w:val="auto"/>
        </w:rPr>
        <w:t>TM</w:t>
      </w:r>
      <w:r>
        <w:rPr>
          <w:rFonts w:ascii="Arial" w:cs="Arial" w:eastAsia="Arial" w:hAnsi="Arial"/>
          <w:sz w:val="16"/>
          <w:szCs w:val="16"/>
          <w:color w:val="auto"/>
        </w:rPr>
        <w:t>”) SPVs. The maximum exposure to loss related to these unconsolidated SPVs was $24.2 billion and $23.2 billion as of March 31, 2025 and December 31, 2024, respectively. The total assets related to these unconsolidated SPVs were $24.2 billion and $23.2 billion as of March 31,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375920</wp:posOffset>
            </wp:positionV>
            <wp:extent cx="68059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9" w:name="page70"/>
    <w:bookmarkEnd w:id="69"/>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As our lending relationship does not provide us with a controlling financial interest in the borrower entity for loans in our multifamily loan portfolio, we do not consolidate these borrowers regardless of their status as either a VIE or a voting interest entity. We have excluded these entities from our VIE disclosures. As of March 31, 2025, the unpaid principal balance of our multifamily loan portfolio was $495.4 billion. However, the disclosures we have provided in “Note 4, Mortgage Loans,” “Note 5, Allowance for Loan Losses” and “Note 7, Financial Guarantees” with respect to this population are consistent with the FASB’s stated objectives for the disclosures related to unconsolidated VIEs.</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Transfers of Financial Assets and Portfolio Securitizations</w:t>
      </w:r>
    </w:p>
    <w:p>
      <w:pPr>
        <w:spacing w:after="0" w:line="6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We issue single-class Fannie Mae MBS through portfolio securitization transactions by transferring pools of mortgage loans or mortgage-related securities to one or more trusts or special purpose entities. For the three months ended March 31, 2025 and 2024, the unpaid principal balance of portfolio securitizations was $35.5 billion and $31.2 billion, respectively. We consolidate the substantial majority of these portfolio securitization transactions.</w:t>
      </w:r>
    </w:p>
    <w:p>
      <w:pPr>
        <w:spacing w:after="0" w:line="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retain interests from the transfer and sale of mortgage-related securities to unconsolidated single-class portfolio securitization trusts and unconsolidated single-class and multi -class portfolio resecuritization trusts. As of March 31, 2025, the unpaid principal balance of retained interests was $639 million and its related fair value was $1.0 billion. As of December 31, 2024, the unpaid principal balance of retained interests was $661 million and its related fair value was $1.0 billion. For the three months ended March 31, 2025 and 2024, the principal, interest and other fees received on retained interests was $57 million and $64 million, respectively.</w:t>
      </w:r>
    </w:p>
    <w:p>
      <w:pPr>
        <w:spacing w:after="0" w:line="1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4. Mortgage Loans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own single-family mortgage loans, which are secured by four or fewer residential dwelling units, and multifamily mortgage loans, which are secured by five or more residential dwelling units. We classify these loans as either held for investment (“HFI”) or held for sale (“HFS”). Unless otherwise noted, within “Note 4, Mortgage Loans,” we report the amortized cost of HFI loans for which we have not elected the fair value option at the unpaid principal balance, net of unamortized premiums and discounts, hedge-related basis adjustments, other cost basis adjustments, and accrued interest receivable. Within our condensed consolidated balance sheets, we present accrued interest receivable, net separately from the amortized cost of our loans held for investment. We report the carrying value of HFS loans at the lower of cost or fair value and record valuation changes in “Investment gains (losses), net” in our condensed consolidated statements of operations and comprehensive income.</w:t>
      </w:r>
    </w:p>
    <w:p>
      <w:pPr>
        <w:spacing w:after="0" w:line="43"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Within our single-family mortgage loan disclosures below, we display loans by class of financing receivable type. Financing receivable classes used for disclosure consist of: “20- and 30-year or more, amortizing fixed-rate,” “15-year or less, amortizing fixed-rate,” “Adjustable-rate,” and “Other.” The “Other” class primarily consists of reverse mortgage loans, interest-only loans, negative-amortizing loans and second liens.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carrying value of our mortgage loans and allowance for loan losses.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206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800" w:type="dxa"/>
            <w:vAlign w:val="bottom"/>
            <w:tcBorders>
              <w:bottom w:val="single" w:sz="8" w:color="2C6937"/>
            </w:tcBorders>
          </w:tcPr>
          <w:p>
            <w:pPr>
              <w:spacing w:after="0"/>
              <w:rPr>
                <w:sz w:val="18"/>
                <w:szCs w:val="18"/>
                <w:color w:val="auto"/>
              </w:rPr>
            </w:pPr>
          </w:p>
        </w:tc>
      </w:tr>
      <w:tr>
        <w:trPr>
          <w:trHeight w:val="202"/>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b w:val="1"/>
                <w:bCs w:val="1"/>
                <w:color w:val="auto"/>
              </w:rPr>
              <w:t>March 31, 2025</w:t>
            </w:r>
          </w:p>
        </w:tc>
        <w:tc>
          <w:tcPr>
            <w:tcW w:w="22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2024</w:t>
            </w:r>
          </w:p>
        </w:tc>
      </w:tr>
      <w:tr>
        <w:trPr>
          <w:trHeight w:val="296"/>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6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322"/>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3,604,747</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3,619,838</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495,424</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490,358</w:t>
            </w:r>
          </w:p>
        </w:tc>
      </w:tr>
      <w:tr>
        <w:trPr>
          <w:trHeight w:val="30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unpaid principal balance of mortgage loans</w:t>
            </w:r>
          </w:p>
        </w:tc>
        <w:tc>
          <w:tcPr>
            <w:tcW w:w="280" w:type="dxa"/>
            <w:vAlign w:val="bottom"/>
          </w:tcPr>
          <w:p>
            <w:pPr>
              <w:spacing w:after="0"/>
              <w:rPr>
                <w:sz w:val="24"/>
                <w:szCs w:val="24"/>
                <w:color w:val="auto"/>
              </w:rPr>
            </w:pP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4,100,171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4,110,196</w:t>
            </w:r>
          </w:p>
        </w:tc>
      </w:tr>
      <w:tr>
        <w:trPr>
          <w:trHeight w:val="309"/>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Cost basis and fair value adjustments, net</w:t>
            </w:r>
          </w:p>
        </w:tc>
        <w:tc>
          <w:tcPr>
            <w:tcW w:w="280" w:type="dxa"/>
            <w:vAlign w:val="bottom"/>
          </w:tcPr>
          <w:p>
            <w:pPr>
              <w:spacing w:after="0"/>
              <w:rPr>
                <w:sz w:val="24"/>
                <w:szCs w:val="24"/>
                <w:color w:val="auto"/>
              </w:rPr>
            </w:pP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34,537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35,517</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 for HFI loans</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(7,532)</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(7,707)</w:t>
            </w:r>
          </w:p>
        </w:tc>
      </w:tr>
      <w:tr>
        <w:trPr>
          <w:trHeight w:val="302"/>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(1)</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4,127,176</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4,138,006</w:t>
            </w:r>
          </w:p>
        </w:tc>
      </w:tr>
      <w:tr>
        <w:trPr>
          <w:trHeight w:val="20"/>
        </w:trPr>
        <w:tc>
          <w:tcPr>
            <w:tcW w:w="7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59"/>
        </w:numPr>
        <w:rPr>
          <w:rFonts w:ascii="Arial" w:cs="Arial" w:eastAsia="Arial" w:hAnsi="Arial"/>
          <w:sz w:val="9"/>
          <w:szCs w:val="9"/>
          <w:color w:val="auto"/>
        </w:rPr>
      </w:pPr>
      <w:r>
        <w:rPr>
          <w:rFonts w:ascii="Arial" w:cs="Arial" w:eastAsia="Arial" w:hAnsi="Arial"/>
          <w:sz w:val="14"/>
          <w:szCs w:val="14"/>
          <w:color w:val="auto"/>
        </w:rPr>
        <w:t>Excludes $11.0 billion and $10.8 billion of accrued interest receivable as of March 31, 2025 and December 31, 2024, respectively.</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25" w:lineRule="exact"/>
        <w:rPr>
          <w:rFonts w:ascii="Arial" w:cs="Arial" w:eastAsia="Arial" w:hAnsi="Arial"/>
          <w:sz w:val="9"/>
          <w:szCs w:val="9"/>
          <w:color w:val="auto"/>
        </w:rPr>
      </w:pPr>
    </w:p>
    <w:p>
      <w:pPr>
        <w:ind w:left="640"/>
        <w:spacing w:after="0"/>
        <w:rPr>
          <w:rFonts w:ascii="Arial" w:cs="Arial" w:eastAsia="Arial" w:hAnsi="Arial"/>
          <w:sz w:val="9"/>
          <w:szCs w:val="9"/>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purchase of HFI loans, redesignation of loans and the sales of mortgage loans during the period.</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880" w:type="dxa"/>
            <w:vAlign w:val="bottom"/>
          </w:tcPr>
          <w:p>
            <w:pPr>
              <w:spacing w:after="0"/>
              <w:rPr>
                <w:sz w:val="18"/>
                <w:szCs w:val="18"/>
                <w:color w:val="auto"/>
              </w:rPr>
            </w:pPr>
          </w:p>
        </w:tc>
        <w:tc>
          <w:tcPr>
            <w:tcW w:w="3200" w:type="dxa"/>
            <w:vAlign w:val="bottom"/>
            <w:tcBorders>
              <w:bottom w:val="single" w:sz="8" w:color="2C6937"/>
            </w:tcBorders>
            <w:gridSpan w:val="5"/>
          </w:tcPr>
          <w:p>
            <w:pPr>
              <w:jc w:val="right"/>
              <w:ind w:right="103"/>
              <w:spacing w:after="0"/>
              <w:rPr>
                <w:sz w:val="20"/>
                <w:szCs w:val="20"/>
                <w:color w:val="auto"/>
              </w:rPr>
            </w:pPr>
            <w:r>
              <w:rPr>
                <w:rFonts w:ascii="Arial" w:cs="Arial" w:eastAsia="Arial" w:hAnsi="Arial"/>
                <w:sz w:val="15"/>
                <w:szCs w:val="15"/>
                <w:b w:val="1"/>
                <w:bCs w:val="1"/>
                <w:color w:val="auto"/>
              </w:rPr>
              <w:t>For the Three Months Ended March 31,</w:t>
            </w:r>
          </w:p>
        </w:tc>
      </w:tr>
      <w:tr>
        <w:trPr>
          <w:trHeight w:val="199"/>
        </w:trPr>
        <w:tc>
          <w:tcPr>
            <w:tcW w:w="7880" w:type="dxa"/>
            <w:vAlign w:val="bottom"/>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2025</w:t>
            </w:r>
          </w:p>
        </w:tc>
        <w:tc>
          <w:tcPr>
            <w:tcW w:w="5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2024</w:t>
            </w:r>
          </w:p>
        </w:tc>
        <w:tc>
          <w:tcPr>
            <w:tcW w:w="580" w:type="dxa"/>
            <w:vAlign w:val="bottom"/>
            <w:tcBorders>
              <w:bottom w:val="single" w:sz="8" w:color="2C6937"/>
            </w:tcBorders>
          </w:tcPr>
          <w:p>
            <w:pPr>
              <w:spacing w:after="0"/>
              <w:rPr>
                <w:sz w:val="17"/>
                <w:szCs w:val="17"/>
                <w:color w:val="auto"/>
              </w:rPr>
            </w:pPr>
          </w:p>
        </w:tc>
      </w:tr>
      <w:tr>
        <w:trPr>
          <w:trHeight w:val="283"/>
        </w:trPr>
        <w:tc>
          <w:tcPr>
            <w:tcW w:w="7880" w:type="dxa"/>
            <w:vAlign w:val="bottom"/>
          </w:tcPr>
          <w:p>
            <w:pPr>
              <w:spacing w:after="0"/>
              <w:rPr>
                <w:sz w:val="24"/>
                <w:szCs w:val="24"/>
                <w:color w:val="auto"/>
              </w:rPr>
            </w:pPr>
          </w:p>
        </w:tc>
        <w:tc>
          <w:tcPr>
            <w:tcW w:w="2620" w:type="dxa"/>
            <w:vAlign w:val="bottom"/>
            <w:gridSpan w:val="4"/>
          </w:tcPr>
          <w:p>
            <w:pPr>
              <w:jc w:val="right"/>
              <w:ind w:right="283"/>
              <w:spacing w:after="0"/>
              <w:rPr>
                <w:sz w:val="20"/>
                <w:szCs w:val="20"/>
                <w:color w:val="auto"/>
              </w:rPr>
            </w:pPr>
            <w:r>
              <w:rPr>
                <w:rFonts w:ascii="Arial" w:cs="Arial" w:eastAsia="Arial" w:hAnsi="Arial"/>
                <w:sz w:val="15"/>
                <w:szCs w:val="15"/>
                <w:b w:val="1"/>
                <w:bCs w:val="1"/>
                <w:color w:val="auto"/>
              </w:rPr>
              <w:t>(Dollars in millions)</w:t>
            </w:r>
          </w:p>
        </w:tc>
        <w:tc>
          <w:tcPr>
            <w:tcW w:w="580" w:type="dxa"/>
            <w:vAlign w:val="bottom"/>
          </w:tcPr>
          <w:p>
            <w:pPr>
              <w:spacing w:after="0"/>
              <w:rPr>
                <w:sz w:val="24"/>
                <w:szCs w:val="24"/>
                <w:color w:val="auto"/>
              </w:rPr>
            </w:pPr>
          </w:p>
        </w:tc>
      </w:tr>
      <w:tr>
        <w:trPr>
          <w:trHeight w:val="224"/>
        </w:trPr>
        <w:tc>
          <w:tcPr>
            <w:tcW w:w="7880" w:type="dxa"/>
            <w:vAlign w:val="bottom"/>
          </w:tcPr>
          <w:p>
            <w:pPr>
              <w:spacing w:after="0"/>
              <w:rPr>
                <w:sz w:val="20"/>
                <w:szCs w:val="20"/>
                <w:color w:val="auto"/>
              </w:rPr>
            </w:pPr>
            <w:r>
              <w:rPr>
                <w:rFonts w:ascii="Arial" w:cs="Arial" w:eastAsia="Arial" w:hAnsi="Arial"/>
                <w:sz w:val="15"/>
                <w:szCs w:val="15"/>
                <w:color w:val="auto"/>
              </w:rPr>
              <w:t>Purchase of HFI loans: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3"/>
        </w:trPr>
        <w:tc>
          <w:tcPr>
            <w:tcW w:w="7880" w:type="dxa"/>
            <w:vAlign w:val="bottom"/>
          </w:tcPr>
          <w:p>
            <w:pPr>
              <w:ind w:left="160"/>
              <w:spacing w:after="0"/>
              <w:rPr>
                <w:sz w:val="20"/>
                <w:szCs w:val="20"/>
                <w:color w:val="auto"/>
              </w:rPr>
            </w:pPr>
            <w:r>
              <w:rPr>
                <w:rFonts w:ascii="Arial" w:cs="Arial" w:eastAsia="Arial" w:hAnsi="Arial"/>
                <w:sz w:val="15"/>
                <w:szCs w:val="15"/>
                <w:color w:val="auto"/>
              </w:rPr>
              <w:t>Single-family unpaid principal balance</w:t>
            </w:r>
          </w:p>
        </w:tc>
        <w:tc>
          <w:tcPr>
            <w:tcW w:w="960" w:type="dxa"/>
            <w:vAlign w:val="bottom"/>
          </w:tcPr>
          <w:p>
            <w:pPr>
              <w:jc w:val="right"/>
              <w:ind w:right="783"/>
              <w:spacing w:after="0"/>
              <w:rPr>
                <w:sz w:val="20"/>
                <w:szCs w:val="20"/>
                <w:color w:val="auto"/>
              </w:rPr>
            </w:pPr>
            <w:r>
              <w:rPr>
                <w:rFonts w:ascii="Arial" w:cs="Arial" w:eastAsia="Arial" w:hAnsi="Arial"/>
                <w:sz w:val="15"/>
                <w:szCs w:val="15"/>
                <w:b w:val="1"/>
                <w:bCs w:val="1"/>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63,627</w:t>
            </w:r>
          </w:p>
        </w:tc>
        <w:tc>
          <w:tcPr>
            <w:tcW w:w="100" w:type="dxa"/>
            <w:vAlign w:val="bottom"/>
          </w:tcPr>
          <w:p>
            <w:pPr>
              <w:spacing w:after="0"/>
              <w:rPr>
                <w:sz w:val="21"/>
                <w:szCs w:val="21"/>
                <w:color w:val="auto"/>
              </w:rPr>
            </w:pPr>
          </w:p>
        </w:tc>
        <w:tc>
          <w:tcPr>
            <w:tcW w:w="980" w:type="dxa"/>
            <w:vAlign w:val="bottom"/>
          </w:tcPr>
          <w:p>
            <w:pPr>
              <w:jc w:val="right"/>
              <w:ind w:right="803"/>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62,290</w:t>
            </w:r>
          </w:p>
        </w:tc>
      </w:tr>
      <w:tr>
        <w:trPr>
          <w:trHeight w:val="232"/>
        </w:trPr>
        <w:tc>
          <w:tcPr>
            <w:tcW w:w="7880" w:type="dxa"/>
            <w:vAlign w:val="bottom"/>
          </w:tcPr>
          <w:p>
            <w:pPr>
              <w:ind w:left="160"/>
              <w:spacing w:after="0"/>
              <w:rPr>
                <w:sz w:val="20"/>
                <w:szCs w:val="20"/>
                <w:color w:val="auto"/>
              </w:rPr>
            </w:pPr>
            <w:r>
              <w:rPr>
                <w:rFonts w:ascii="Arial" w:cs="Arial" w:eastAsia="Arial" w:hAnsi="Arial"/>
                <w:sz w:val="15"/>
                <w:szCs w:val="15"/>
                <w:color w:val="auto"/>
              </w:rPr>
              <w:t>Multifamily unpaid principal balance</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11,514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10,068</w:t>
            </w:r>
          </w:p>
        </w:tc>
      </w:tr>
      <w:tr>
        <w:trPr>
          <w:trHeight w:val="392"/>
        </w:trPr>
        <w:tc>
          <w:tcPr>
            <w:tcW w:w="7880" w:type="dxa"/>
            <w:vAlign w:val="bottom"/>
          </w:tcPr>
          <w:p>
            <w:pPr>
              <w:spacing w:after="0"/>
              <w:rPr>
                <w:sz w:val="20"/>
                <w:szCs w:val="20"/>
                <w:color w:val="auto"/>
              </w:rPr>
            </w:pPr>
            <w:r>
              <w:rPr>
                <w:rFonts w:ascii="Arial" w:cs="Arial" w:eastAsia="Arial" w:hAnsi="Arial"/>
                <w:sz w:val="15"/>
                <w:szCs w:val="15"/>
                <w:color w:val="auto"/>
              </w:rPr>
              <w:t>Single-family loans redesignated from HFI to HFS: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0"/>
        </w:trPr>
        <w:tc>
          <w:tcPr>
            <w:tcW w:w="788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960" w:type="dxa"/>
            <w:vAlign w:val="bottom"/>
          </w:tcPr>
          <w:p>
            <w:pPr>
              <w:jc w:val="right"/>
              <w:ind w:right="783"/>
              <w:spacing w:after="0"/>
              <w:rPr>
                <w:sz w:val="20"/>
                <w:szCs w:val="20"/>
                <w:color w:val="auto"/>
              </w:rPr>
            </w:pPr>
            <w:r>
              <w:rPr>
                <w:rFonts w:ascii="Arial" w:cs="Arial" w:eastAsia="Arial" w:hAnsi="Arial"/>
                <w:sz w:val="15"/>
                <w:szCs w:val="15"/>
                <w:b w:val="1"/>
                <w:bCs w:val="1"/>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510</w:t>
            </w:r>
          </w:p>
        </w:tc>
        <w:tc>
          <w:tcPr>
            <w:tcW w:w="100" w:type="dxa"/>
            <w:vAlign w:val="bottom"/>
          </w:tcPr>
          <w:p>
            <w:pPr>
              <w:spacing w:after="0"/>
              <w:rPr>
                <w:sz w:val="24"/>
                <w:szCs w:val="24"/>
                <w:color w:val="auto"/>
              </w:rPr>
            </w:pPr>
          </w:p>
        </w:tc>
        <w:tc>
          <w:tcPr>
            <w:tcW w:w="980" w:type="dxa"/>
            <w:vAlign w:val="bottom"/>
          </w:tcPr>
          <w:p>
            <w:pPr>
              <w:jc w:val="right"/>
              <w:ind w:right="803"/>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236</w:t>
            </w:r>
          </w:p>
        </w:tc>
      </w:tr>
      <w:tr>
        <w:trPr>
          <w:trHeight w:val="355"/>
        </w:trPr>
        <w:tc>
          <w:tcPr>
            <w:tcW w:w="7880" w:type="dxa"/>
            <w:vAlign w:val="bottom"/>
          </w:tcPr>
          <w:p>
            <w:pPr>
              <w:ind w:left="160"/>
              <w:spacing w:after="0"/>
              <w:rPr>
                <w:sz w:val="20"/>
                <w:szCs w:val="20"/>
                <w:color w:val="auto"/>
              </w:rPr>
            </w:pPr>
            <w:r>
              <w:rPr>
                <w:rFonts w:ascii="Arial" w:cs="Arial" w:eastAsia="Arial" w:hAnsi="Arial"/>
                <w:sz w:val="15"/>
                <w:szCs w:val="15"/>
                <w:color w:val="auto"/>
              </w:rPr>
              <w:t>Lower of cost or fair value adjustment at time of redesignation</w:t>
            </w:r>
            <w:r>
              <w:rPr>
                <w:rFonts w:ascii="Arial" w:cs="Arial" w:eastAsia="Arial" w:hAnsi="Arial"/>
                <w:sz w:val="20"/>
                <w:szCs w:val="20"/>
                <w:color w:val="auto"/>
                <w:vertAlign w:val="superscript"/>
              </w:rPr>
              <w:t>(1)</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(69)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63"/>
        </w:trPr>
        <w:tc>
          <w:tcPr>
            <w:tcW w:w="7880" w:type="dxa"/>
            <w:vAlign w:val="bottom"/>
          </w:tcPr>
          <w:p>
            <w:pPr>
              <w:ind w:left="160"/>
              <w:spacing w:after="0"/>
              <w:rPr>
                <w:sz w:val="20"/>
                <w:szCs w:val="20"/>
                <w:color w:val="auto"/>
              </w:rPr>
            </w:pPr>
            <w:r>
              <w:rPr>
                <w:rFonts w:ascii="Arial" w:cs="Arial" w:eastAsia="Arial" w:hAnsi="Arial"/>
                <w:sz w:val="15"/>
                <w:szCs w:val="15"/>
                <w:color w:val="auto"/>
              </w:rPr>
              <w:t>Allowance reversed at time of redesignation</w:t>
            </w:r>
          </w:p>
        </w:tc>
        <w:tc>
          <w:tcPr>
            <w:tcW w:w="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392"/>
        </w:trPr>
        <w:tc>
          <w:tcPr>
            <w:tcW w:w="7880" w:type="dxa"/>
            <w:vAlign w:val="bottom"/>
          </w:tcPr>
          <w:p>
            <w:pPr>
              <w:spacing w:after="0"/>
              <w:rPr>
                <w:sz w:val="20"/>
                <w:szCs w:val="20"/>
                <w:color w:val="auto"/>
              </w:rPr>
            </w:pPr>
            <w:r>
              <w:rPr>
                <w:rFonts w:ascii="Arial" w:cs="Arial" w:eastAsia="Arial" w:hAnsi="Arial"/>
                <w:sz w:val="15"/>
                <w:szCs w:val="15"/>
                <w:color w:val="auto"/>
              </w:rPr>
              <w:t>Single-family loans sold:</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0"/>
        </w:trPr>
        <w:tc>
          <w:tcPr>
            <w:tcW w:w="7880" w:type="dxa"/>
            <w:vAlign w:val="bottom"/>
          </w:tcPr>
          <w:p>
            <w:pPr>
              <w:ind w:left="160"/>
              <w:spacing w:after="0"/>
              <w:rPr>
                <w:sz w:val="20"/>
                <w:szCs w:val="20"/>
                <w:color w:val="auto"/>
              </w:rPr>
            </w:pPr>
            <w:r>
              <w:rPr>
                <w:rFonts w:ascii="Arial" w:cs="Arial" w:eastAsia="Arial" w:hAnsi="Arial"/>
                <w:sz w:val="15"/>
                <w:szCs w:val="15"/>
                <w:color w:val="auto"/>
              </w:rPr>
              <w:t>Unpaid principal balance</w:t>
            </w:r>
          </w:p>
        </w:tc>
        <w:tc>
          <w:tcPr>
            <w:tcW w:w="960" w:type="dxa"/>
            <w:vAlign w:val="bottom"/>
          </w:tcPr>
          <w:p>
            <w:pPr>
              <w:jc w:val="right"/>
              <w:ind w:right="783"/>
              <w:spacing w:after="0"/>
              <w:rPr>
                <w:sz w:val="20"/>
                <w:szCs w:val="20"/>
                <w:color w:val="auto"/>
              </w:rPr>
            </w:pPr>
            <w:r>
              <w:rPr>
                <w:rFonts w:ascii="Arial" w:cs="Arial" w:eastAsia="Arial" w:hAnsi="Arial"/>
                <w:sz w:val="15"/>
                <w:szCs w:val="15"/>
                <w:b w:val="1"/>
                <w:bCs w:val="1"/>
                <w:color w:val="auto"/>
                <w:w w:val="95"/>
              </w:rPr>
              <w:t>$</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03"/>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499</w:t>
            </w:r>
          </w:p>
        </w:tc>
      </w:tr>
      <w:tr>
        <w:trPr>
          <w:trHeight w:val="309"/>
        </w:trPr>
        <w:tc>
          <w:tcPr>
            <w:tcW w:w="7880" w:type="dxa"/>
            <w:vAlign w:val="bottom"/>
          </w:tcPr>
          <w:p>
            <w:pPr>
              <w:ind w:left="160"/>
              <w:spacing w:after="0"/>
              <w:rPr>
                <w:sz w:val="20"/>
                <w:szCs w:val="20"/>
                <w:color w:val="auto"/>
              </w:rPr>
            </w:pPr>
            <w:r>
              <w:rPr>
                <w:rFonts w:ascii="Arial" w:cs="Arial" w:eastAsia="Arial" w:hAnsi="Arial"/>
                <w:sz w:val="15"/>
                <w:szCs w:val="15"/>
                <w:color w:val="auto"/>
              </w:rPr>
              <w:t>Realized gains (losses), net</w:t>
            </w:r>
          </w:p>
        </w:tc>
        <w:tc>
          <w:tcPr>
            <w:tcW w:w="9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spacing w:after="0"/>
              <w:rPr>
                <w:sz w:val="24"/>
                <w:szCs w:val="24"/>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5</w:t>
            </w:r>
          </w:p>
        </w:tc>
      </w:tr>
    </w:tbl>
    <w:p>
      <w:pPr>
        <w:spacing w:after="0" w:line="88" w:lineRule="exact"/>
        <w:rPr>
          <w:sz w:val="20"/>
          <w:szCs w:val="20"/>
          <w:color w:val="auto"/>
        </w:rPr>
      </w:pPr>
    </w:p>
    <w:p>
      <w:pPr>
        <w:ind w:left="220" w:hanging="217"/>
        <w:spacing w:after="0"/>
        <w:tabs>
          <w:tab w:leader="none" w:pos="22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Consists of the write-off against the allowance at the time of redesignation.</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28" w:lineRule="exact"/>
        <w:rPr>
          <w:rFonts w:ascii="Arial" w:cs="Arial" w:eastAsia="Arial" w:hAnsi="Arial"/>
          <w:sz w:val="18"/>
          <w:szCs w:val="18"/>
          <w:color w:val="auto"/>
          <w:vertAlign w:val="superscript"/>
        </w:rPr>
      </w:pPr>
    </w:p>
    <w:p>
      <w:pPr>
        <w:ind w:left="640"/>
        <w:spacing w:after="0"/>
        <w:rPr>
          <w:rFonts w:ascii="Arial" w:cs="Arial" w:eastAsia="Arial" w:hAnsi="Arial"/>
          <w:sz w:val="18"/>
          <w:szCs w:val="18"/>
          <w:color w:val="auto"/>
          <w:vertAlign w:val="superscript"/>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71" w:name="page72"/>
    <w:bookmarkEnd w:id="71"/>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Aging Analysis</w:t>
      </w:r>
    </w:p>
    <w:p>
      <w:pPr>
        <w:spacing w:after="0" w:line="6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The following tables display an aging analysis of the total amortized cost of our HFI mortgage loans by portfolio segment and class of financing receivable, excluding loans for which we have elected the fair value option.</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83" w:lineRule="auto"/>
        <w:rPr>
          <w:sz w:val="20"/>
          <w:szCs w:val="20"/>
          <w:color w:val="auto"/>
        </w:rPr>
      </w:pPr>
      <w:r>
        <w:rPr>
          <w:rFonts w:ascii="Arial" w:cs="Arial" w:eastAsia="Arial" w:hAnsi="Arial"/>
          <w:sz w:val="13"/>
          <w:szCs w:val="13"/>
          <w:color w:val="auto"/>
        </w:rPr>
        <w:t>20- and 30-year or more, amortizing fixed-rate</w:t>
      </w:r>
    </w:p>
    <w:p>
      <w:pPr>
        <w:spacing w:after="0" w:line="90"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Adjustable-rate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560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single-family</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560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560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560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560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93" w:lineRule="auto"/>
        <w:rPr>
          <w:sz w:val="20"/>
          <w:szCs w:val="20"/>
          <w:color w:val="auto"/>
        </w:rPr>
      </w:pPr>
      <w:r>
        <w:rPr>
          <w:rFonts w:ascii="Arial" w:cs="Arial" w:eastAsia="Arial" w:hAnsi="Arial"/>
          <w:sz w:val="13"/>
          <w:szCs w:val="13"/>
          <w:color w:val="auto"/>
        </w:rPr>
        <w:t>20- and 30-year or more, amortizing fixed-rate</w:t>
      </w:r>
    </w:p>
    <w:p>
      <w:pPr>
        <w:spacing w:after="0" w:line="71"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Adjustable-rate</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807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single-family</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8"/>
          <w:szCs w:val="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807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807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80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807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600075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7"/>
              </w:rPr>
              <w:t>Loans 90 Days</w:t>
            </w:r>
          </w:p>
        </w:tc>
        <w:tc>
          <w:tcPr>
            <w:tcW w:w="1060" w:type="dxa"/>
            <w:vAlign w:val="bottom"/>
          </w:tcPr>
          <w:p>
            <w:pPr>
              <w:spacing w:after="0"/>
              <w:rPr>
                <w:sz w:val="14"/>
                <w:szCs w:val="14"/>
                <w:color w:val="auto"/>
              </w:rPr>
            </w:pPr>
          </w:p>
        </w:tc>
      </w:tr>
      <w:tr>
        <w:trPr>
          <w:trHeight w:val="155"/>
        </w:trPr>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jc w:val="center"/>
              <w:ind w:left="91"/>
              <w:spacing w:after="0" w:line="155" w:lineRule="exact"/>
              <w:rPr>
                <w:sz w:val="20"/>
                <w:szCs w:val="20"/>
                <w:color w:val="auto"/>
              </w:rPr>
            </w:pPr>
            <w:r>
              <w:rPr>
                <w:rFonts w:ascii="Arial" w:cs="Arial" w:eastAsia="Arial" w:hAnsi="Arial"/>
                <w:sz w:val="14"/>
                <w:szCs w:val="14"/>
                <w:b w:val="1"/>
                <w:bCs w:val="1"/>
                <w:color w:val="auto"/>
              </w:rPr>
              <w:t>or More</w:t>
            </w:r>
          </w:p>
        </w:tc>
        <w:tc>
          <w:tcPr>
            <w:tcW w:w="1060" w:type="dxa"/>
            <w:vAlign w:val="bottom"/>
          </w:tcPr>
          <w:p>
            <w:pPr>
              <w:spacing w:after="0"/>
              <w:rPr>
                <w:sz w:val="13"/>
                <w:szCs w:val="13"/>
                <w:color w:val="auto"/>
              </w:rPr>
            </w:pPr>
          </w:p>
        </w:tc>
      </w:t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Delinquent and</w:t>
            </w:r>
          </w:p>
        </w:tc>
        <w:tc>
          <w:tcPr>
            <w:tcW w:w="1060" w:type="dxa"/>
            <w:vAlign w:val="bottom"/>
          </w:tcPr>
          <w:p>
            <w:pPr>
              <w:jc w:val="center"/>
              <w:ind w:left="51"/>
              <w:spacing w:after="0"/>
              <w:rPr>
                <w:sz w:val="20"/>
                <w:szCs w:val="20"/>
                <w:color w:val="auto"/>
              </w:rPr>
            </w:pPr>
            <w:r>
              <w:rPr>
                <w:rFonts w:ascii="Arial" w:cs="Arial" w:eastAsia="Arial" w:hAnsi="Arial"/>
                <w:sz w:val="14"/>
                <w:szCs w:val="14"/>
                <w:b w:val="1"/>
                <w:bCs w:val="1"/>
                <w:color w:val="auto"/>
                <w:w w:val="96"/>
              </w:rPr>
              <w:t>Nonaccrual</w:t>
            </w:r>
          </w:p>
        </w:tc>
      </w:tr>
      <w:tr>
        <w:trPr>
          <w:trHeight w:val="166"/>
        </w:trPr>
        <w:tc>
          <w:tcPr>
            <w:tcW w:w="980" w:type="dxa"/>
            <w:vAlign w:val="bottom"/>
          </w:tcPr>
          <w:p>
            <w:pPr>
              <w:jc w:val="center"/>
              <w:ind w:right="111"/>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Accruing</w:t>
            </w:r>
          </w:p>
        </w:tc>
        <w:tc>
          <w:tcPr>
            <w:tcW w:w="1060" w:type="dxa"/>
            <w:vAlign w:val="bottom"/>
          </w:tcPr>
          <w:p>
            <w:pPr>
              <w:jc w:val="center"/>
              <w:ind w:left="51"/>
              <w:spacing w:after="0"/>
              <w:rPr>
                <w:sz w:val="20"/>
                <w:szCs w:val="20"/>
                <w:color w:val="auto"/>
              </w:rPr>
            </w:pPr>
            <w:r>
              <w:rPr>
                <w:rFonts w:ascii="Arial" w:cs="Arial" w:eastAsia="Arial" w:hAnsi="Arial"/>
                <w:sz w:val="14"/>
                <w:szCs w:val="14"/>
                <w:b w:val="1"/>
                <w:bCs w:val="1"/>
                <w:color w:val="auto"/>
                <w:w w:val="98"/>
              </w:rPr>
              <w:t>Loans with No</w:t>
            </w:r>
          </w:p>
        </w:tc>
      </w:tr>
      <w:tr>
        <w:trPr>
          <w:trHeight w:val="242"/>
        </w:trPr>
        <w:tc>
          <w:tcPr>
            <w:tcW w:w="980" w:type="dxa"/>
            <w:vAlign w:val="bottom"/>
          </w:tcPr>
          <w:p>
            <w:pPr>
              <w:jc w:val="center"/>
              <w:ind w:right="111"/>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122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Delinquent</w:t>
            </w: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4"/>
              </w:rPr>
              <w:t>Interest</w:t>
            </w:r>
          </w:p>
        </w:tc>
        <w:tc>
          <w:tcPr>
            <w:tcW w:w="1060" w:type="dxa"/>
            <w:vAlign w:val="bottom"/>
          </w:tcPr>
          <w:p>
            <w:pPr>
              <w:jc w:val="center"/>
              <w:ind w:left="31"/>
              <w:spacing w:after="0"/>
              <w:rPr>
                <w:sz w:val="20"/>
                <w:szCs w:val="20"/>
                <w:color w:val="auto"/>
              </w:rPr>
            </w:pPr>
            <w:r>
              <w:rPr>
                <w:rFonts w:ascii="Arial" w:cs="Arial" w:eastAsia="Arial" w:hAnsi="Arial"/>
                <w:sz w:val="14"/>
                <w:szCs w:val="14"/>
                <w:b w:val="1"/>
                <w:bCs w:val="1"/>
                <w:color w:val="auto"/>
                <w:w w:val="98"/>
              </w:rPr>
              <w:t>Allowance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60007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28,699</w:t>
            </w:r>
          </w:p>
        </w:tc>
        <w:tc>
          <w:tcPr>
            <w:tcW w:w="10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8,159</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20,100</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56,958</w:t>
            </w:r>
          </w:p>
        </w:tc>
        <w:tc>
          <w:tcPr>
            <w:tcW w:w="100" w:type="dxa"/>
            <w:vAlign w:val="bottom"/>
          </w:tcPr>
          <w:p>
            <w:pPr>
              <w:spacing w:after="0"/>
              <w:rPr>
                <w:sz w:val="15"/>
                <w:szCs w:val="15"/>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3,187,685</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3,244,643</w:t>
            </w:r>
          </w:p>
        </w:tc>
        <w:tc>
          <w:tcPr>
            <w:tcW w:w="12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3,742</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2,164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354,526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356,690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24,493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24,766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18,769</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19,732</w:t>
            </w:r>
          </w:p>
        </w:tc>
        <w:tc>
          <w:tcPr>
            <w:tcW w:w="12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168</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30,565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8,617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21,176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60,358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3,585,473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3,645,831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4,128</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3,134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491,448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494,582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1,290</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31,414</w:t>
            </w:r>
          </w:p>
        </w:tc>
        <w:tc>
          <w:tcPr>
            <w:tcW w:w="10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8,617</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23,461</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63,492</w:t>
            </w:r>
          </w:p>
        </w:tc>
        <w:tc>
          <w:tcPr>
            <w:tcW w:w="100" w:type="dxa"/>
            <w:vAlign w:val="bottom"/>
          </w:tcPr>
          <w:p>
            <w:pPr>
              <w:spacing w:after="0"/>
              <w:rPr>
                <w:sz w:val="24"/>
                <w:szCs w:val="24"/>
                <w:color w:val="auto"/>
              </w:rPr>
            </w:pPr>
          </w:p>
        </w:tc>
        <w:tc>
          <w:tcPr>
            <w:tcW w:w="28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4,076,921</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4,140,413</w:t>
            </w:r>
          </w:p>
        </w:tc>
        <w:tc>
          <w:tcPr>
            <w:tcW w:w="12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5,418</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18415</wp:posOffset>
            </wp:positionV>
            <wp:extent cx="59924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92495" cy="8255"/>
                    </a:xfrm>
                    <a:prstGeom prst="rect">
                      <a:avLst/>
                    </a:prstGeom>
                    <a:noFill/>
                  </pic:spPr>
                </pic:pic>
              </a:graphicData>
            </a:graphic>
          </wp:anchor>
        </w:drawing>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Loans 90 Days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91"/>
              <w:spacing w:after="0"/>
              <w:rPr>
                <w:sz w:val="20"/>
                <w:szCs w:val="20"/>
                <w:color w:val="auto"/>
              </w:rPr>
            </w:pPr>
            <w:r>
              <w:rPr>
                <w:rFonts w:ascii="Arial" w:cs="Arial" w:eastAsia="Arial" w:hAnsi="Arial"/>
                <w:sz w:val="14"/>
                <w:szCs w:val="14"/>
                <w:b w:val="1"/>
                <w:bCs w:val="1"/>
                <w:color w:val="auto"/>
                <w:w w:val="97"/>
              </w:rPr>
              <w:t>or More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Delinquent and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Nonaccrual</w:t>
            </w: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jc w:val="center"/>
              <w:ind w:left="71"/>
              <w:spacing w:after="0" w:line="155" w:lineRule="exact"/>
              <w:rPr>
                <w:sz w:val="20"/>
                <w:szCs w:val="20"/>
                <w:color w:val="auto"/>
              </w:rPr>
            </w:pPr>
            <w:r>
              <w:rPr>
                <w:rFonts w:ascii="Arial" w:cs="Arial" w:eastAsia="Arial" w:hAnsi="Arial"/>
                <w:sz w:val="14"/>
                <w:szCs w:val="14"/>
                <w:b w:val="1"/>
                <w:bCs w:val="1"/>
                <w:color w:val="auto"/>
                <w:w w:val="98"/>
              </w:rPr>
              <w:t>Accruing</w:t>
            </w: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Loans with No</w:t>
            </w:r>
          </w:p>
        </w:tc>
        <w:tc>
          <w:tcPr>
            <w:tcW w:w="0" w:type="dxa"/>
            <w:vAlign w:val="bottom"/>
          </w:tcPr>
          <w:p>
            <w:pPr>
              <w:spacing w:after="0"/>
              <w:rPr>
                <w:sz w:val="1"/>
                <w:szCs w:val="1"/>
                <w:color w:val="auto"/>
              </w:rPr>
            </w:pPr>
          </w:p>
        </w:tc>
      </w:tr>
      <w:tr>
        <w:trPr>
          <w:trHeight w:val="202"/>
        </w:trPr>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00" w:type="dxa"/>
            <w:vAlign w:val="bottom"/>
            <w:tcBorders>
              <w:bottom w:val="single" w:sz="8" w:color="2C6937"/>
            </w:tcBorders>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2C6937"/>
            </w:tcBorders>
          </w:tcPr>
          <w:p>
            <w:pPr>
              <w:jc w:val="center"/>
              <w:ind w:left="91"/>
              <w:spacing w:after="0"/>
              <w:rPr>
                <w:sz w:val="20"/>
                <w:szCs w:val="20"/>
                <w:color w:val="auto"/>
              </w:rPr>
            </w:pPr>
            <w:r>
              <w:rPr>
                <w:rFonts w:ascii="Arial" w:cs="Arial" w:eastAsia="Arial" w:hAnsi="Arial"/>
                <w:sz w:val="14"/>
                <w:szCs w:val="14"/>
                <w:b w:val="1"/>
                <w:bCs w:val="1"/>
                <w:color w:val="auto"/>
                <w:w w:val="98"/>
              </w:rPr>
              <w:t>Interest</w:t>
            </w:r>
          </w:p>
        </w:tc>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Allowance</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34,339</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9,582</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20,004</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63,925</w:t>
            </w:r>
          </w:p>
        </w:tc>
        <w:tc>
          <w:tcPr>
            <w:tcW w:w="12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3,183,403</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3,247,328</w:t>
            </w:r>
          </w:p>
        </w:tc>
        <w:tc>
          <w:tcPr>
            <w:tcW w:w="10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3,790</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367,214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369,727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25,018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19,568</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20,606</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184</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10,122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21,119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67,771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3,594,908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3,662,679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4,200</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2,551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487,176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489,727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1,070</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37,021</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10,122</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23,179</w:t>
            </w:r>
          </w:p>
        </w:tc>
        <w:tc>
          <w:tcPr>
            <w:tcW w:w="100" w:type="dxa"/>
            <w:vAlign w:val="bottom"/>
          </w:tcPr>
          <w:p>
            <w:pPr>
              <w:spacing w:after="0"/>
              <w:rPr>
                <w:sz w:val="24"/>
                <w:szCs w:val="24"/>
                <w:color w:val="auto"/>
              </w:rPr>
            </w:pPr>
          </w:p>
        </w:tc>
        <w:tc>
          <w:tcPr>
            <w:tcW w:w="32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70,322</w:t>
            </w:r>
          </w:p>
        </w:tc>
        <w:tc>
          <w:tcPr>
            <w:tcW w:w="12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4,082,084</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4"/>
                <w:szCs w:val="14"/>
                <w:color w:val="auto"/>
              </w:rPr>
              <w:t>4,152,406</w:t>
            </w:r>
          </w:p>
        </w:tc>
        <w:tc>
          <w:tcPr>
            <w:tcW w:w="10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71"/>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5,270</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1580" w:space="180"/>
            <w:col w:w="9480"/>
          </w:cols>
          <w:pgMar w:left="320" w:top="248" w:right="339" w:bottom="1440" w:gutter="0" w:footer="0" w:header="0"/>
          <w:type w:val="continuous"/>
        </w:sectPr>
      </w:pPr>
    </w:p>
    <w:p>
      <w:pPr>
        <w:ind w:left="240" w:right="160" w:hanging="237"/>
        <w:spacing w:after="0" w:line="226" w:lineRule="auto"/>
        <w:tabs>
          <w:tab w:leader="none" w:pos="233"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Single-family seriously delinquent loans are loans that are 90 days or more past due or in the foreclosure process. Multifamily seriously delinquent loans are loans that are 60 days or more past due.</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Reverse mortgage loans included in “Other” are not aged due to their nature and are included in the current column.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53"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The amortized cost of single-family mortgage loans for which formal foreclosure proceedings were in process was $5.0 billion and $4.7 billion as of March 31, 2025 and December 31, 2024, respectively. As a result of our various loss mitigation and foreclosure prevention efforts, we expect that only a small portion of the loans in the process of formal foreclosure proceedings will ultimately foreclose.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354330</wp:posOffset>
            </wp:positionV>
            <wp:extent cx="68059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2" w:name="page73"/>
    <w:bookmarkEnd w:id="72"/>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Credit Quality Indicators and Write-offs by Year of Origination</w:t>
      </w:r>
    </w:p>
    <w:p>
      <w:pPr>
        <w:spacing w:after="0" w:line="68"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The estimated mark-to-market loan-to-value (“LTV”) ratio is a primary factor we consider when estimating our allowance for loan losses for single-family loans. As LTV ratios increase, the borrower’s equity in the home decreases, which may negatively affect the borrower’s ability to refinance or to sell the property for an amount at or above the outstanding balance of the loan.</w:t>
      </w:r>
    </w:p>
    <w:p>
      <w:pPr>
        <w:spacing w:after="0" w:line="2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following tables display information about the credit quality of our single-family HFI loans, based on total amortized cost. The tables below also include current year write-offs of our single-family HFI mortgage loans by class of financing receivable and year of origination, excluding loans for which we have elected the fair value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73" w:name="page74"/>
    <w:bookmarkEnd w:id="73"/>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March 31, 2025 and Write-offs for the Three Months Ended March 31, 2025, by</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21,744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174,572</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163,228</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328,482</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840,437</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1,396,722</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2,925,185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5,580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60,119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65,003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62,117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14,690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210,689</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8,290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60,797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20,461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13,756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105,390</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402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809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1,747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180</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3,379</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35,614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295,890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249,501</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406,102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857,050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1,400,486</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3,244,643</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18</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74</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163</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1,599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6,163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30,106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140,583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168,651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355,248</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1,079</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362</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1,801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8,982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6,426</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30,239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140,591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168,651</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356,690</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1,785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4,370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9,165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22,561</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1,618</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542</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45</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439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2,267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2,390</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5,168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5,330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9,172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24,766</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16,322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16,322</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16,418</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16,418</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311"/>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23,674</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184,339</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171,176</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362,958</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986,309</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1,590,860</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3,319,316</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61,135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65,724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62,849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14,731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213,436</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8,419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61,262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20,600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13,920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106,319</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403</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817</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1,782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243</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3,446</w:t>
            </w:r>
          </w:p>
        </w:tc>
      </w:tr>
      <w:tr>
        <w:trPr>
          <w:trHeight w:val="24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37,854</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307,139</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258,317</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441,509</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1,002,971</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1,594,727</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3,642,517</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71"/>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18</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97</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434340</wp:posOffset>
            </wp:positionV>
            <wp:extent cx="68059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4" w:name="page75"/>
    <w:bookmarkEnd w:id="74"/>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December 31, 2024 and Write-offs for the Year Ended December 31, 2024, by</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156,136</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161,237</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324,160</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849,984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714,620</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710,162</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2,916,299</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53,904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67,163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71,059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18,333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213,875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67,749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27,468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16,801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114,213</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670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1,616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133</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2,941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278,055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256,538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413,636</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870,282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716,979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711,838</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3,247,328</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130</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114</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261</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621</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7,508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31,140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145,254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102,032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75,904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368,293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1,069</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364</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8,407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6,793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31,325</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145,266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102,032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75,904</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369,727</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1,471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1,790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4,369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8,159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22,667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1,716</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597</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38</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2,177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2,454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5,292</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5,449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1,484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8,162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25,018</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16,945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16,945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17,054</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17,054</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311"/>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165,115</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169,482</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359,669</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1,000,638</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818,130</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811,170</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3,324,204</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54,914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67,979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71,956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18,388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216,718</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68,344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27,646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16,982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115,201</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678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1,646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157</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3,004</w:t>
            </w:r>
          </w:p>
        </w:tc>
      </w:tr>
      <w:tr>
        <w:trPr>
          <w:trHeight w:val="24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288,639</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265,785</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450,253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1,020,997</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820,495</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812,958</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3,659,127</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71"/>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133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303</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670</w:t>
            </w:r>
          </w:p>
        </w:tc>
      </w:tr>
    </w:tbl>
    <w:p>
      <w:pPr>
        <w:spacing w:after="0" w:line="109" w:lineRule="exact"/>
        <w:rPr>
          <w:sz w:val="20"/>
          <w:szCs w:val="20"/>
          <w:color w:val="auto"/>
        </w:rPr>
      </w:pPr>
    </w:p>
    <w:p>
      <w:pPr>
        <w:ind w:left="240" w:right="20" w:hanging="237"/>
        <w:spacing w:after="0" w:line="252" w:lineRule="auto"/>
        <w:tabs>
          <w:tab w:leader="none" w:pos="233" w:val="left"/>
        </w:tabs>
        <w:numPr>
          <w:ilvl w:val="0"/>
          <w:numId w:val="62"/>
        </w:numPr>
        <w:rPr>
          <w:rFonts w:ascii="Arial" w:cs="Arial" w:eastAsia="Arial" w:hAnsi="Arial"/>
          <w:sz w:val="17"/>
          <w:szCs w:val="17"/>
          <w:color w:val="auto"/>
          <w:vertAlign w:val="superscript"/>
        </w:rPr>
      </w:pPr>
      <w:r>
        <w:rPr>
          <w:rFonts w:ascii="Arial" w:cs="Arial" w:eastAsia="Arial" w:hAnsi="Arial"/>
          <w:sz w:val="13"/>
          <w:szCs w:val="13"/>
          <w:color w:val="auto"/>
        </w:rPr>
        <w:t>Excludes amortized cost of $3.3 billion and $3.6 billion as of March 31, 2025 and December 31, 2024, respectively, of mortgage loans guaranteed or insured, in whole or in part, by the U.S. government or one of its agencies, which represents primarily reverse mortgages for which we do not calculate an estimated mark-to-market LTV ratio. For the three months ended March 31, 2025 and year ended December 31, 2024, it also excludes write-offs of $2 million and $47 million, respectively, of mortgage loans guaranteed or insured, in whole or in part, by the U.S. government or one of its agencies. Year of loan origination may not be the same as the period in which we subsequently acquired the loan.</w:t>
      </w:r>
    </w:p>
    <w:p>
      <w:pPr>
        <w:spacing w:after="0" w:line="20" w:lineRule="exact"/>
        <w:rPr>
          <w:rFonts w:ascii="Arial" w:cs="Arial" w:eastAsia="Arial" w:hAnsi="Arial"/>
          <w:sz w:val="17"/>
          <w:szCs w:val="17"/>
          <w:color w:val="auto"/>
          <w:vertAlign w:val="superscript"/>
        </w:rPr>
      </w:pPr>
    </w:p>
    <w:p>
      <w:pPr>
        <w:ind w:left="240" w:right="160" w:hanging="237"/>
        <w:spacing w:after="0" w:line="278" w:lineRule="auto"/>
        <w:tabs>
          <w:tab w:leader="none" w:pos="233" w:val="left"/>
        </w:tabs>
        <w:numPr>
          <w:ilvl w:val="0"/>
          <w:numId w:val="62"/>
        </w:numPr>
        <w:rPr>
          <w:rFonts w:ascii="Arial" w:cs="Arial" w:eastAsia="Arial" w:hAnsi="Arial"/>
          <w:sz w:val="9"/>
          <w:szCs w:val="9"/>
          <w:color w:val="auto"/>
        </w:rPr>
      </w:pPr>
      <w:r>
        <w:rPr>
          <w:rFonts w:ascii="Arial" w:cs="Arial" w:eastAsia="Arial" w:hAnsi="Arial"/>
          <w:sz w:val="14"/>
          <w:szCs w:val="14"/>
          <w:color w:val="auto"/>
        </w:rPr>
        <w:t>The aggregate estimated mark-to-market LTV ratio is based on the unpaid principal balance of the loan divided by the estimated current value of the property as of the end of each reported period, which we calculate using an internal valuation model that estimates periodic changes in home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5" w:name="page76"/>
    <w:bookmarkEnd w:id="75"/>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color w:val="auto"/>
        </w:rPr>
        <w:t>The following tables display the total amortized cost of our multifamily HFI loans by year of origination and credit-risk rating, excluding loans for which we have elected the fair value option. Property rental income and property valuations are key inputs to our internally assigned credit risk ratings. The tables below also include current year write-offs of our multifamily HFI mortgage loans by year of origination, excluding loans for which we have elected the fair value option.</w:t>
      </w:r>
    </w:p>
    <w:p>
      <w:pPr>
        <w:spacing w:after="0" w:line="200" w:lineRule="exact"/>
        <w:rPr>
          <w:sz w:val="20"/>
          <w:szCs w:val="20"/>
          <w:color w:val="auto"/>
        </w:rPr>
      </w:pPr>
    </w:p>
    <w:p>
      <w:pPr>
        <w:jc w:val="center"/>
        <w:ind w:left="3660"/>
        <w:spacing w:after="0"/>
        <w:rPr>
          <w:sz w:val="20"/>
          <w:szCs w:val="20"/>
          <w:color w:val="auto"/>
        </w:rPr>
      </w:pPr>
      <w:r>
        <w:rPr>
          <w:rFonts w:ascii="Arial" w:cs="Arial" w:eastAsia="Arial" w:hAnsi="Arial"/>
          <w:sz w:val="14"/>
          <w:szCs w:val="14"/>
          <w:b w:val="1"/>
          <w:bCs w:val="1"/>
          <w:color w:val="auto"/>
        </w:rPr>
        <w:t>Credit Quality Indicators as of March 31, 2025 and Write-offs for the Three Months Ended March 31, 2025, by</w:t>
      </w:r>
    </w:p>
    <w:p>
      <w:pPr>
        <w:spacing w:after="0" w:line="13" w:lineRule="exact"/>
        <w:rPr>
          <w:sz w:val="20"/>
          <w:szCs w:val="20"/>
          <w:color w:val="auto"/>
        </w:rPr>
      </w:pPr>
    </w:p>
    <w:p>
      <w:pPr>
        <w:jc w:val="center"/>
        <w:ind w:left="36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635</wp:posOffset>
            </wp:positionV>
            <wp:extent cx="451040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64"/>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24"/>
              <w:spacing w:after="0"/>
              <w:rPr>
                <w:sz w:val="20"/>
                <w:szCs w:val="20"/>
                <w:color w:val="auto"/>
              </w:rPr>
            </w:pPr>
            <w:r>
              <w:rPr>
                <w:rFonts w:ascii="Arial" w:cs="Arial" w:eastAsia="Arial" w:hAnsi="Arial"/>
                <w:sz w:val="14"/>
                <w:szCs w:val="14"/>
                <w:b w:val="1"/>
                <w:bCs w:val="1"/>
                <w:color w:val="auto"/>
                <w:w w:val="91"/>
              </w:rPr>
              <w:t>Prior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Total</w:t>
            </w:r>
          </w:p>
        </w:tc>
      </w:tr>
      <w:tr>
        <w:trPr>
          <w:trHeight w:val="276"/>
        </w:trPr>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4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40" w:type="dxa"/>
            <w:vAlign w:val="bottom"/>
            <w:tcBorders>
              <w:top w:val="single" w:sz="8" w:color="2C6937"/>
            </w:tcBorders>
          </w:tcPr>
          <w:p>
            <w:pPr>
              <w:spacing w:after="0"/>
              <w:rPr>
                <w:sz w:val="23"/>
                <w:szCs w:val="23"/>
                <w:color w:val="auto"/>
              </w:rPr>
            </w:pPr>
          </w:p>
        </w:tc>
        <w:tc>
          <w:tcPr>
            <w:tcW w:w="1400" w:type="dxa"/>
            <w:vAlign w:val="bottom"/>
            <w:tcBorders>
              <w:top w:val="single" w:sz="8" w:color="2C6937"/>
            </w:tcBorders>
            <w:gridSpan w:val="9"/>
          </w:tcPr>
          <w:p>
            <w:pPr>
              <w:jc w:val="right"/>
              <w:ind w:right="120"/>
              <w:spacing w:after="0"/>
              <w:rPr>
                <w:sz w:val="20"/>
                <w:szCs w:val="20"/>
                <w:color w:val="auto"/>
              </w:rPr>
            </w:pPr>
            <w:r>
              <w:rPr>
                <w:rFonts w:ascii="Arial" w:cs="Arial" w:eastAsia="Arial" w:hAnsi="Arial"/>
                <w:sz w:val="14"/>
                <w:szCs w:val="14"/>
                <w:b w:val="1"/>
                <w:bCs w:val="1"/>
                <w:color w:val="auto"/>
                <w:w w:val="96"/>
              </w:rPr>
              <w:t>(Dollars in millions)</w:t>
            </w:r>
          </w:p>
        </w:tc>
        <w:tc>
          <w:tcPr>
            <w:tcW w:w="560" w:type="dxa"/>
            <w:vAlign w:val="bottom"/>
            <w:tcBorders>
              <w:top w:val="single" w:sz="8" w:color="2C6937"/>
            </w:tcBorders>
          </w:tcPr>
          <w:p>
            <w:pPr>
              <w:spacing w:after="0"/>
              <w:rPr>
                <w:sz w:val="23"/>
                <w:szCs w:val="23"/>
                <w:color w:val="auto"/>
              </w:rPr>
            </w:pPr>
          </w:p>
        </w:tc>
        <w:tc>
          <w:tcPr>
            <w:tcW w:w="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20" w:type="dxa"/>
            <w:vAlign w:val="bottom"/>
            <w:tcBorders>
              <w:top w:val="single" w:sz="8" w:color="2C6937"/>
            </w:tcBorders>
          </w:tcPr>
          <w:p>
            <w:pPr>
              <w:spacing w:after="0"/>
              <w:rPr>
                <w:sz w:val="23"/>
                <w:szCs w:val="23"/>
                <w:color w:val="auto"/>
              </w:rPr>
            </w:pPr>
          </w:p>
        </w:tc>
        <w:tc>
          <w:tcPr>
            <w:tcW w:w="4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00" w:type="dxa"/>
            <w:vAlign w:val="bottom"/>
            <w:gridSpan w:val="2"/>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7"/>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7,086</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54,311</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50,931</w:t>
            </w:r>
          </w:p>
        </w:tc>
        <w:tc>
          <w:tcPr>
            <w:tcW w:w="100" w:type="dxa"/>
            <w:vAlign w:val="bottom"/>
          </w:tcPr>
          <w:p>
            <w:pPr>
              <w:spacing w:after="0"/>
              <w:rPr>
                <w:sz w:val="24"/>
                <w:szCs w:val="24"/>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49,399</w:t>
            </w:r>
          </w:p>
        </w:tc>
        <w:tc>
          <w:tcPr>
            <w:tcW w:w="1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59,330</w:t>
            </w:r>
          </w:p>
        </w:tc>
        <w:tc>
          <w:tcPr>
            <w:tcW w:w="36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243,047</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464,104</w:t>
            </w:r>
          </w:p>
        </w:tc>
        <w:tc>
          <w:tcPr>
            <w:tcW w:w="220" w:type="dxa"/>
            <w:vAlign w:val="bottom"/>
          </w:tcPr>
          <w:p>
            <w:pPr>
              <w:spacing w:after="0"/>
              <w:rPr>
                <w:sz w:val="24"/>
                <w:szCs w:val="24"/>
                <w:color w:val="auto"/>
              </w:rPr>
            </w:pPr>
          </w:p>
        </w:tc>
      </w:tr>
      <w:tr>
        <w:trPr>
          <w:trHeight w:val="232"/>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1,165</w:t>
            </w:r>
          </w:p>
        </w:tc>
        <w:tc>
          <w:tcPr>
            <w:tcW w:w="220" w:type="dxa"/>
            <w:vAlign w:val="bottom"/>
          </w:tcPr>
          <w:p>
            <w:pPr>
              <w:spacing w:after="0"/>
              <w:rPr>
                <w:sz w:val="20"/>
                <w:szCs w:val="20"/>
                <w:color w:val="auto"/>
              </w:rPr>
            </w:pPr>
          </w:p>
        </w:tc>
      </w:tr>
      <w:tr>
        <w:trPr>
          <w:trHeight w:val="271"/>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440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2,829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8,777</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3,362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13,860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29,268</w:t>
            </w:r>
          </w:p>
        </w:tc>
        <w:tc>
          <w:tcPr>
            <w:tcW w:w="220" w:type="dxa"/>
            <w:vAlign w:val="bottom"/>
          </w:tcPr>
          <w:p>
            <w:pPr>
              <w:spacing w:after="0"/>
              <w:rPr>
                <w:sz w:val="23"/>
                <w:szCs w:val="23"/>
                <w:color w:val="auto"/>
              </w:rPr>
            </w:pPr>
          </w:p>
        </w:tc>
      </w:tr>
      <w:tr>
        <w:trPr>
          <w:trHeight w:val="257"/>
        </w:trPr>
        <w:tc>
          <w:tcPr>
            <w:tcW w:w="38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4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22"/>
                <w:szCs w:val="22"/>
                <w:color w:val="auto"/>
              </w:rPr>
            </w:pPr>
          </w:p>
        </w:tc>
        <w:tc>
          <w:tcPr>
            <w:tcW w:w="6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w:t>
            </w:r>
          </w:p>
        </w:tc>
        <w:tc>
          <w:tcPr>
            <w:tcW w:w="4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45</w:t>
            </w:r>
          </w:p>
        </w:tc>
        <w:tc>
          <w:tcPr>
            <w:tcW w:w="220" w:type="dxa"/>
            <w:vAlign w:val="bottom"/>
          </w:tcPr>
          <w:p>
            <w:pPr>
              <w:spacing w:after="0"/>
              <w:rPr>
                <w:sz w:val="22"/>
                <w:szCs w:val="22"/>
                <w:color w:val="auto"/>
              </w:rPr>
            </w:pPr>
          </w:p>
        </w:tc>
      </w:tr>
      <w:tr>
        <w:trPr>
          <w:trHeight w:val="302"/>
        </w:trPr>
        <w:tc>
          <w:tcPr>
            <w:tcW w:w="38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tcPr>
          <w:p>
            <w:pPr>
              <w:spacing w:after="0"/>
              <w:rPr>
                <w:sz w:val="24"/>
                <w:szCs w:val="24"/>
                <w:color w:val="auto"/>
              </w:rPr>
            </w:pPr>
          </w:p>
        </w:tc>
        <w:tc>
          <w:tcPr>
            <w:tcW w:w="240" w:type="dxa"/>
            <w:vAlign w:val="bottom"/>
            <w:tcBorders>
              <w:bottom w:val="single" w:sz="8" w:color="2C6937"/>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7,086</w:t>
            </w:r>
          </w:p>
        </w:tc>
        <w:tc>
          <w:tcPr>
            <w:tcW w:w="100" w:type="dxa"/>
            <w:vAlign w:val="bottom"/>
          </w:tcPr>
          <w:p>
            <w:pPr>
              <w:spacing w:after="0"/>
              <w:rPr>
                <w:sz w:val="24"/>
                <w:szCs w:val="24"/>
                <w:color w:val="auto"/>
              </w:rPr>
            </w:pPr>
          </w:p>
        </w:tc>
        <w:tc>
          <w:tcPr>
            <w:tcW w:w="12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54,781</w:t>
            </w:r>
          </w:p>
        </w:tc>
        <w:tc>
          <w:tcPr>
            <w:tcW w:w="100" w:type="dxa"/>
            <w:vAlign w:val="bottom"/>
          </w:tcPr>
          <w:p>
            <w:pPr>
              <w:spacing w:after="0"/>
              <w:rPr>
                <w:sz w:val="24"/>
                <w:szCs w:val="24"/>
                <w:color w:val="auto"/>
              </w:rPr>
            </w:pPr>
          </w:p>
        </w:tc>
        <w:tc>
          <w:tcPr>
            <w:tcW w:w="12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53,832</w:t>
            </w:r>
          </w:p>
        </w:tc>
        <w:tc>
          <w:tcPr>
            <w:tcW w:w="100" w:type="dxa"/>
            <w:vAlign w:val="bottom"/>
          </w:tcPr>
          <w:p>
            <w:pPr>
              <w:spacing w:after="0"/>
              <w:rPr>
                <w:sz w:val="24"/>
                <w:szCs w:val="24"/>
                <w:color w:val="auto"/>
              </w:rPr>
            </w:pPr>
          </w:p>
        </w:tc>
        <w:tc>
          <w:tcPr>
            <w:tcW w:w="14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58,392</w:t>
            </w:r>
          </w:p>
        </w:tc>
        <w:tc>
          <w:tcPr>
            <w:tcW w:w="120" w:type="dxa"/>
            <w:vAlign w:val="bottom"/>
          </w:tcPr>
          <w:p>
            <w:pPr>
              <w:spacing w:after="0"/>
              <w:rPr>
                <w:sz w:val="24"/>
                <w:szCs w:val="24"/>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63,026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257,465</w:t>
            </w:r>
          </w:p>
        </w:tc>
        <w:tc>
          <w:tcPr>
            <w:tcW w:w="4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494,582</w:t>
            </w:r>
          </w:p>
        </w:tc>
        <w:tc>
          <w:tcPr>
            <w:tcW w:w="220" w:type="dxa"/>
            <w:vAlign w:val="bottom"/>
          </w:tcPr>
          <w:p>
            <w:pPr>
              <w:spacing w:after="0"/>
              <w:rPr>
                <w:sz w:val="24"/>
                <w:szCs w:val="24"/>
                <w:color w:val="auto"/>
              </w:rPr>
            </w:pPr>
          </w:p>
        </w:tc>
      </w:tr>
      <w:tr>
        <w:trPr>
          <w:trHeight w:val="20"/>
        </w:trPr>
        <w:tc>
          <w:tcPr>
            <w:tcW w:w="3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900" w:type="dxa"/>
            <w:vAlign w:val="bottom"/>
            <w:gridSpan w:val="2"/>
          </w:tcPr>
          <w:p>
            <w:pPr>
              <w:ind w:left="440"/>
              <w:spacing w:after="0"/>
              <w:rPr>
                <w:sz w:val="20"/>
                <w:szCs w:val="20"/>
                <w:color w:val="auto"/>
              </w:rPr>
            </w:pPr>
            <w:r>
              <w:rPr>
                <w:rFonts w:ascii="Arial" w:cs="Arial" w:eastAsia="Arial" w:hAnsi="Arial"/>
                <w:sz w:val="15"/>
                <w:szCs w:val="15"/>
                <w:color w:val="auto"/>
              </w:rPr>
              <w:t>Current-year write-offs</w:t>
            </w: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19</w:t>
            </w:r>
          </w:p>
        </w:tc>
        <w:tc>
          <w:tcPr>
            <w:tcW w:w="36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61</w:t>
            </w:r>
          </w:p>
        </w:tc>
        <w:tc>
          <w:tcPr>
            <w:tcW w:w="220" w:type="dxa"/>
            <w:vAlign w:val="bottom"/>
          </w:tcPr>
          <w:p>
            <w:pPr>
              <w:spacing w:after="0"/>
              <w:rPr>
                <w:sz w:val="19"/>
                <w:szCs w:val="19"/>
                <w:color w:val="auto"/>
              </w:rPr>
            </w:pPr>
          </w:p>
        </w:tc>
      </w:tr>
      <w:tr>
        <w:trPr>
          <w:trHeight w:val="390"/>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gridSpan w:val="34"/>
          </w:tcPr>
          <w:p>
            <w:pPr>
              <w:jc w:val="right"/>
              <w:ind w:right="140"/>
              <w:spacing w:after="0"/>
              <w:rPr>
                <w:sz w:val="20"/>
                <w:szCs w:val="20"/>
                <w:color w:val="auto"/>
              </w:rPr>
            </w:pPr>
            <w:r>
              <w:rPr>
                <w:rFonts w:ascii="Arial" w:cs="Arial" w:eastAsia="Arial" w:hAnsi="Arial"/>
                <w:sz w:val="14"/>
                <w:szCs w:val="14"/>
                <w:b w:val="1"/>
                <w:bCs w:val="1"/>
                <w:color w:val="auto"/>
                <w:w w:val="97"/>
              </w:rPr>
              <w:t>Credit Quality Indicators as of December 31, 2024 and Write-offs for the Year Ended December 31, 2024, by</w:t>
            </w:r>
          </w:p>
        </w:tc>
      </w:tr>
      <w:tr>
        <w:trPr>
          <w:trHeight w:val="205"/>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9"/>
          </w:tcPr>
          <w:p>
            <w:pPr>
              <w:ind w:left="4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r>
      <w:tr>
        <w:trPr>
          <w:trHeight w:val="211"/>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10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24"/>
              <w:spacing w:after="0"/>
              <w:rPr>
                <w:sz w:val="20"/>
                <w:szCs w:val="20"/>
                <w:color w:val="auto"/>
              </w:rPr>
            </w:pPr>
            <w:r>
              <w:rPr>
                <w:rFonts w:ascii="Arial" w:cs="Arial" w:eastAsia="Arial" w:hAnsi="Arial"/>
                <w:sz w:val="14"/>
                <w:szCs w:val="14"/>
                <w:b w:val="1"/>
                <w:bCs w:val="1"/>
                <w:color w:val="auto"/>
              </w:rPr>
              <w:t>Prior</w:t>
            </w:r>
          </w:p>
        </w:tc>
        <w:tc>
          <w:tcPr>
            <w:tcW w:w="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8"/>
          </w:tcPr>
          <w:p>
            <w:pPr>
              <w:jc w:val="right"/>
              <w:ind w:right="444"/>
              <w:spacing w:after="0"/>
              <w:rPr>
                <w:sz w:val="20"/>
                <w:szCs w:val="20"/>
                <w:color w:val="auto"/>
              </w:rPr>
            </w:pPr>
            <w:r>
              <w:rPr>
                <w:rFonts w:ascii="Arial" w:cs="Arial" w:eastAsia="Arial" w:hAnsi="Arial"/>
                <w:sz w:val="14"/>
                <w:szCs w:val="14"/>
                <w:b w:val="1"/>
                <w:bCs w:val="1"/>
                <w:color w:val="auto"/>
                <w:w w:val="98"/>
              </w:rPr>
              <w:t>(Dollars in millions)</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00" w:type="dxa"/>
            <w:vAlign w:val="bottom"/>
            <w:gridSpan w:val="2"/>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7"/>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49,867</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51,194</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49,570</w:t>
            </w:r>
          </w:p>
        </w:tc>
        <w:tc>
          <w:tcPr>
            <w:tcW w:w="28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59,687</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71,657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175,887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457,862</w:t>
            </w:r>
          </w:p>
        </w:tc>
      </w:tr>
      <w:tr>
        <w:trPr>
          <w:trHeight w:val="232"/>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165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353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162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280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1,082</w:t>
            </w:r>
          </w:p>
        </w:tc>
      </w:tr>
      <w:tr>
        <w:trPr>
          <w:trHeight w:val="271"/>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429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2,626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9,045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3,259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2,500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12,820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30,679</w:t>
            </w:r>
          </w:p>
        </w:tc>
      </w:tr>
      <w:tr>
        <w:trPr>
          <w:trHeight w:val="257"/>
        </w:trPr>
        <w:tc>
          <w:tcPr>
            <w:tcW w:w="390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2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7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42</w:t>
            </w:r>
          </w:p>
        </w:tc>
        <w:tc>
          <w:tcPr>
            <w:tcW w:w="2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62</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560" w:type="dxa"/>
            <w:vAlign w:val="bottom"/>
            <w:tcBorders>
              <w:bottom w:val="single" w:sz="8" w:color="2C6937"/>
            </w:tcBorders>
          </w:tcPr>
          <w:p>
            <w:pPr>
              <w:spacing w:after="0"/>
              <w:rPr>
                <w:sz w:val="22"/>
                <w:szCs w:val="22"/>
                <w:color w:val="auto"/>
              </w:rPr>
            </w:pPr>
          </w:p>
        </w:tc>
        <w:tc>
          <w:tcPr>
            <w:tcW w:w="2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spacing w:after="0"/>
              <w:rPr>
                <w:sz w:val="22"/>
                <w:szCs w:val="22"/>
                <w:color w:val="auto"/>
              </w:rPr>
            </w:pPr>
          </w:p>
        </w:tc>
        <w:tc>
          <w:tcPr>
            <w:tcW w:w="2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104</w:t>
            </w:r>
          </w:p>
        </w:tc>
      </w:tr>
      <w:tr>
        <w:trPr>
          <w:trHeight w:val="302"/>
        </w:trPr>
        <w:tc>
          <w:tcPr>
            <w:tcW w:w="390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50,350</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53,930</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58,780</w:t>
            </w:r>
          </w:p>
        </w:tc>
        <w:tc>
          <w:tcPr>
            <w:tcW w:w="28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63,361</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74,319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188,987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489,727</w:t>
            </w:r>
          </w:p>
        </w:tc>
      </w:tr>
      <w:tr>
        <w:trPr>
          <w:trHeight w:val="20"/>
        </w:trPr>
        <w:tc>
          <w:tcPr>
            <w:tcW w:w="3900" w:type="dxa"/>
            <w:vAlign w:val="bottom"/>
            <w:tcBorders>
              <w:top w:val="single" w:sz="8" w:color="2C6937"/>
              <w:bottom w:val="single" w:sz="8" w:color="2C6937"/>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top w:val="single" w:sz="8" w:color="2C6937"/>
              <w:bottom w:val="single" w:sz="8" w:color="2C6937"/>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gridSpan w:val="2"/>
          </w:tcPr>
          <w:p>
            <w:pPr>
              <w:spacing w:after="0" w:line="20" w:lineRule="exact"/>
              <w:rPr>
                <w:sz w:val="1"/>
                <w:szCs w:val="1"/>
                <w:color w:val="auto"/>
              </w:rPr>
            </w:pPr>
          </w:p>
        </w:tc>
      </w:tr>
      <w:tr>
        <w:trPr>
          <w:trHeight w:val="223"/>
        </w:trPr>
        <w:tc>
          <w:tcPr>
            <w:tcW w:w="3900" w:type="dxa"/>
            <w:vAlign w:val="bottom"/>
            <w:gridSpan w:val="2"/>
          </w:tcPr>
          <w:p>
            <w:pPr>
              <w:ind w:left="440"/>
              <w:spacing w:after="0"/>
              <w:rPr>
                <w:sz w:val="20"/>
                <w:szCs w:val="20"/>
                <w:color w:val="auto"/>
              </w:rPr>
            </w:pPr>
            <w:r>
              <w:rPr>
                <w:rFonts w:ascii="Arial" w:cs="Arial" w:eastAsia="Arial" w:hAnsi="Arial"/>
                <w:sz w:val="15"/>
                <w:szCs w:val="15"/>
                <w:color w:val="auto"/>
              </w:rPr>
              <w:t>Current-year write-offs</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81</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192</w:t>
            </w:r>
          </w:p>
        </w:tc>
        <w:tc>
          <w:tcPr>
            <w:tcW w:w="28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16</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w w:val="95"/>
              </w:rPr>
              <w:t>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505</w:t>
            </w:r>
          </w:p>
        </w:tc>
      </w:tr>
    </w:tbl>
    <w:p>
      <w:pPr>
        <w:spacing w:after="0" w:line="58" w:lineRule="exact"/>
        <w:rPr>
          <w:sz w:val="20"/>
          <w:szCs w:val="20"/>
          <w:color w:val="auto"/>
        </w:rPr>
      </w:pPr>
    </w:p>
    <w:p>
      <w:pPr>
        <w:ind w:left="220" w:hanging="217"/>
        <w:spacing w:after="0"/>
        <w:tabs>
          <w:tab w:leader="none" w:pos="22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Year of loan origination may not be the same as the period in which we subsequently acquired the loan.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A loan categorized as “Pass” is current or adequately protected by the current financial strength and debt service capability of the borrower.</w:t>
      </w:r>
    </w:p>
    <w:p>
      <w:pPr>
        <w:spacing w:after="0" w:line="25" w:lineRule="exact"/>
        <w:rPr>
          <w:rFonts w:ascii="Arial" w:cs="Arial" w:eastAsia="Arial" w:hAnsi="Arial"/>
          <w:sz w:val="18"/>
          <w:szCs w:val="18"/>
          <w:color w:val="auto"/>
          <w:vertAlign w:val="superscript"/>
        </w:rPr>
      </w:pPr>
    </w:p>
    <w:p>
      <w:pPr>
        <w:ind w:left="240" w:right="120" w:hanging="237"/>
        <w:spacing w:after="0" w:line="260" w:lineRule="auto"/>
        <w:tabs>
          <w:tab w:leader="none" w:pos="233" w:val="left"/>
        </w:tabs>
        <w:numPr>
          <w:ilvl w:val="0"/>
          <w:numId w:val="63"/>
        </w:numPr>
        <w:rPr>
          <w:rFonts w:ascii="Arial" w:cs="Arial" w:eastAsia="Arial" w:hAnsi="Arial"/>
          <w:sz w:val="9"/>
          <w:szCs w:val="9"/>
          <w:color w:val="auto"/>
        </w:rPr>
      </w:pPr>
      <w:r>
        <w:rPr>
          <w:rFonts w:ascii="Arial" w:cs="Arial" w:eastAsia="Arial" w:hAnsi="Arial"/>
          <w:sz w:val="14"/>
          <w:szCs w:val="14"/>
          <w:color w:val="auto"/>
        </w:rPr>
        <w:t>“Special mention” refers to loans that are otherwise performing but have potential weaknesses that, if left uncorrected, may result in deterioration in the borrower’s ability to repay in full.</w:t>
      </w:r>
    </w:p>
    <w:p>
      <w:pPr>
        <w:ind w:left="220" w:hanging="217"/>
        <w:spacing w:after="0"/>
        <w:tabs>
          <w:tab w:leader="none" w:pos="22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“Substandard” refers to loans that have a well-defined weakness that jeopardizes the timely full repayment.</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“Doubtful” refers to a loan with a weakness that makes collection or liquidation in full highly questionable and improbable based on existing conditions and values.</w:t>
      </w:r>
    </w:p>
    <w:p>
      <w:pPr>
        <w:spacing w:after="0" w:line="9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Loss Mitigation Options for Borrowers Experiencing Financial Difficulty</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As part of our loss mitigation activities, we offer several types of loan restructurings to assist borrowers who experience financial difficulties. We do not typically offer principal forgiveness to our single-family or multifamily borrowers. Below we provide disclosures relating to loan restructurings where borrowers were experiencing financial difficulty, including restructurings that resulted in an insignificant payment delay. The disclosures exclude loans classified as HFS and those for which we have elected the fair value option. See “Note 1, Summary of Significant Accounting Policies” in our 2024 Form 10-K for additional information on our accounting policies for single-family and multifamily loans that have been restructured. Also see “Note 4, Mortgage Loans” in our 2024 Form 10-K for additional information about our single-family and multifamily loss mitigation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6" w:name="page77"/>
    <w:bookmarkEnd w:id="76"/>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Restructurings for Borrowers Experiencing Financial Difficulty</w:t>
      </w:r>
    </w:p>
    <w:p>
      <w:pPr>
        <w:spacing w:after="0" w:line="6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following tables display the amortized cost of HFI mortgage loans that were restructured, during the periods indicated, presented by portfolio segment and class of financing receivable.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3860" w:type="dxa"/>
            <w:vAlign w:val="bottom"/>
            <w:tcBorders>
              <w:bottom w:val="single" w:sz="8" w:color="2C6937"/>
            </w:tcBorders>
            <w:gridSpan w:val="13"/>
          </w:tcPr>
          <w:p>
            <w:pPr>
              <w:jc w:val="center"/>
              <w:ind w:right="80"/>
              <w:spacing w:after="0"/>
              <w:rPr>
                <w:sz w:val="20"/>
                <w:szCs w:val="20"/>
                <w:color w:val="auto"/>
              </w:rPr>
            </w:pPr>
            <w:r>
              <w:rPr>
                <w:rFonts w:ascii="Arial" w:cs="Arial" w:eastAsia="Arial" w:hAnsi="Arial"/>
                <w:sz w:val="14"/>
                <w:szCs w:val="14"/>
                <w:b w:val="1"/>
                <w:bCs w:val="1"/>
                <w:color w:val="auto"/>
                <w:w w:val="97"/>
              </w:rPr>
              <w:t>For the Three Months Ended March 31, 2025</w:t>
            </w:r>
          </w:p>
        </w:tc>
        <w:tc>
          <w:tcPr>
            <w:tcW w:w="8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540" w:type="dxa"/>
            <w:vAlign w:val="bottom"/>
            <w:tcBorders>
              <w:bottom w:val="single" w:sz="8" w:color="2C6937"/>
            </w:tcBorders>
            <w:gridSpan w:val="8"/>
          </w:tcPr>
          <w:p>
            <w:pPr>
              <w:jc w:val="center"/>
              <w:ind w:right="8"/>
              <w:spacing w:after="0"/>
              <w:rPr>
                <w:sz w:val="20"/>
                <w:szCs w:val="20"/>
                <w:color w:val="auto"/>
              </w:rPr>
            </w:pPr>
            <w:r>
              <w:rPr>
                <w:rFonts w:ascii="Arial" w:cs="Arial" w:eastAsia="Arial" w:hAnsi="Arial"/>
                <w:sz w:val="14"/>
                <w:szCs w:val="14"/>
                <w:b w:val="1"/>
                <w:bCs w:val="1"/>
                <w:color w:val="auto"/>
                <w:w w:val="98"/>
              </w:rPr>
              <w:t>Payment Delay (Only)</w:t>
            </w:r>
          </w:p>
        </w:tc>
        <w:tc>
          <w:tcPr>
            <w:tcW w:w="92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jc w:val="center"/>
              <w:ind w:right="180"/>
              <w:spacing w:after="0" w:line="123" w:lineRule="exact"/>
              <w:rPr>
                <w:sz w:val="20"/>
                <w:szCs w:val="20"/>
                <w:color w:val="auto"/>
              </w:rPr>
            </w:pPr>
            <w:r>
              <w:rPr>
                <w:rFonts w:ascii="Arial" w:cs="Arial" w:eastAsia="Arial" w:hAnsi="Arial"/>
                <w:sz w:val="14"/>
                <w:szCs w:val="14"/>
                <w:b w:val="1"/>
                <w:bCs w:val="1"/>
                <w:color w:val="auto"/>
                <w:w w:val="96"/>
              </w:rPr>
              <w:t>Payment Delay,</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4"/>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Term Extension,</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tcPr>
          <w:p>
            <w:pPr>
              <w:jc w:val="center"/>
              <w:ind w:right="100"/>
              <w:spacing w:after="0" w:line="151" w:lineRule="exact"/>
              <w:rPr>
                <w:sz w:val="20"/>
                <w:szCs w:val="20"/>
                <w:color w:val="auto"/>
              </w:rPr>
            </w:pPr>
            <w:r>
              <w:rPr>
                <w:rFonts w:ascii="Arial" w:cs="Arial" w:eastAsia="Arial" w:hAnsi="Arial"/>
                <w:sz w:val="14"/>
                <w:szCs w:val="14"/>
                <w:b w:val="1"/>
                <w:bCs w:val="1"/>
                <w:color w:val="auto"/>
                <w:w w:val="96"/>
              </w:rPr>
              <w:t>Trial Modification</w:t>
            </w:r>
          </w:p>
        </w:tc>
        <w:tc>
          <w:tcPr>
            <w:tcW w:w="80" w:type="dxa"/>
            <w:vAlign w:val="bottom"/>
          </w:tcPr>
          <w:p>
            <w:pPr>
              <w:spacing w:after="0"/>
              <w:rPr>
                <w:sz w:val="13"/>
                <w:szCs w:val="13"/>
                <w:color w:val="auto"/>
              </w:rPr>
            </w:pPr>
          </w:p>
        </w:tc>
        <w:tc>
          <w:tcPr>
            <w:tcW w:w="1160" w:type="dxa"/>
            <w:vAlign w:val="bottom"/>
            <w:gridSpan w:val="3"/>
          </w:tcPr>
          <w:p>
            <w:pPr>
              <w:jc w:val="center"/>
              <w:ind w:right="100"/>
              <w:spacing w:after="0" w:line="151" w:lineRule="exact"/>
              <w:rPr>
                <w:sz w:val="20"/>
                <w:szCs w:val="20"/>
                <w:color w:val="auto"/>
              </w:rPr>
            </w:pPr>
            <w:r>
              <w:rPr>
                <w:rFonts w:ascii="Arial" w:cs="Arial" w:eastAsia="Arial" w:hAnsi="Arial"/>
                <w:sz w:val="14"/>
                <w:szCs w:val="14"/>
                <w:b w:val="1"/>
                <w:bCs w:val="1"/>
                <w:color w:val="auto"/>
                <w:w w:val="98"/>
              </w:rPr>
              <w:t>Payment Delay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200"/>
              <w:spacing w:after="0" w:line="151" w:lineRule="exact"/>
              <w:rPr>
                <w:sz w:val="20"/>
                <w:szCs w:val="20"/>
                <w:color w:val="auto"/>
              </w:rPr>
            </w:pPr>
            <w:r>
              <w:rPr>
                <w:rFonts w:ascii="Arial" w:cs="Arial" w:eastAsia="Arial" w:hAnsi="Arial"/>
                <w:sz w:val="14"/>
                <w:szCs w:val="14"/>
                <w:b w:val="1"/>
                <w:bCs w:val="1"/>
                <w:color w:val="auto"/>
                <w:w w:val="96"/>
              </w:rPr>
              <w:t>Interest Rate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left="26"/>
              <w:spacing w:after="0" w:line="151" w:lineRule="exact"/>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29"/>
        </w:trPr>
        <w:tc>
          <w:tcPr>
            <w:tcW w:w="1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Forbearance Plan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8"/>
              </w:rPr>
              <w:t>Payment Deferral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7"/>
              </w:rPr>
              <w:t>and Repayment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8"/>
              </w:rPr>
              <w:t>and Term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6"/>
              </w:rPr>
              <w:t>Reduction, and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6"/>
              <w:spacing w:after="0" w:line="129" w:lineRule="exact"/>
              <w:rPr>
                <w:sz w:val="20"/>
                <w:szCs w:val="20"/>
                <w:color w:val="auto"/>
              </w:rPr>
            </w:pPr>
            <w:r>
              <w:rPr>
                <w:rFonts w:ascii="Arial" w:cs="Arial" w:eastAsia="Arial" w:hAnsi="Arial"/>
                <w:sz w:val="14"/>
                <w:szCs w:val="14"/>
                <w:b w:val="1"/>
                <w:bCs w:val="1"/>
                <w:color w:val="auto"/>
                <w:w w:val="96"/>
              </w:rPr>
              <w:t>Total by Financing</w:t>
            </w:r>
          </w:p>
        </w:tc>
        <w:tc>
          <w:tcPr>
            <w:tcW w:w="0" w:type="dxa"/>
            <w:vAlign w:val="bottom"/>
          </w:tcPr>
          <w:p>
            <w:pPr>
              <w:spacing w:after="0"/>
              <w:rPr>
                <w:sz w:val="1"/>
                <w:szCs w:val="1"/>
                <w:color w:val="auto"/>
              </w:rPr>
            </w:pPr>
          </w:p>
        </w:tc>
      </w:tr>
      <w:tr>
        <w:trPr>
          <w:trHeight w:val="193"/>
        </w:trPr>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Borders>
              <w:bottom w:val="single" w:sz="8" w:color="2C6937"/>
            </w:tcBorders>
            <w:gridSpan w:val="3"/>
            <w:vMerge w:val="continue"/>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4"/>
            <w:vMerge w:val="continue"/>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6"/>
              </w:rPr>
              <w:t>Plans</w:t>
            </w:r>
          </w:p>
        </w:tc>
        <w:tc>
          <w:tcPr>
            <w:tcW w:w="8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40" w:type="dxa"/>
            <w:vAlign w:val="bottom"/>
            <w:tcBorders>
              <w:bottom w:val="single" w:sz="8" w:color="2C6937"/>
            </w:tcBorders>
            <w:gridSpan w:val="2"/>
          </w:tcPr>
          <w:p>
            <w:pPr>
              <w:jc w:val="center"/>
              <w:ind w:right="220"/>
              <w:spacing w:after="0" w:line="194" w:lineRule="exact"/>
              <w:rPr>
                <w:sz w:val="20"/>
                <w:szCs w:val="20"/>
                <w:color w:val="auto"/>
              </w:rPr>
            </w:pPr>
            <w:r>
              <w:rPr>
                <w:rFonts w:ascii="Arial" w:cs="Arial" w:eastAsia="Arial" w:hAnsi="Arial"/>
                <w:sz w:val="14"/>
                <w:szCs w:val="14"/>
                <w:b w:val="1"/>
                <w:bCs w:val="1"/>
                <w:color w:val="auto"/>
                <w:w w:val="96"/>
              </w:rPr>
              <w:t>Extension</w:t>
            </w:r>
            <w:r>
              <w:rPr>
                <w:rFonts w:ascii="Arial" w:cs="Arial" w:eastAsia="Arial" w:hAnsi="Arial"/>
                <w:sz w:val="17"/>
                <w:szCs w:val="17"/>
                <w:b w:val="1"/>
                <w:bCs w:val="1"/>
                <w:color w:val="auto"/>
                <w:w w:val="96"/>
                <w:vertAlign w:val="superscript"/>
              </w:rPr>
              <w:t>(1)</w:t>
            </w:r>
          </w:p>
        </w:tc>
        <w:tc>
          <w:tcPr>
            <w:tcW w:w="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3"/>
          </w:tcPr>
          <w:p>
            <w:pPr>
              <w:jc w:val="center"/>
              <w:ind w:right="180"/>
              <w:spacing w:after="0" w:line="194"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8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vMerge w:val="continue"/>
          </w:tcPr>
          <w:p>
            <w:pPr>
              <w:spacing w:after="0"/>
              <w:rPr>
                <w:sz w:val="16"/>
                <w:szCs w:val="16"/>
                <w:color w:val="auto"/>
              </w:rPr>
            </w:pPr>
          </w:p>
        </w:tc>
        <w:tc>
          <w:tcPr>
            <w:tcW w:w="1440" w:type="dxa"/>
            <w:vAlign w:val="bottom"/>
            <w:tcBorders>
              <w:bottom w:val="single" w:sz="8" w:color="2C6937"/>
            </w:tcBorders>
          </w:tcPr>
          <w:p>
            <w:pPr>
              <w:jc w:val="center"/>
              <w:ind w:left="26"/>
              <w:spacing w:after="0" w:line="194" w:lineRule="exact"/>
              <w:rPr>
                <w:sz w:val="20"/>
                <w:szCs w:val="20"/>
                <w:color w:val="auto"/>
              </w:rPr>
            </w:pPr>
            <w:r>
              <w:rPr>
                <w:rFonts w:ascii="Arial" w:cs="Arial" w:eastAsia="Arial" w:hAnsi="Arial"/>
                <w:sz w:val="14"/>
                <w:szCs w:val="14"/>
                <w:b w:val="1"/>
                <w:bCs w:val="1"/>
                <w:color w:val="auto"/>
                <w:w w:val="89"/>
              </w:rPr>
              <w:t>Class</w:t>
            </w:r>
            <w:r>
              <w:rPr>
                <w:rFonts w:ascii="Arial" w:cs="Arial" w:eastAsia="Arial" w:hAnsi="Arial"/>
                <w:sz w:val="17"/>
                <w:szCs w:val="17"/>
                <w:b w:val="1"/>
                <w:bCs w:val="1"/>
                <w:color w:val="auto"/>
                <w:w w:val="89"/>
                <w:vertAlign w:val="superscript"/>
              </w:rPr>
              <w:t>(2)</w:t>
            </w:r>
          </w:p>
        </w:tc>
        <w:tc>
          <w:tcPr>
            <w:tcW w:w="0" w:type="dxa"/>
            <w:vAlign w:val="bottom"/>
          </w:tcPr>
          <w:p>
            <w:pPr>
              <w:spacing w:after="0"/>
              <w:rPr>
                <w:sz w:val="1"/>
                <w:szCs w:val="1"/>
                <w:color w:val="auto"/>
              </w:rPr>
            </w:pPr>
          </w:p>
        </w:tc>
      </w:tr>
      <w:tr>
        <w:trPr>
          <w:trHeight w:val="198"/>
        </w:trPr>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7"/>
          </w:tcPr>
          <w:p>
            <w:pPr>
              <w:jc w:val="center"/>
              <w:ind w:right="9"/>
              <w:spacing w:after="0"/>
              <w:rPr>
                <w:sz w:val="20"/>
                <w:szCs w:val="20"/>
                <w:color w:val="auto"/>
              </w:rPr>
            </w:pPr>
            <w:r>
              <w:rPr>
                <w:rFonts w:ascii="Arial" w:cs="Arial" w:eastAsia="Arial" w:hAnsi="Arial"/>
                <w:sz w:val="14"/>
                <w:szCs w:val="14"/>
                <w:b w:val="1"/>
                <w:bCs w:val="1"/>
                <w:color w:val="auto"/>
                <w:w w:val="96"/>
              </w:rPr>
              <w:t>(Dollars in millions)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8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7,211</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3,502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6,158</w:t>
            </w:r>
          </w:p>
        </w:tc>
        <w:tc>
          <w:tcPr>
            <w:tcW w:w="100" w:type="dxa"/>
            <w:vAlign w:val="bottom"/>
          </w:tcPr>
          <w:p>
            <w:pPr>
              <w:spacing w:after="0"/>
              <w:rPr>
                <w:sz w:val="19"/>
                <w:szCs w:val="19"/>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2,611</w:t>
            </w:r>
          </w:p>
        </w:tc>
        <w:tc>
          <w:tcPr>
            <w:tcW w:w="8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9"/>
                <w:szCs w:val="19"/>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19,618</w:t>
            </w:r>
          </w:p>
        </w:tc>
        <w:tc>
          <w:tcPr>
            <w:tcW w:w="144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196"/>
        </w:trPr>
        <w:tc>
          <w:tcPr>
            <w:tcW w:w="18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546</w:t>
            </w: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8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76</w:t>
            </w: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0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43</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c>
          <w:tcPr>
            <w:tcW w:w="80" w:type="dxa"/>
            <w:vAlign w:val="bottom"/>
            <w:tcBorders>
              <w:bottom w:val="single" w:sz="8" w:color="2C6937"/>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9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162</w:t>
            </w: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4"/>
        </w:trPr>
        <w:tc>
          <w:tcPr>
            <w:tcW w:w="18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7,550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3,664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6,408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20,402</w:t>
            </w: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Multifamily</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0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612</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0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9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634</w:t>
            </w: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880" w:type="dxa"/>
            <w:vAlign w:val="bottom"/>
            <w:tcBorders>
              <w:bottom w:val="single" w:sz="8" w:color="2C6937"/>
            </w:tcBorders>
            <w:gridSpan w:val="2"/>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100" w:type="dxa"/>
            <w:vAlign w:val="bottom"/>
            <w:gridSpan w:val="2"/>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8,162</w:t>
            </w:r>
          </w:p>
        </w:tc>
        <w:tc>
          <w:tcPr>
            <w:tcW w:w="4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3,664</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6,408</w:t>
            </w:r>
          </w:p>
        </w:tc>
        <w:tc>
          <w:tcPr>
            <w:tcW w:w="100" w:type="dxa"/>
            <w:vAlign w:val="bottom"/>
          </w:tcPr>
          <w:p>
            <w:pPr>
              <w:spacing w:after="0"/>
              <w:rPr>
                <w:sz w:val="19"/>
                <w:szCs w:val="19"/>
                <w:color w:val="auto"/>
              </w:rPr>
            </w:pPr>
          </w:p>
        </w:tc>
        <w:tc>
          <w:tcPr>
            <w:tcW w:w="200" w:type="dxa"/>
            <w:vAlign w:val="bottom"/>
            <w:tcBorders>
              <w:bottom w:val="single" w:sz="8" w:color="2C6937"/>
            </w:tcBorders>
            <w:gridSpan w:val="2"/>
          </w:tcPr>
          <w:p>
            <w:pPr>
              <w:jc w:val="right"/>
              <w:ind w:right="31"/>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2,634</w:t>
            </w:r>
          </w:p>
        </w:tc>
        <w:tc>
          <w:tcPr>
            <w:tcW w:w="80" w:type="dxa"/>
            <w:vAlign w:val="bottom"/>
            <w:tcBorders>
              <w:bottom w:val="single" w:sz="8" w:color="2C6937"/>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9"/>
                <w:szCs w:val="19"/>
                <w:color w:val="auto"/>
              </w:rPr>
            </w:pPr>
          </w:p>
        </w:tc>
        <w:tc>
          <w:tcPr>
            <w:tcW w:w="32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21,036</w:t>
            </w: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156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gridSpan w:val="2"/>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2C6937"/>
            </w:tcBorders>
            <w:gridSpan w:val="2"/>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3860" w:type="dxa"/>
            <w:vAlign w:val="bottom"/>
            <w:tcBorders>
              <w:bottom w:val="single" w:sz="8" w:color="2C6937"/>
            </w:tcBorders>
            <w:gridSpan w:val="13"/>
          </w:tcPr>
          <w:p>
            <w:pPr>
              <w:jc w:val="center"/>
              <w:ind w:right="120"/>
              <w:spacing w:after="0"/>
              <w:rPr>
                <w:sz w:val="20"/>
                <w:szCs w:val="20"/>
                <w:color w:val="auto"/>
              </w:rPr>
            </w:pPr>
            <w:r>
              <w:rPr>
                <w:rFonts w:ascii="Arial" w:cs="Arial" w:eastAsia="Arial" w:hAnsi="Arial"/>
                <w:sz w:val="14"/>
                <w:szCs w:val="14"/>
                <w:b w:val="1"/>
                <w:bCs w:val="1"/>
                <w:color w:val="auto"/>
                <w:w w:val="97"/>
              </w:rPr>
              <w:t>For the Three Months Ended March 31, 2024</w:t>
            </w:r>
          </w:p>
        </w:tc>
        <w:tc>
          <w:tcPr>
            <w:tcW w:w="80" w:type="dxa"/>
            <w:vAlign w:val="bottom"/>
            <w:tcBorders>
              <w:bottom w:val="single" w:sz="8" w:color="2C6937"/>
            </w:tcBorders>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7"/>
          </w:tcPr>
          <w:p>
            <w:pPr>
              <w:jc w:val="right"/>
              <w:ind w:right="20"/>
              <w:spacing w:after="0"/>
              <w:rPr>
                <w:sz w:val="20"/>
                <w:szCs w:val="20"/>
                <w:color w:val="auto"/>
              </w:rPr>
            </w:pPr>
            <w:r>
              <w:rPr>
                <w:rFonts w:ascii="Arial" w:cs="Arial" w:eastAsia="Arial" w:hAnsi="Arial"/>
                <w:sz w:val="14"/>
                <w:szCs w:val="14"/>
                <w:b w:val="1"/>
                <w:bCs w:val="1"/>
                <w:color w:val="auto"/>
              </w:rPr>
              <w:t>Payment Delay (Only)</w:t>
            </w:r>
          </w:p>
        </w:tc>
        <w:tc>
          <w:tcPr>
            <w:tcW w:w="8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4"/>
              </w:rPr>
              <w:t>Trial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5"/>
          </w:tcPr>
          <w:p>
            <w:pPr>
              <w:jc w:val="center"/>
              <w:ind w:right="30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restart"/>
          </w:tcPr>
          <w:p>
            <w:pPr>
              <w:jc w:val="center"/>
              <w:ind w:left="186"/>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Payment Delay</w:t>
            </w:r>
          </w:p>
        </w:tc>
        <w:tc>
          <w:tcPr>
            <w:tcW w:w="20" w:type="dxa"/>
            <w:vAlign w:val="bottom"/>
          </w:tcPr>
          <w:p>
            <w:pPr>
              <w:spacing w:after="0"/>
              <w:rPr>
                <w:sz w:val="12"/>
                <w:szCs w:val="12"/>
                <w:color w:val="auto"/>
              </w:rPr>
            </w:pPr>
          </w:p>
        </w:tc>
        <w:tc>
          <w:tcPr>
            <w:tcW w:w="1380" w:type="dxa"/>
            <w:vAlign w:val="bottom"/>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7"/>
              </w:rPr>
              <w:t>Term Extension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211"/>
              <w:spacing w:after="0"/>
              <w:rPr>
                <w:sz w:val="20"/>
                <w:szCs w:val="20"/>
                <w:color w:val="auto"/>
              </w:rPr>
            </w:pPr>
            <w:r>
              <w:rPr>
                <w:rFonts w:ascii="Arial" w:cs="Arial" w:eastAsia="Arial" w:hAnsi="Arial"/>
                <w:sz w:val="14"/>
                <w:szCs w:val="14"/>
                <w:b w:val="1"/>
                <w:bCs w:val="1"/>
                <w:color w:val="auto"/>
                <w:w w:val="95"/>
              </w:rPr>
              <w:t>Forbearance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Payment</w:t>
            </w:r>
          </w:p>
        </w:tc>
        <w:tc>
          <w:tcPr>
            <w:tcW w:w="80" w:type="dxa"/>
            <w:vAlign w:val="bottom"/>
          </w:tcPr>
          <w:p>
            <w:pPr>
              <w:spacing w:after="0"/>
              <w:rPr>
                <w:sz w:val="12"/>
                <w:szCs w:val="12"/>
                <w:color w:val="auto"/>
              </w:rPr>
            </w:pPr>
          </w:p>
        </w:tc>
        <w:tc>
          <w:tcPr>
            <w:tcW w:w="1340" w:type="dxa"/>
            <w:vAlign w:val="bottom"/>
            <w:gridSpan w:val="4"/>
          </w:tcPr>
          <w:p>
            <w:pPr>
              <w:jc w:val="center"/>
              <w:ind w:right="380"/>
              <w:spacing w:after="0" w:line="139" w:lineRule="exact"/>
              <w:rPr>
                <w:sz w:val="20"/>
                <w:szCs w:val="20"/>
                <w:color w:val="auto"/>
              </w:rPr>
            </w:pPr>
            <w:r>
              <w:rPr>
                <w:rFonts w:ascii="Arial" w:cs="Arial" w:eastAsia="Arial" w:hAnsi="Arial"/>
                <w:sz w:val="14"/>
                <w:szCs w:val="14"/>
                <w:b w:val="1"/>
                <w:bCs w:val="1"/>
                <w:color w:val="auto"/>
                <w:w w:val="96"/>
              </w:rPr>
              <w:t>Modification</w:t>
            </w: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4"/>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and Interest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left="206"/>
              <w:spacing w:after="0" w:line="139" w:lineRule="exact"/>
              <w:rPr>
                <w:sz w:val="20"/>
                <w:szCs w:val="20"/>
                <w:color w:val="auto"/>
              </w:rPr>
            </w:pPr>
            <w:r>
              <w:rPr>
                <w:rFonts w:ascii="Arial" w:cs="Arial" w:eastAsia="Arial" w:hAnsi="Arial"/>
                <w:sz w:val="14"/>
                <w:szCs w:val="14"/>
                <w:b w:val="1"/>
                <w:bCs w:val="1"/>
                <w:color w:val="auto"/>
                <w:w w:val="96"/>
              </w:rPr>
              <w:t>Total by</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20" w:type="dxa"/>
            <w:vAlign w:val="bottom"/>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and Term</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8"/>
              </w:rPr>
              <w:t>Rate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186"/>
              <w:spacing w:after="0" w:line="142" w:lineRule="exact"/>
              <w:rPr>
                <w:sz w:val="20"/>
                <w:szCs w:val="20"/>
                <w:color w:val="auto"/>
              </w:rPr>
            </w:pPr>
            <w:r>
              <w:rPr>
                <w:rFonts w:ascii="Arial" w:cs="Arial" w:eastAsia="Arial" w:hAnsi="Arial"/>
                <w:sz w:val="14"/>
                <w:szCs w:val="14"/>
                <w:b w:val="1"/>
                <w:bCs w:val="1"/>
                <w:color w:val="auto"/>
                <w:w w:val="99"/>
              </w:rPr>
              <w:t>Financing</w:t>
            </w: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100" w:type="dxa"/>
            <w:vAlign w:val="bottom"/>
            <w:tcBorders>
              <w:bottom w:val="single" w:sz="8" w:color="2C6937"/>
            </w:tcBorders>
            <w:gridSpan w:val="2"/>
          </w:tcPr>
          <w:p>
            <w:pPr>
              <w:jc w:val="right"/>
              <w:ind w:right="471"/>
              <w:spacing w:after="0"/>
              <w:rPr>
                <w:sz w:val="20"/>
                <w:szCs w:val="20"/>
                <w:color w:val="auto"/>
              </w:rPr>
            </w:pPr>
            <w:r>
              <w:rPr>
                <w:rFonts w:ascii="Arial" w:cs="Arial" w:eastAsia="Arial" w:hAnsi="Arial"/>
                <w:sz w:val="14"/>
                <w:szCs w:val="14"/>
                <w:b w:val="1"/>
                <w:bCs w:val="1"/>
                <w:color w:val="auto"/>
              </w:rPr>
              <w:t>Plan</w:t>
            </w:r>
          </w:p>
        </w:tc>
        <w:tc>
          <w:tcPr>
            <w:tcW w:w="4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Deferral</w:t>
            </w:r>
          </w:p>
        </w:tc>
        <w:tc>
          <w:tcPr>
            <w:tcW w:w="8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3"/>
          </w:tcPr>
          <w:p>
            <w:pPr>
              <w:jc w:val="center"/>
              <w:ind w:right="500"/>
              <w:spacing w:after="0"/>
              <w:rPr>
                <w:sz w:val="20"/>
                <w:szCs w:val="20"/>
                <w:color w:val="auto"/>
              </w:rPr>
            </w:pPr>
            <w:r>
              <w:rPr>
                <w:rFonts w:ascii="Arial" w:cs="Arial" w:eastAsia="Arial" w:hAnsi="Arial"/>
                <w:sz w:val="14"/>
                <w:szCs w:val="14"/>
                <w:b w:val="1"/>
                <w:bCs w:val="1"/>
                <w:color w:val="auto"/>
                <w:w w:val="96"/>
              </w:rPr>
              <w:t>Plans</w:t>
            </w:r>
          </w:p>
        </w:tc>
        <w:tc>
          <w:tcPr>
            <w:tcW w:w="8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40" w:type="dxa"/>
            <w:vAlign w:val="bottom"/>
            <w:tcBorders>
              <w:bottom w:val="single" w:sz="8" w:color="2C6937"/>
            </w:tcBorders>
            <w:gridSpan w:val="2"/>
          </w:tcPr>
          <w:p>
            <w:pPr>
              <w:jc w:val="center"/>
              <w:ind w:right="200"/>
              <w:spacing w:after="0" w:line="180" w:lineRule="exact"/>
              <w:rPr>
                <w:sz w:val="20"/>
                <w:szCs w:val="20"/>
                <w:color w:val="auto"/>
              </w:rPr>
            </w:pPr>
            <w:r>
              <w:rPr>
                <w:rFonts w:ascii="Arial" w:cs="Arial" w:eastAsia="Arial" w:hAnsi="Arial"/>
                <w:sz w:val="14"/>
                <w:szCs w:val="14"/>
                <w:b w:val="1"/>
                <w:bCs w:val="1"/>
                <w:color w:val="auto"/>
                <w:w w:val="94"/>
              </w:rPr>
              <w:t>Extension</w:t>
            </w:r>
            <w:r>
              <w:rPr>
                <w:rFonts w:ascii="Arial" w:cs="Arial" w:eastAsia="Arial" w:hAnsi="Arial"/>
                <w:sz w:val="17"/>
                <w:szCs w:val="17"/>
                <w:b w:val="1"/>
                <w:bCs w:val="1"/>
                <w:color w:val="auto"/>
                <w:w w:val="94"/>
                <w:vertAlign w:val="superscript"/>
              </w:rPr>
              <w:t>(1)</w:t>
            </w:r>
          </w:p>
        </w:tc>
        <w:tc>
          <w:tcPr>
            <w:tcW w:w="20" w:type="dxa"/>
            <w:vAlign w:val="bottom"/>
            <w:tcBorders>
              <w:bottom w:val="single" w:sz="8" w:color="2C6937"/>
            </w:tcBorders>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tcPr>
          <w:p>
            <w:pPr>
              <w:jc w:val="center"/>
              <w:ind w:right="340"/>
              <w:spacing w:after="0" w:line="180"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80" w:type="dxa"/>
            <w:vAlign w:val="bottom"/>
            <w:tcBorders>
              <w:bottom w:val="single" w:sz="8" w:color="2C6937"/>
            </w:tcBorders>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900" w:type="dxa"/>
            <w:vAlign w:val="bottom"/>
            <w:tcBorders>
              <w:bottom w:val="single" w:sz="8" w:color="2C6937"/>
            </w:tcBorders>
            <w:gridSpan w:val="2"/>
            <w:vMerge w:val="continue"/>
          </w:tcPr>
          <w:p>
            <w:pPr>
              <w:spacing w:after="0"/>
              <w:rPr>
                <w:sz w:val="15"/>
                <w:szCs w:val="15"/>
                <w:color w:val="auto"/>
              </w:rPr>
            </w:pPr>
          </w:p>
        </w:tc>
        <w:tc>
          <w:tcPr>
            <w:tcW w:w="1440" w:type="dxa"/>
            <w:vAlign w:val="bottom"/>
            <w:tcBorders>
              <w:bottom w:val="single" w:sz="8" w:color="2C6937"/>
            </w:tcBorders>
          </w:tcPr>
          <w:p>
            <w:pPr>
              <w:jc w:val="center"/>
              <w:ind w:left="186"/>
              <w:spacing w:after="0" w:line="180" w:lineRule="exact"/>
              <w:rPr>
                <w:sz w:val="20"/>
                <w:szCs w:val="20"/>
                <w:color w:val="auto"/>
              </w:rPr>
            </w:pPr>
            <w:r>
              <w:rPr>
                <w:rFonts w:ascii="Arial" w:cs="Arial" w:eastAsia="Arial" w:hAnsi="Arial"/>
                <w:sz w:val="14"/>
                <w:szCs w:val="14"/>
                <w:b w:val="1"/>
                <w:bCs w:val="1"/>
                <w:color w:val="auto"/>
                <w:w w:val="89"/>
              </w:rPr>
              <w:t>Class</w:t>
            </w:r>
            <w:r>
              <w:rPr>
                <w:rFonts w:ascii="Arial" w:cs="Arial" w:eastAsia="Arial" w:hAnsi="Arial"/>
                <w:sz w:val="17"/>
                <w:szCs w:val="17"/>
                <w:b w:val="1"/>
                <w:bCs w:val="1"/>
                <w:color w:val="auto"/>
                <w:w w:val="89"/>
                <w:vertAlign w:val="superscript"/>
              </w:rPr>
              <w:t>(2)</w:t>
            </w:r>
          </w:p>
        </w:tc>
        <w:tc>
          <w:tcPr>
            <w:tcW w:w="0" w:type="dxa"/>
            <w:vAlign w:val="bottom"/>
          </w:tcPr>
          <w:p>
            <w:pPr>
              <w:spacing w:after="0"/>
              <w:rPr>
                <w:sz w:val="1"/>
                <w:szCs w:val="1"/>
                <w:color w:val="auto"/>
              </w:rPr>
            </w:pPr>
          </w:p>
        </w:tc>
      </w:tr>
      <w:tr>
        <w:trPr>
          <w:trHeight w:val="198"/>
        </w:trPr>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7"/>
          </w:tcPr>
          <w:p>
            <w:pPr>
              <w:jc w:val="center"/>
              <w:ind w:right="49"/>
              <w:spacing w:after="0"/>
              <w:rPr>
                <w:sz w:val="20"/>
                <w:szCs w:val="20"/>
                <w:color w:val="auto"/>
              </w:rPr>
            </w:pPr>
            <w:r>
              <w:rPr>
                <w:rFonts w:ascii="Arial" w:cs="Arial" w:eastAsia="Arial" w:hAnsi="Arial"/>
                <w:sz w:val="14"/>
                <w:szCs w:val="14"/>
                <w:b w:val="1"/>
                <w:bCs w:val="1"/>
                <w:color w:val="auto"/>
                <w:w w:val="96"/>
              </w:rPr>
              <w:t>(Dollars in millions)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8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8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5,504</w:t>
            </w:r>
          </w:p>
        </w:tc>
        <w:tc>
          <w:tcPr>
            <w:tcW w:w="140" w:type="dxa"/>
            <w:vAlign w:val="bottom"/>
          </w:tcPr>
          <w:p>
            <w:pPr>
              <w:spacing w:after="0"/>
              <w:rPr>
                <w:sz w:val="18"/>
                <w:szCs w:val="18"/>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3,539</w:t>
            </w:r>
          </w:p>
        </w:tc>
        <w:tc>
          <w:tcPr>
            <w:tcW w:w="80" w:type="dxa"/>
            <w:vAlign w:val="bottom"/>
          </w:tcPr>
          <w:p>
            <w:pPr>
              <w:spacing w:after="0"/>
              <w:rPr>
                <w:sz w:val="18"/>
                <w:szCs w:val="18"/>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4,567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2,223</w:t>
            </w:r>
          </w:p>
        </w:tc>
        <w:tc>
          <w:tcPr>
            <w:tcW w:w="8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15,865</w:t>
            </w:r>
          </w:p>
        </w:tc>
        <w:tc>
          <w:tcPr>
            <w:tcW w:w="120" w:type="dxa"/>
            <w:vAlign w:val="bottom"/>
          </w:tcPr>
          <w:p>
            <w:pPr>
              <w:spacing w:after="0"/>
              <w:rPr>
                <w:sz w:val="18"/>
                <w:szCs w:val="18"/>
                <w:color w:val="auto"/>
              </w:rPr>
            </w:pP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8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80" w:type="dxa"/>
            <w:vAlign w:val="bottom"/>
            <w:gridSpan w:val="2"/>
          </w:tcPr>
          <w:p>
            <w:pPr>
              <w:ind w:left="320"/>
              <w:spacing w:after="0"/>
              <w:rPr>
                <w:sz w:val="20"/>
                <w:szCs w:val="20"/>
                <w:color w:val="auto"/>
              </w:rPr>
            </w:pPr>
            <w:r>
              <w:rPr>
                <w:rFonts w:ascii="Arial" w:cs="Arial" w:eastAsia="Arial" w:hAnsi="Arial"/>
                <w:sz w:val="15"/>
                <w:szCs w:val="15"/>
                <w:color w:val="auto"/>
              </w:rPr>
              <w:t>amortizing fixed-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80" w:type="dxa"/>
            <w:vAlign w:val="bottom"/>
            <w:gridSpan w:val="2"/>
          </w:tcPr>
          <w:p>
            <w:pPr>
              <w:ind w:left="320"/>
              <w:spacing w:after="0"/>
              <w:rPr>
                <w:sz w:val="20"/>
                <w:szCs w:val="20"/>
                <w:color w:val="auto"/>
              </w:rPr>
            </w:pPr>
            <w:r>
              <w:rPr>
                <w:rFonts w:ascii="Arial" w:cs="Arial" w:eastAsia="Arial" w:hAnsi="Arial"/>
                <w:sz w:val="15"/>
                <w:szCs w:val="15"/>
                <w:color w:val="auto"/>
              </w:rPr>
              <w:t>rate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496</w:t>
            </w:r>
          </w:p>
        </w:tc>
        <w:tc>
          <w:tcPr>
            <w:tcW w:w="120" w:type="dxa"/>
            <w:vAlign w:val="bottom"/>
          </w:tcPr>
          <w:p>
            <w:pPr>
              <w:spacing w:after="0"/>
              <w:rPr>
                <w:sz w:val="18"/>
                <w:szCs w:val="18"/>
                <w:color w:val="auto"/>
              </w:rPr>
            </w:pP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8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20"/>
                <w:szCs w:val="20"/>
                <w:color w:val="auto"/>
              </w:rPr>
            </w:pP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69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190</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24"/>
        </w:trPr>
        <w:tc>
          <w:tcPr>
            <w:tcW w:w="18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5,786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3,726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4,804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16,614</w:t>
            </w:r>
          </w:p>
        </w:tc>
        <w:tc>
          <w:tcPr>
            <w:tcW w:w="120" w:type="dxa"/>
            <w:vAlign w:val="bottom"/>
          </w:tcPr>
          <w:p>
            <w:pPr>
              <w:spacing w:after="0"/>
              <w:rPr>
                <w:sz w:val="19"/>
                <w:szCs w:val="19"/>
                <w:color w:val="auto"/>
              </w:rPr>
            </w:pP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3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0"/>
                <w:szCs w:val="20"/>
                <w:color w:val="auto"/>
              </w:rPr>
            </w:pP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88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5,791</w:t>
            </w:r>
          </w:p>
        </w:tc>
        <w:tc>
          <w:tcPr>
            <w:tcW w:w="140" w:type="dxa"/>
            <w:vAlign w:val="bottom"/>
          </w:tcPr>
          <w:p>
            <w:pPr>
              <w:spacing w:after="0"/>
              <w:rPr>
                <w:sz w:val="19"/>
                <w:szCs w:val="19"/>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3,726</w:t>
            </w:r>
          </w:p>
        </w:tc>
        <w:tc>
          <w:tcPr>
            <w:tcW w:w="80" w:type="dxa"/>
            <w:vAlign w:val="bottom"/>
          </w:tcPr>
          <w:p>
            <w:pPr>
              <w:spacing w:after="0"/>
              <w:rPr>
                <w:sz w:val="19"/>
                <w:szCs w:val="19"/>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4,804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2,252</w:t>
            </w:r>
          </w:p>
        </w:tc>
        <w:tc>
          <w:tcPr>
            <w:tcW w:w="8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16,631</w:t>
            </w:r>
          </w:p>
        </w:tc>
        <w:tc>
          <w:tcPr>
            <w:tcW w:w="120" w:type="dxa"/>
            <w:vAlign w:val="bottom"/>
          </w:tcPr>
          <w:p>
            <w:pPr>
              <w:spacing w:after="0"/>
              <w:rPr>
                <w:sz w:val="19"/>
                <w:szCs w:val="19"/>
                <w:color w:val="auto"/>
              </w:rPr>
            </w:pPr>
          </w:p>
        </w:tc>
        <w:tc>
          <w:tcPr>
            <w:tcW w:w="1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56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0" w:hanging="197"/>
        <w:spacing w:after="0"/>
        <w:tabs>
          <w:tab w:leader="none" w:pos="2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less than 0.5% of total by financing class.</w:t>
      </w:r>
    </w:p>
    <w:p>
      <w:pPr>
        <w:spacing w:after="0" w:line="19" w:lineRule="exact"/>
        <w:rPr>
          <w:sz w:val="20"/>
          <w:szCs w:val="20"/>
          <w:color w:val="auto"/>
        </w:rPr>
      </w:pPr>
    </w:p>
    <w:p>
      <w:pPr>
        <w:ind w:left="260" w:hanging="257"/>
        <w:spacing w:after="0"/>
        <w:tabs>
          <w:tab w:leader="none" w:pos="26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Represents loans that received a contractual modification.</w:t>
      </w:r>
    </w:p>
    <w:p>
      <w:pPr>
        <w:spacing w:after="0" w:line="37" w:lineRule="exact"/>
        <w:rPr>
          <w:rFonts w:ascii="Arial" w:cs="Arial" w:eastAsia="Arial" w:hAnsi="Arial"/>
          <w:sz w:val="18"/>
          <w:szCs w:val="18"/>
          <w:color w:val="auto"/>
          <w:vertAlign w:val="superscript"/>
        </w:rPr>
      </w:pPr>
    </w:p>
    <w:p>
      <w:pPr>
        <w:ind w:left="260" w:hanging="257"/>
        <w:spacing w:after="0" w:line="195" w:lineRule="auto"/>
        <w:tabs>
          <w:tab w:leader="none" w:pos="26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Based on the amortized cost basis as of period end, divided by the period-end amortized cost basis of the corresponding class of financing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7" w:name="page78"/>
    <w:bookmarkEnd w:id="77"/>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160" w:hanging="237"/>
        <w:spacing w:after="0" w:line="233" w:lineRule="auto"/>
        <w:tabs>
          <w:tab w:leader="none" w:pos="216"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Excludes loans that were the subject of loss mitigation activity during the period that paid off, were repurchased or were sold prior to period end. Also excludes loans that liquidated either through foreclosure, deed-in-lieu of foreclosure, or a short sale. Loans may move from one category to another, as a result of the restructuring(s) they received during the period.</w:t>
      </w:r>
    </w:p>
    <w:p>
      <w:pPr>
        <w:spacing w:after="0" w:line="39"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The following tables summarize the financial impacts of loan modifications and payment deferrals made to single-family HFI loans presented by class of financing receivable. We discuss the qualitative impacts of forbearance plans, repayment plans, and trial modifications in our 2024 Form 10-K in “Note 4, Mortgage Loans.” As a result, those loss mitigation options are excluded from the table below.</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3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2800" w:type="dxa"/>
            <w:vAlign w:val="bottom"/>
            <w:tcBorders>
              <w:bottom w:val="single" w:sz="8" w:color="2C6937"/>
            </w:tcBorders>
            <w:gridSpan w:val="6"/>
          </w:tcPr>
          <w:p>
            <w:pPr>
              <w:ind w:left="80"/>
              <w:spacing w:after="0"/>
              <w:rPr>
                <w:sz w:val="20"/>
                <w:szCs w:val="20"/>
                <w:color w:val="auto"/>
              </w:rPr>
            </w:pPr>
            <w:r>
              <w:rPr>
                <w:rFonts w:ascii="Arial" w:cs="Arial" w:eastAsia="Arial" w:hAnsi="Arial"/>
                <w:sz w:val="14"/>
                <w:szCs w:val="14"/>
                <w:b w:val="1"/>
                <w:bCs w:val="1"/>
                <w:color w:val="auto"/>
              </w:rPr>
              <w:t>For the Three Months Ended March 31,</w:t>
            </w:r>
          </w:p>
        </w:tc>
        <w:tc>
          <w:tcPr>
            <w:tcW w:w="12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2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Weighted-</w:t>
            </w:r>
          </w:p>
        </w:tc>
        <w:tc>
          <w:tcPr>
            <w:tcW w:w="80" w:type="dxa"/>
            <w:vAlign w:val="bottom"/>
          </w:tcPr>
          <w:p>
            <w:pPr>
              <w:spacing w:after="0"/>
              <w:rPr>
                <w:sz w:val="12"/>
                <w:szCs w:val="12"/>
                <w:color w:val="auto"/>
              </w:rPr>
            </w:pP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Average Amount</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w:t>
            </w: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7"/>
              </w:rPr>
              <w:t>Weighted-</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38"/>
        </w:trPr>
        <w:tc>
          <w:tcPr>
            <w:tcW w:w="3100" w:type="dxa"/>
            <w:vAlign w:val="bottom"/>
          </w:tcPr>
          <w:p>
            <w:pPr>
              <w:spacing w:after="0"/>
              <w:rPr>
                <w:sz w:val="12"/>
                <w:szCs w:val="12"/>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7"/>
              </w:rPr>
              <w:t>Average</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Average Term</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6"/>
              </w:rPr>
              <w:t>Capitalized as</w:t>
            </w:r>
          </w:p>
        </w:tc>
        <w:tc>
          <w:tcPr>
            <w:tcW w:w="14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7"/>
              </w:rPr>
              <w:t>Average</w:t>
            </w:r>
          </w:p>
        </w:tc>
        <w:tc>
          <w:tcPr>
            <w:tcW w:w="12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1"/>
                <w:szCs w:val="11"/>
                <w:color w:val="auto"/>
              </w:rPr>
            </w:pPr>
          </w:p>
        </w:tc>
        <w:tc>
          <w:tcPr>
            <w:tcW w:w="1100" w:type="dxa"/>
            <w:vAlign w:val="bottom"/>
          </w:tcPr>
          <w:p>
            <w:pPr>
              <w:jc w:val="center"/>
              <w:ind w:right="66"/>
              <w:spacing w:after="0" w:line="129"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Extension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14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Extension</w:t>
            </w:r>
          </w:p>
        </w:tc>
        <w:tc>
          <w:tcPr>
            <w:tcW w:w="120" w:type="dxa"/>
            <w:vAlign w:val="bottom"/>
          </w:tcPr>
          <w:p>
            <w:pPr>
              <w:spacing w:after="0"/>
              <w:rPr>
                <w:sz w:val="12"/>
                <w:szCs w:val="12"/>
                <w:color w:val="auto"/>
              </w:rPr>
            </w:pPr>
          </w:p>
        </w:tc>
        <w:tc>
          <w:tcPr>
            <w:tcW w:w="110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5"/>
                <w:szCs w:val="15"/>
                <w:color w:val="auto"/>
              </w:rPr>
            </w:pPr>
          </w:p>
        </w:tc>
        <w:tc>
          <w:tcPr>
            <w:tcW w:w="1300" w:type="dxa"/>
            <w:vAlign w:val="bottom"/>
            <w:gridSpan w:val="3"/>
          </w:tcPr>
          <w:p>
            <w:pPr>
              <w:jc w:val="center"/>
              <w:ind w:right="80"/>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Reduction</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 Months)</w:t>
            </w:r>
          </w:p>
        </w:tc>
        <w:tc>
          <w:tcPr>
            <w:tcW w:w="1220" w:type="dxa"/>
            <w:vAlign w:val="bottom"/>
            <w:gridSpan w:val="2"/>
          </w:tcPr>
          <w:p>
            <w:pPr>
              <w:jc w:val="right"/>
              <w:spacing w:after="0" w:line="180" w:lineRule="exact"/>
              <w:rPr>
                <w:sz w:val="20"/>
                <w:szCs w:val="20"/>
                <w:color w:val="auto"/>
              </w:rPr>
            </w:pPr>
            <w:r>
              <w:rPr>
                <w:rFonts w:ascii="Arial" w:cs="Arial" w:eastAsia="Arial" w:hAnsi="Arial"/>
                <w:sz w:val="14"/>
                <w:szCs w:val="14"/>
                <w:b w:val="1"/>
                <w:bCs w:val="1"/>
                <w:color w:val="auto"/>
              </w:rPr>
              <w:t>Payment Delay</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88"/>
        </w:trPr>
        <w:tc>
          <w:tcPr>
            <w:tcW w:w="310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7"/>
                <w:szCs w:val="17"/>
                <w:color w:val="auto"/>
                <w:vertAlign w:val="superscript"/>
              </w:rPr>
              <w:t>(2)</w:t>
            </w:r>
          </w:p>
        </w:tc>
        <w:tc>
          <w:tcPr>
            <w:tcW w:w="132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08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10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ind w:left="160"/>
              <w:spacing w:after="0"/>
              <w:rPr>
                <w:sz w:val="20"/>
                <w:szCs w:val="20"/>
                <w:color w:val="auto"/>
              </w:rPr>
            </w:pPr>
            <w:r>
              <w:rPr>
                <w:rFonts w:ascii="Arial" w:cs="Arial" w:eastAsia="Arial" w:hAnsi="Arial"/>
                <w:sz w:val="14"/>
                <w:szCs w:val="14"/>
                <w:color w:val="auto"/>
              </w:rPr>
              <w:t>20- and 30-year or more, amortizing fixed-rate</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0.63 %</w:t>
            </w:r>
          </w:p>
        </w:tc>
        <w:tc>
          <w:tcPr>
            <w:tcW w:w="80" w:type="dxa"/>
            <w:vAlign w:val="bottom"/>
          </w:tcPr>
          <w:p>
            <w:pPr>
              <w:spacing w:after="0"/>
              <w:rPr>
                <w:sz w:val="18"/>
                <w:szCs w:val="18"/>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157</w:t>
            </w:r>
          </w:p>
        </w:tc>
        <w:tc>
          <w:tcPr>
            <w:tcW w:w="220" w:type="dxa"/>
            <w:vAlign w:val="bottom"/>
            <w:gridSpan w:val="2"/>
          </w:tcPr>
          <w:p>
            <w:pPr>
              <w:ind w:left="10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12,403</w:t>
            </w:r>
          </w:p>
        </w:tc>
        <w:tc>
          <w:tcPr>
            <w:tcW w:w="8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1.04 %</w:t>
            </w:r>
          </w:p>
        </w:tc>
        <w:tc>
          <w:tcPr>
            <w:tcW w:w="10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163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13,886</w:t>
            </w:r>
          </w:p>
        </w:tc>
        <w:tc>
          <w:tcPr>
            <w:tcW w:w="0" w:type="dxa"/>
            <w:vAlign w:val="bottom"/>
          </w:tcPr>
          <w:p>
            <w:pPr>
              <w:spacing w:after="0"/>
              <w:rPr>
                <w:sz w:val="1"/>
                <w:szCs w:val="1"/>
                <w:color w:val="auto"/>
              </w:rPr>
            </w:pPr>
          </w:p>
        </w:tc>
      </w:tr>
      <w:tr>
        <w:trPr>
          <w:trHeight w:val="219"/>
        </w:trPr>
        <w:tc>
          <w:tcPr>
            <w:tcW w:w="310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320" w:type="dxa"/>
            <w:vAlign w:val="bottom"/>
          </w:tcPr>
          <w:p>
            <w:pPr>
              <w:jc w:val="right"/>
              <w:ind w:right="126"/>
              <w:spacing w:after="0"/>
              <w:rPr>
                <w:sz w:val="20"/>
                <w:szCs w:val="20"/>
                <w:color w:val="auto"/>
              </w:rPr>
            </w:pPr>
            <w:r>
              <w:rPr>
                <w:rFonts w:ascii="Arial" w:cs="Arial" w:eastAsia="Arial" w:hAnsi="Arial"/>
                <w:sz w:val="15"/>
                <w:szCs w:val="15"/>
                <w:b w:val="1"/>
                <w:bCs w:val="1"/>
                <w:color w:val="auto"/>
              </w:rPr>
              <w:t>1.13</w:t>
            </w:r>
          </w:p>
        </w:tc>
        <w:tc>
          <w:tcPr>
            <w:tcW w:w="80" w:type="dxa"/>
            <w:vAlign w:val="bottom"/>
          </w:tcPr>
          <w:p>
            <w:pPr>
              <w:spacing w:after="0"/>
              <w:rPr>
                <w:sz w:val="19"/>
                <w:szCs w:val="19"/>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8,660</w:t>
            </w:r>
          </w:p>
        </w:tc>
        <w:tc>
          <w:tcPr>
            <w:tcW w:w="80" w:type="dxa"/>
            <w:vAlign w:val="bottom"/>
          </w:tcPr>
          <w:p>
            <w:pPr>
              <w:spacing w:after="0"/>
              <w:rPr>
                <w:sz w:val="19"/>
                <w:szCs w:val="19"/>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1.54</w:t>
            </w:r>
          </w:p>
        </w:tc>
        <w:tc>
          <w:tcPr>
            <w:tcW w:w="100" w:type="dxa"/>
            <w:vAlign w:val="bottom"/>
          </w:tcPr>
          <w:p>
            <w:pPr>
              <w:spacing w:after="0"/>
              <w:rPr>
                <w:sz w:val="19"/>
                <w:szCs w:val="19"/>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13,893</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4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10,333</w:t>
            </w:r>
          </w:p>
        </w:tc>
        <w:tc>
          <w:tcPr>
            <w:tcW w:w="80" w:type="dxa"/>
            <w:vAlign w:val="bottom"/>
          </w:tcPr>
          <w:p>
            <w:pPr>
              <w:spacing w:after="0"/>
              <w:rPr>
                <w:sz w:val="24"/>
                <w:szCs w:val="24"/>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13,238</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Other</w:t>
            </w:r>
          </w:p>
        </w:tc>
        <w:tc>
          <w:tcPr>
            <w:tcW w:w="1320" w:type="dxa"/>
            <w:vAlign w:val="bottom"/>
          </w:tcPr>
          <w:p>
            <w:pPr>
              <w:jc w:val="right"/>
              <w:ind w:right="126"/>
              <w:spacing w:after="0"/>
              <w:rPr>
                <w:sz w:val="20"/>
                <w:szCs w:val="20"/>
                <w:color w:val="auto"/>
              </w:rPr>
            </w:pPr>
            <w:r>
              <w:rPr>
                <w:rFonts w:ascii="Arial" w:cs="Arial" w:eastAsia="Arial" w:hAnsi="Arial"/>
                <w:sz w:val="15"/>
                <w:szCs w:val="15"/>
                <w:b w:val="1"/>
                <w:bCs w:val="1"/>
                <w:color w:val="auto"/>
              </w:rPr>
              <w:t>1.00</w:t>
            </w:r>
          </w:p>
        </w:tc>
        <w:tc>
          <w:tcPr>
            <w:tcW w:w="80" w:type="dxa"/>
            <w:vAlign w:val="bottom"/>
          </w:tcPr>
          <w:p>
            <w:pPr>
              <w:spacing w:after="0"/>
              <w:rPr>
                <w:sz w:val="24"/>
                <w:szCs w:val="24"/>
                <w:color w:val="auto"/>
              </w:rPr>
            </w:pP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174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11,647</w:t>
            </w:r>
          </w:p>
        </w:tc>
        <w:tc>
          <w:tcPr>
            <w:tcW w:w="80" w:type="dxa"/>
            <w:vAlign w:val="bottom"/>
          </w:tcPr>
          <w:p>
            <w:pPr>
              <w:spacing w:after="0"/>
              <w:rPr>
                <w:sz w:val="24"/>
                <w:szCs w:val="24"/>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172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17,515</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0" w:hanging="217"/>
        <w:spacing w:after="0"/>
        <w:tabs>
          <w:tab w:leader="none" w:pos="2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Represents the average amount of delinquency-related amounts that were capitalized as part of the loan balance. Amounts are in whole dollars.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Excludes the financial effects of modifications for loans that were paid off or otherwise liquidated as of period end.</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following tables display the amortized cost of HFI loans that defaulted during the period and had received a completed modification or payment deferral in the twelve months prior to the payment default. For purposes of this disclosure, we define loans that had a payment default as single-family loans with completed modifications that are two or more months delinquent during the period; or multifamily loans with completed modifications that are one or more months delinquent during the period. For loans that receive a forbearance plan, repayment plan or trial modification, these loss mitigation options generally remain in default until the loan is no longer delinquent as a result of the payment of all past-due amounts or as a result of a loan modification or payment deferral. Therefore, forbearance plans, repayment plans and trial modifications are not included in default tables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30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rPr>
              <w:t>For the Three Months Ended March 31, 2025</w:t>
            </w:r>
          </w:p>
        </w:tc>
        <w:tc>
          <w:tcPr>
            <w:tcW w:w="34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7"/>
              </w:rPr>
              <w:t>Payment Delay as a</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 Delay and</w:t>
            </w:r>
          </w:p>
        </w:tc>
        <w:tc>
          <w:tcPr>
            <w:tcW w:w="100" w:type="dxa"/>
            <w:vAlign w:val="bottom"/>
          </w:tcPr>
          <w:p>
            <w:pPr>
              <w:spacing w:after="0"/>
              <w:rPr>
                <w:sz w:val="12"/>
                <w:szCs w:val="12"/>
                <w:color w:val="auto"/>
              </w:rPr>
            </w:pPr>
          </w:p>
        </w:tc>
        <w:tc>
          <w:tcPr>
            <w:tcW w:w="176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8"/>
              </w:rPr>
              <w:t>Extension, Interest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tcPr>
          <w:p>
            <w:pPr>
              <w:jc w:val="center"/>
              <w:ind w:right="380"/>
              <w:spacing w:after="0" w:line="139" w:lineRule="exact"/>
              <w:rPr>
                <w:sz w:val="20"/>
                <w:szCs w:val="20"/>
                <w:color w:val="auto"/>
              </w:rPr>
            </w:pPr>
            <w:r>
              <w:rPr>
                <w:rFonts w:ascii="Arial" w:cs="Arial" w:eastAsia="Arial" w:hAnsi="Arial"/>
                <w:sz w:val="14"/>
                <w:szCs w:val="14"/>
                <w:b w:val="1"/>
                <w:bCs w:val="1"/>
                <w:color w:val="auto"/>
                <w:w w:val="97"/>
              </w:rPr>
              <w:t>Result of a Payment</w:t>
            </w: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480"/>
              <w:spacing w:after="0" w:line="139" w:lineRule="exact"/>
              <w:rPr>
                <w:sz w:val="20"/>
                <w:szCs w:val="20"/>
                <w:color w:val="auto"/>
              </w:rPr>
            </w:pPr>
            <w:r>
              <w:rPr>
                <w:rFonts w:ascii="Arial" w:cs="Arial" w:eastAsia="Arial" w:hAnsi="Arial"/>
                <w:sz w:val="14"/>
                <w:szCs w:val="14"/>
                <w:b w:val="1"/>
                <w:bCs w:val="1"/>
                <w:color w:val="auto"/>
                <w:w w:val="97"/>
              </w:rPr>
              <w:t>Rate Reduction and</w:t>
            </w:r>
          </w:p>
        </w:tc>
        <w:tc>
          <w:tcPr>
            <w:tcW w:w="340" w:type="dxa"/>
            <w:vAlign w:val="bottom"/>
          </w:tcPr>
          <w:p>
            <w:pPr>
              <w:spacing w:after="0"/>
              <w:rPr>
                <w:sz w:val="12"/>
                <w:szCs w:val="12"/>
                <w:color w:val="auto"/>
              </w:rPr>
            </w:pPr>
          </w:p>
        </w:tc>
        <w:tc>
          <w:tcPr>
            <w:tcW w:w="1140" w:type="dxa"/>
            <w:vAlign w:val="bottom"/>
            <w:vMerge w:val="restart"/>
          </w:tcPr>
          <w:p>
            <w:pPr>
              <w:jc w:val="right"/>
              <w:ind w:right="5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tcPr>
          <w:p>
            <w:pPr>
              <w:jc w:val="center"/>
              <w:ind w:right="124"/>
              <w:spacing w:after="0"/>
              <w:rPr>
                <w:sz w:val="20"/>
                <w:szCs w:val="20"/>
                <w:color w:val="auto"/>
              </w:rPr>
            </w:pPr>
            <w:r>
              <w:rPr>
                <w:rFonts w:ascii="Arial" w:cs="Arial" w:eastAsia="Arial" w:hAnsi="Arial"/>
                <w:sz w:val="14"/>
                <w:szCs w:val="14"/>
                <w:b w:val="1"/>
                <w:bCs w:val="1"/>
                <w:color w:val="auto"/>
                <w:w w:val="96"/>
              </w:rPr>
              <w:t>Deferral (Only)</w:t>
            </w:r>
          </w:p>
        </w:tc>
        <w:tc>
          <w:tcPr>
            <w:tcW w:w="36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00" w:type="dxa"/>
            <w:vAlign w:val="bottom"/>
            <w:tcBorders>
              <w:bottom w:val="single" w:sz="8" w:color="2C6937"/>
            </w:tcBorders>
          </w:tcPr>
          <w:p>
            <w:pPr>
              <w:jc w:val="right"/>
              <w:ind w:right="166"/>
              <w:spacing w:after="0"/>
              <w:rPr>
                <w:sz w:val="20"/>
                <w:szCs w:val="20"/>
                <w:color w:val="auto"/>
              </w:rPr>
            </w:pPr>
            <w:r>
              <w:rPr>
                <w:rFonts w:ascii="Arial" w:cs="Arial" w:eastAsia="Arial" w:hAnsi="Arial"/>
                <w:sz w:val="14"/>
                <w:szCs w:val="14"/>
                <w:b w:val="1"/>
                <w:bCs w:val="1"/>
                <w:color w:val="auto"/>
              </w:rPr>
              <w:t>Term Extension</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38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Pr>
          <w:p>
            <w:pPr>
              <w:spacing w:after="0"/>
              <w:rPr>
                <w:sz w:val="15"/>
                <w:szCs w:val="15"/>
                <w:color w:val="auto"/>
              </w:rPr>
            </w:pPr>
          </w:p>
        </w:tc>
        <w:tc>
          <w:tcPr>
            <w:tcW w:w="340" w:type="dxa"/>
            <w:vAlign w:val="bottom"/>
            <w:tcBorders>
              <w:bottom w:val="single" w:sz="8" w:color="2C6937"/>
            </w:tcBorders>
          </w:tcPr>
          <w:p>
            <w:pPr>
              <w:spacing w:after="0"/>
              <w:rPr>
                <w:sz w:val="15"/>
                <w:szCs w:val="15"/>
                <w:color w:val="auto"/>
              </w:rPr>
            </w:pPr>
          </w:p>
        </w:tc>
        <w:tc>
          <w:tcPr>
            <w:tcW w:w="114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gridSpan w:val="5"/>
          </w:tcPr>
          <w:p>
            <w:pPr>
              <w:ind w:left="76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1,176</w:t>
            </w:r>
          </w:p>
        </w:tc>
        <w:tc>
          <w:tcPr>
            <w:tcW w:w="3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756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19</w:t>
            </w:r>
          </w:p>
        </w:tc>
        <w:tc>
          <w:tcPr>
            <w:tcW w:w="380" w:type="dxa"/>
            <w:vAlign w:val="bottom"/>
          </w:tcPr>
          <w:p>
            <w:pPr>
              <w:spacing w:after="0"/>
              <w:rPr>
                <w:sz w:val="21"/>
                <w:szCs w:val="21"/>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1,951</w:t>
            </w:r>
          </w:p>
        </w:tc>
        <w:tc>
          <w:tcPr>
            <w:tcW w:w="0" w:type="dxa"/>
            <w:vAlign w:val="bottom"/>
          </w:tcPr>
          <w:p>
            <w:pPr>
              <w:spacing w:after="0"/>
              <w:rPr>
                <w:sz w:val="1"/>
                <w:szCs w:val="1"/>
                <w:color w:val="auto"/>
              </w:rPr>
            </w:pPr>
          </w:p>
        </w:tc>
      </w:tr>
      <w:tr>
        <w:trPr>
          <w:trHeight w:val="232"/>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80" w:type="dxa"/>
            <w:vAlign w:val="bottom"/>
          </w:tcPr>
          <w:p>
            <w:pPr>
              <w:spacing w:after="0"/>
              <w:rPr>
                <w:sz w:val="20"/>
                <w:szCs w:val="20"/>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32"/>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80" w:type="dxa"/>
            <w:vAlign w:val="bottom"/>
          </w:tcPr>
          <w:p>
            <w:pPr>
              <w:spacing w:after="0"/>
              <w:rPr>
                <w:sz w:val="20"/>
                <w:szCs w:val="20"/>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33"/>
        </w:trPr>
        <w:tc>
          <w:tcPr>
            <w:tcW w:w="43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3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13</w:t>
            </w:r>
          </w:p>
        </w:tc>
        <w:tc>
          <w:tcPr>
            <w:tcW w:w="36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c>
          <w:tcPr>
            <w:tcW w:w="38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24"/>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80" w:type="dxa"/>
            <w:vAlign w:val="bottom"/>
          </w:tcPr>
          <w:p>
            <w:pPr>
              <w:spacing w:after="0"/>
              <w:rPr>
                <w:sz w:val="19"/>
                <w:szCs w:val="19"/>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1,228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2,014</w:t>
            </w:r>
          </w:p>
        </w:tc>
        <w:tc>
          <w:tcPr>
            <w:tcW w:w="0" w:type="dxa"/>
            <w:vAlign w:val="bottom"/>
          </w:tcPr>
          <w:p>
            <w:pPr>
              <w:spacing w:after="0"/>
              <w:rPr>
                <w:sz w:val="1"/>
                <w:szCs w:val="1"/>
                <w:color w:val="auto"/>
              </w:rPr>
            </w:pPr>
          </w:p>
        </w:tc>
      </w:tr>
      <w:tr>
        <w:trPr>
          <w:trHeight w:val="233"/>
        </w:trPr>
        <w:tc>
          <w:tcPr>
            <w:tcW w:w="43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3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446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1,228</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763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23</w:t>
            </w:r>
          </w:p>
        </w:tc>
        <w:tc>
          <w:tcPr>
            <w:tcW w:w="380" w:type="dxa"/>
            <w:vAlign w:val="bottom"/>
          </w:tcPr>
          <w:p>
            <w:pPr>
              <w:spacing w:after="0"/>
              <w:rPr>
                <w:sz w:val="19"/>
                <w:szCs w:val="19"/>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2,014</w:t>
            </w:r>
          </w:p>
        </w:tc>
        <w:tc>
          <w:tcPr>
            <w:tcW w:w="0" w:type="dxa"/>
            <w:vAlign w:val="bottom"/>
          </w:tcPr>
          <w:p>
            <w:pPr>
              <w:spacing w:after="0"/>
              <w:rPr>
                <w:sz w:val="1"/>
                <w:szCs w:val="1"/>
                <w:color w:val="auto"/>
              </w:rPr>
            </w:pPr>
          </w:p>
        </w:tc>
      </w:tr>
      <w:tr>
        <w:trPr>
          <w:trHeight w:val="20"/>
        </w:trPr>
        <w:tc>
          <w:tcPr>
            <w:tcW w:w="43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30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8" w:name="page79"/>
    <w:bookmarkEnd w:id="78"/>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6"/>
          </w:tcPr>
          <w:p>
            <w:pPr>
              <w:ind w:left="40"/>
              <w:spacing w:after="0"/>
              <w:rPr>
                <w:sz w:val="20"/>
                <w:szCs w:val="20"/>
                <w:color w:val="auto"/>
              </w:rPr>
            </w:pPr>
            <w:r>
              <w:rPr>
                <w:rFonts w:ascii="Arial" w:cs="Arial" w:eastAsia="Arial" w:hAnsi="Arial"/>
                <w:sz w:val="14"/>
                <w:szCs w:val="14"/>
                <w:b w:val="1"/>
                <w:bCs w:val="1"/>
                <w:color w:val="auto"/>
              </w:rPr>
              <w:t>For the Three Months Ended March 31, 2024</w:t>
            </w:r>
          </w:p>
        </w:tc>
        <w:tc>
          <w:tcPr>
            <w:tcW w:w="34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9"/>
              </w:rPr>
              <w:t>Payment Delay as a</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360"/>
              <w:spacing w:after="0" w:line="145" w:lineRule="exact"/>
              <w:rPr>
                <w:sz w:val="20"/>
                <w:szCs w:val="20"/>
                <w:color w:val="auto"/>
              </w:rPr>
            </w:pPr>
            <w:r>
              <w:rPr>
                <w:rFonts w:ascii="Arial" w:cs="Arial" w:eastAsia="Arial" w:hAnsi="Arial"/>
                <w:sz w:val="14"/>
                <w:szCs w:val="14"/>
                <w:b w:val="1"/>
                <w:bCs w:val="1"/>
                <w:color w:val="auto"/>
                <w:w w:val="97"/>
              </w:rPr>
              <w:t>Payment Delay, Term</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Payment Delay and</w:t>
            </w:r>
          </w:p>
        </w:tc>
        <w:tc>
          <w:tcPr>
            <w:tcW w:w="1200" w:type="dxa"/>
            <w:vAlign w:val="bottom"/>
          </w:tcPr>
          <w:p>
            <w:pPr>
              <w:jc w:val="center"/>
              <w:ind w:left="188"/>
              <w:spacing w:after="0" w:line="139" w:lineRule="exact"/>
              <w:rPr>
                <w:sz w:val="20"/>
                <w:szCs w:val="20"/>
                <w:color w:val="auto"/>
              </w:rPr>
            </w:pPr>
            <w:r>
              <w:rPr>
                <w:rFonts w:ascii="Arial" w:cs="Arial" w:eastAsia="Arial" w:hAnsi="Arial"/>
                <w:sz w:val="14"/>
                <w:szCs w:val="14"/>
                <w:b w:val="1"/>
                <w:bCs w:val="1"/>
                <w:color w:val="auto"/>
                <w:w w:val="98"/>
              </w:rPr>
              <w:t>Extension and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3"/>
          </w:tcPr>
          <w:p>
            <w:pPr>
              <w:jc w:val="center"/>
              <w:ind w:right="380"/>
              <w:spacing w:after="0" w:line="142" w:lineRule="exact"/>
              <w:rPr>
                <w:sz w:val="20"/>
                <w:szCs w:val="20"/>
                <w:color w:val="auto"/>
              </w:rPr>
            </w:pPr>
            <w:r>
              <w:rPr>
                <w:rFonts w:ascii="Arial" w:cs="Arial" w:eastAsia="Arial" w:hAnsi="Arial"/>
                <w:sz w:val="14"/>
                <w:szCs w:val="14"/>
                <w:b w:val="1"/>
                <w:bCs w:val="1"/>
                <w:color w:val="auto"/>
                <w:w w:val="97"/>
              </w:rPr>
              <w:t>Result of a Payment</w:t>
            </w:r>
          </w:p>
        </w:tc>
        <w:tc>
          <w:tcPr>
            <w:tcW w:w="1540" w:type="dxa"/>
            <w:vAlign w:val="bottom"/>
            <w:gridSpan w:val="3"/>
            <w:vMerge w:val="continue"/>
          </w:tcPr>
          <w:p>
            <w:pPr>
              <w:spacing w:after="0"/>
              <w:rPr>
                <w:sz w:val="12"/>
                <w:szCs w:val="12"/>
                <w:color w:val="auto"/>
              </w:rPr>
            </w:pPr>
          </w:p>
        </w:tc>
        <w:tc>
          <w:tcPr>
            <w:tcW w:w="1200" w:type="dxa"/>
            <w:vAlign w:val="bottom"/>
          </w:tcPr>
          <w:p>
            <w:pPr>
              <w:jc w:val="center"/>
              <w:ind w:left="188"/>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660" w:type="dxa"/>
            <w:vAlign w:val="bottom"/>
            <w:tcBorders>
              <w:bottom w:val="single" w:sz="8" w:color="2C6937"/>
            </w:tcBorders>
            <w:gridSpan w:val="2"/>
          </w:tcPr>
          <w:p>
            <w:pPr>
              <w:jc w:val="center"/>
              <w:ind w:right="560"/>
              <w:spacing w:after="0"/>
              <w:rPr>
                <w:sz w:val="20"/>
                <w:szCs w:val="20"/>
                <w:color w:val="auto"/>
              </w:rPr>
            </w:pPr>
            <w:r>
              <w:rPr>
                <w:rFonts w:ascii="Arial" w:cs="Arial" w:eastAsia="Arial" w:hAnsi="Arial"/>
                <w:sz w:val="14"/>
                <w:szCs w:val="14"/>
                <w:b w:val="1"/>
                <w:bCs w:val="1"/>
                <w:color w:val="auto"/>
                <w:w w:val="96"/>
              </w:rPr>
              <w:t>Deferral (Only)</w:t>
            </w:r>
          </w:p>
        </w:tc>
        <w:tc>
          <w:tcPr>
            <w:tcW w:w="160" w:type="dxa"/>
            <w:vAlign w:val="bottom"/>
            <w:tcBorders>
              <w:bottom w:val="single" w:sz="8" w:color="2C6937"/>
            </w:tcBorders>
          </w:tcPr>
          <w:p>
            <w:pPr>
              <w:spacing w:after="0"/>
              <w:rPr>
                <w:sz w:val="15"/>
                <w:szCs w:val="15"/>
                <w:color w:val="auto"/>
              </w:rPr>
            </w:pPr>
          </w:p>
        </w:tc>
        <w:tc>
          <w:tcPr>
            <w:tcW w:w="13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7"/>
              </w:rPr>
              <w:t>Term Extension</w:t>
            </w:r>
          </w:p>
        </w:tc>
        <w:tc>
          <w:tcPr>
            <w:tcW w:w="1200" w:type="dxa"/>
            <w:vAlign w:val="bottom"/>
            <w:tcBorders>
              <w:bottom w:val="single" w:sz="8" w:color="2C6937"/>
            </w:tcBorders>
          </w:tcPr>
          <w:p>
            <w:pPr>
              <w:jc w:val="center"/>
              <w:ind w:left="188"/>
              <w:spacing w:after="0"/>
              <w:rPr>
                <w:sz w:val="20"/>
                <w:szCs w:val="20"/>
                <w:color w:val="auto"/>
              </w:rPr>
            </w:pPr>
            <w:r>
              <w:rPr>
                <w:rFonts w:ascii="Arial" w:cs="Arial" w:eastAsia="Arial" w:hAnsi="Arial"/>
                <w:sz w:val="14"/>
                <w:szCs w:val="14"/>
                <w:b w:val="1"/>
                <w:bCs w:val="1"/>
                <w:color w:val="auto"/>
                <w:w w:val="96"/>
              </w:rPr>
              <w:t>Reduction</w:t>
            </w:r>
          </w:p>
        </w:tc>
        <w:tc>
          <w:tcPr>
            <w:tcW w:w="260" w:type="dxa"/>
            <w:vAlign w:val="bottom"/>
            <w:tcBorders>
              <w:bottom w:val="single" w:sz="8" w:color="2C6937"/>
            </w:tcBorders>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34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3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3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871</w:t>
            </w:r>
          </w:p>
        </w:tc>
        <w:tc>
          <w:tcPr>
            <w:tcW w:w="3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490</w:t>
            </w:r>
          </w:p>
        </w:tc>
        <w:tc>
          <w:tcPr>
            <w:tcW w:w="100" w:type="dxa"/>
            <w:vAlign w:val="bottom"/>
          </w:tcPr>
          <w:p>
            <w:pPr>
              <w:spacing w:after="0"/>
              <w:rPr>
                <w:sz w:val="20"/>
                <w:szCs w:val="20"/>
                <w:color w:val="auto"/>
              </w:rPr>
            </w:pPr>
          </w:p>
        </w:tc>
        <w:tc>
          <w:tcPr>
            <w:tcW w:w="1200" w:type="dxa"/>
            <w:vAlign w:val="bottom"/>
          </w:tcPr>
          <w:p>
            <w:pPr>
              <w:jc w:val="right"/>
              <w:ind w:right="1028"/>
              <w:spacing w:after="0"/>
              <w:rPr>
                <w:sz w:val="20"/>
                <w:szCs w:val="20"/>
                <w:color w:val="auto"/>
              </w:rPr>
            </w:pPr>
            <w:r>
              <w:rPr>
                <w:rFonts w:ascii="Arial" w:cs="Arial" w:eastAsia="Arial" w:hAnsi="Arial"/>
                <w:sz w:val="15"/>
                <w:szCs w:val="15"/>
                <w:color w:val="auto"/>
                <w:w w:val="95"/>
              </w:rPr>
              <w:t>$</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w w:val="95"/>
              </w:rPr>
              <w:t>15</w:t>
            </w:r>
          </w:p>
        </w:tc>
        <w:tc>
          <w:tcPr>
            <w:tcW w:w="360" w:type="dxa"/>
            <w:vAlign w:val="bottom"/>
          </w:tcPr>
          <w:p>
            <w:pPr>
              <w:spacing w:after="0"/>
              <w:rPr>
                <w:sz w:val="20"/>
                <w:szCs w:val="20"/>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1,376</w:t>
            </w:r>
          </w:p>
        </w:tc>
        <w:tc>
          <w:tcPr>
            <w:tcW w:w="0" w:type="dxa"/>
            <w:vAlign w:val="bottom"/>
          </w:tcPr>
          <w:p>
            <w:pPr>
              <w:spacing w:after="0"/>
              <w:rPr>
                <w:sz w:val="1"/>
                <w:szCs w:val="1"/>
                <w:color w:val="auto"/>
              </w:rPr>
            </w:pPr>
          </w:p>
        </w:tc>
      </w:tr>
      <w:tr>
        <w:trPr>
          <w:trHeight w:val="232"/>
        </w:trPr>
        <w:tc>
          <w:tcPr>
            <w:tcW w:w="43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8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29</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tcPr>
          <w:p>
            <w:pPr>
              <w:spacing w:after="0"/>
              <w:rPr>
                <w:sz w:val="20"/>
                <w:szCs w:val="20"/>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32"/>
        </w:trPr>
        <w:tc>
          <w:tcPr>
            <w:tcW w:w="43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8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tcPr>
          <w:p>
            <w:pPr>
              <w:spacing w:after="0"/>
              <w:rPr>
                <w:sz w:val="20"/>
                <w:szCs w:val="20"/>
                <w:color w:val="auto"/>
              </w:rPr>
            </w:pP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2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14</w:t>
            </w:r>
          </w:p>
        </w:tc>
        <w:tc>
          <w:tcPr>
            <w:tcW w:w="3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1200" w:type="dxa"/>
            <w:vAlign w:val="bottom"/>
            <w:tcBorders>
              <w:bottom w:val="single" w:sz="8" w:color="2C6937"/>
            </w:tcBorders>
          </w:tcPr>
          <w:p>
            <w:pPr>
              <w:spacing w:after="0"/>
              <w:rPr>
                <w:sz w:val="20"/>
                <w:szCs w:val="20"/>
                <w:color w:val="auto"/>
              </w:rPr>
            </w:pPr>
          </w:p>
        </w:tc>
        <w:tc>
          <w:tcPr>
            <w:tcW w:w="2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w:t>
            </w:r>
          </w:p>
        </w:tc>
        <w:tc>
          <w:tcPr>
            <w:tcW w:w="36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8"/>
        </w:trPr>
        <w:tc>
          <w:tcPr>
            <w:tcW w:w="43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8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917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497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jc w:val="right"/>
              <w:ind w:right="3"/>
              <w:spacing w:after="0"/>
              <w:rPr>
                <w:sz w:val="20"/>
                <w:szCs w:val="20"/>
                <w:color w:val="auto"/>
              </w:rPr>
            </w:pPr>
            <w:r>
              <w:rPr>
                <w:rFonts w:ascii="Arial" w:cs="Arial" w:eastAsia="Arial" w:hAnsi="Arial"/>
                <w:sz w:val="15"/>
                <w:szCs w:val="15"/>
                <w:color w:val="auto"/>
                <w:w w:val="95"/>
              </w:rPr>
              <w:t>20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1,434</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2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0" w:type="dxa"/>
            <w:vAlign w:val="bottom"/>
            <w:tcBorders>
              <w:bottom w:val="single" w:sz="8" w:color="2C6937"/>
            </w:tcBorders>
          </w:tcPr>
          <w:p>
            <w:pPr>
              <w:spacing w:after="0"/>
              <w:rPr>
                <w:sz w:val="20"/>
                <w:szCs w:val="20"/>
                <w:color w:val="auto"/>
              </w:rPr>
            </w:pPr>
          </w:p>
        </w:tc>
        <w:tc>
          <w:tcPr>
            <w:tcW w:w="2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w:t>
            </w:r>
          </w:p>
        </w:tc>
        <w:tc>
          <w:tcPr>
            <w:tcW w:w="36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32"/>
        </w:trPr>
        <w:tc>
          <w:tcPr>
            <w:tcW w:w="436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917</w:t>
            </w:r>
          </w:p>
        </w:tc>
        <w:tc>
          <w:tcPr>
            <w:tcW w:w="3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497</w:t>
            </w:r>
          </w:p>
        </w:tc>
        <w:tc>
          <w:tcPr>
            <w:tcW w:w="100" w:type="dxa"/>
            <w:vAlign w:val="bottom"/>
          </w:tcPr>
          <w:p>
            <w:pPr>
              <w:spacing w:after="0"/>
              <w:rPr>
                <w:sz w:val="20"/>
                <w:szCs w:val="20"/>
                <w:color w:val="auto"/>
              </w:rPr>
            </w:pPr>
          </w:p>
        </w:tc>
        <w:tc>
          <w:tcPr>
            <w:tcW w:w="1200" w:type="dxa"/>
            <w:vAlign w:val="bottom"/>
          </w:tcPr>
          <w:p>
            <w:pPr>
              <w:jc w:val="right"/>
              <w:ind w:right="1028"/>
              <w:spacing w:after="0"/>
              <w:rPr>
                <w:sz w:val="20"/>
                <w:szCs w:val="20"/>
                <w:color w:val="auto"/>
              </w:rPr>
            </w:pPr>
            <w:r>
              <w:rPr>
                <w:rFonts w:ascii="Arial" w:cs="Arial" w:eastAsia="Arial" w:hAnsi="Arial"/>
                <w:sz w:val="15"/>
                <w:szCs w:val="15"/>
                <w:color w:val="auto"/>
                <w:w w:val="95"/>
              </w:rPr>
              <w:t>$</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w w:val="95"/>
              </w:rPr>
              <w:t>25</w:t>
            </w:r>
          </w:p>
        </w:tc>
        <w:tc>
          <w:tcPr>
            <w:tcW w:w="360" w:type="dxa"/>
            <w:vAlign w:val="bottom"/>
          </w:tcPr>
          <w:p>
            <w:pPr>
              <w:spacing w:after="0"/>
              <w:rPr>
                <w:sz w:val="20"/>
                <w:szCs w:val="20"/>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1,439</w:t>
            </w:r>
          </w:p>
        </w:tc>
        <w:tc>
          <w:tcPr>
            <w:tcW w:w="0" w:type="dxa"/>
            <w:vAlign w:val="bottom"/>
          </w:tcPr>
          <w:p>
            <w:pPr>
              <w:spacing w:after="0"/>
              <w:rPr>
                <w:sz w:val="1"/>
                <w:szCs w:val="1"/>
                <w:color w:val="auto"/>
              </w:rPr>
            </w:pPr>
          </w:p>
        </w:tc>
      </w:tr>
      <w:tr>
        <w:trPr>
          <w:trHeight w:val="20"/>
        </w:trPr>
        <w:tc>
          <w:tcPr>
            <w:tcW w:w="42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28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2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37" w:lineRule="exact"/>
        <w:rPr>
          <w:rFonts w:ascii="Arial" w:cs="Arial" w:eastAsia="Arial" w:hAnsi="Arial"/>
          <w:sz w:val="18"/>
          <w:szCs w:val="18"/>
          <w:color w:val="auto"/>
          <w:vertAlign w:val="superscript"/>
        </w:rPr>
      </w:pPr>
    </w:p>
    <w:p>
      <w:pPr>
        <w:ind w:left="240" w:right="60" w:hanging="237"/>
        <w:spacing w:after="0" w:line="222" w:lineRule="auto"/>
        <w:tabs>
          <w:tab w:leader="none" w:pos="216"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the three months ended March 31, 2025 did not default during the first quarter of 2025. The substantial majority of loans that received a completed modification or a payment deferral during the three months ended March 31, 2024 did not default during the first quarter of 2024.</w:t>
      </w:r>
    </w:p>
    <w:p>
      <w:pPr>
        <w:spacing w:after="0" w:line="5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following tables display an aging analysis of HFI mortgage loans that were restructured during the twelve months prior to March 31, 2025 and March 31, 2024, respectively, presented by portfolio segment and class of financing receivable.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8"/>
              </w:rPr>
              <w:t>As of March 31, 2025</w:t>
            </w:r>
            <w:r>
              <w:rPr>
                <w:rFonts w:ascii="Arial" w:cs="Arial" w:eastAsia="Arial" w:hAnsi="Arial"/>
                <w:sz w:val="8"/>
                <w:szCs w:val="8"/>
                <w:b w:val="1"/>
                <w:bCs w:val="1"/>
                <w:color w:val="auto"/>
                <w:w w:val="98"/>
              </w:rPr>
              <w:t>(1)</w:t>
            </w:r>
          </w:p>
        </w:tc>
        <w:tc>
          <w:tcPr>
            <w:tcW w:w="2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3"/>
                <w:szCs w:val="13"/>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8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4,040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2,889</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13,813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20,742</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14,107</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34,849</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963</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206</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218"/>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3,016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14,384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21,603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14,664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36,267</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613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613</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1,051</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1,664</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4,203</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3,016</w:t>
            </w:r>
          </w:p>
        </w:tc>
        <w:tc>
          <w:tcPr>
            <w:tcW w:w="8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14,997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22,216</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15,715</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37,931</w:t>
            </w:r>
          </w:p>
        </w:tc>
        <w:tc>
          <w:tcPr>
            <w:tcW w:w="0" w:type="dxa"/>
            <w:vAlign w:val="bottom"/>
          </w:tcPr>
          <w:p>
            <w:pPr>
              <w:spacing w:after="0"/>
              <w:rPr>
                <w:sz w:val="1"/>
                <w:szCs w:val="1"/>
                <w:color w:val="auto"/>
              </w:rPr>
            </w:pPr>
          </w:p>
        </w:tc>
      </w:tr>
      <w:tr>
        <w:trPr>
          <w:trHeight w:val="20"/>
        </w:trPr>
        <w:tc>
          <w:tcPr>
            <w:tcW w:w="2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9" w:name="page80"/>
    <w:bookmarkEnd w:id="79"/>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As of March 31, 2024</w:t>
            </w:r>
            <w:r>
              <w:rPr>
                <w:rFonts w:ascii="Arial" w:cs="Arial" w:eastAsia="Arial" w:hAnsi="Arial"/>
                <w:sz w:val="17"/>
                <w:szCs w:val="17"/>
                <w:b w:val="1"/>
                <w:bCs w:val="1"/>
                <w:color w:val="auto"/>
                <w:w w:val="95"/>
                <w:vertAlign w:val="superscript"/>
              </w:rPr>
              <w:t>(1)</w:t>
            </w:r>
          </w:p>
        </w:tc>
        <w:tc>
          <w:tcPr>
            <w:tcW w:w="2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2"/>
                <w:szCs w:val="12"/>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3,283</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2,080</w:t>
            </w:r>
          </w:p>
        </w:tc>
        <w:tc>
          <w:tcPr>
            <w:tcW w:w="8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11,125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16,488</w:t>
            </w:r>
          </w:p>
        </w:tc>
        <w:tc>
          <w:tcPr>
            <w:tcW w:w="10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12,856</w:t>
            </w:r>
          </w:p>
        </w:tc>
        <w:tc>
          <w:tcPr>
            <w:tcW w:w="10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29,344</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943</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143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218"/>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2,182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11,679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17,305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13,525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30,830</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6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343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356</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957</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1,313</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3,457</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2,182</w:t>
            </w:r>
          </w:p>
        </w:tc>
        <w:tc>
          <w:tcPr>
            <w:tcW w:w="8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12,022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17,661</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14,482</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32,143</w:t>
            </w:r>
          </w:p>
        </w:tc>
        <w:tc>
          <w:tcPr>
            <w:tcW w:w="0" w:type="dxa"/>
            <w:vAlign w:val="bottom"/>
          </w:tcPr>
          <w:p>
            <w:pPr>
              <w:spacing w:after="0"/>
              <w:rPr>
                <w:sz w:val="1"/>
                <w:szCs w:val="1"/>
                <w:color w:val="auto"/>
              </w:rPr>
            </w:pPr>
          </w:p>
        </w:tc>
      </w:tr>
      <w:tr>
        <w:trPr>
          <w:trHeight w:val="20"/>
        </w:trPr>
        <w:tc>
          <w:tcPr>
            <w:tcW w:w="2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right="60" w:hanging="237"/>
        <w:spacing w:after="0" w:line="228" w:lineRule="auto"/>
        <w:tabs>
          <w:tab w:leader="none" w:pos="216"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As of March 31, 2025, the substantial majority of loans that received a completed modification or a payment deferral during the first quarter of 2025 were not delinquent as of March 31, 2025. As of March 31, 2024, the substantial majority of loans that received a completed modification or a payment deferral during the first quarter of 2024 were not delinquent as of March 31, 2024.</w:t>
      </w:r>
    </w:p>
    <w:p>
      <w:pPr>
        <w:ind w:left="240" w:hanging="237"/>
        <w:spacing w:after="0"/>
        <w:tabs>
          <w:tab w:leader="none" w:pos="24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Represents the amortized cost basis as of period end.</w:t>
      </w:r>
    </w:p>
    <w:p>
      <w:pPr>
        <w:spacing w:after="0" w:line="9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Nonaccrual Loans</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recognize interest income on an accrual basis except when we believe the collection of principal and interest is not reasonably assured. This generally occurs when a single-family loan is three or more months past due and a multifamily loan is two or more months past due according to its contractual terms. A loan is reported as past due if a full payment of principal and interest is not received within one month of its due date. When a loan is placed on nonaccrual status based on delinquency status, interest previously accrued but not collected on the loan is reversed through interest income.</w:t>
      </w:r>
    </w:p>
    <w:p>
      <w:pPr>
        <w:spacing w:after="0" w:line="3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Cost basis adjustments on HFI loans are amortized into interest income over the contractual life of the loan using the effective interest method. Cost basis adjustments on the loan are not amortized into income while a loan is on nonaccrual status. We have elected not to measure an allowance for credit losses on accrued interest receivable balances as we have a nonaccrual policy to ensure the timely reversal of unpaid accrued interest.</w:t>
      </w:r>
    </w:p>
    <w:p>
      <w:pPr>
        <w:spacing w:after="0" w:line="32"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For single-family loans, we recognize any contractual interest payments received on the loan while on nonaccrual status as interest income on a cash basis. For multifamily loans, we account for interest income on a cost recovery basis and we apply any payment received while on nonaccrual status to reduce the amortized cost of the loan. Thus, we do not recognize any interest income on a multifamily loan placed on nonaccrual status until the amortized cost of the loan has been reduced to zero.</w:t>
      </w:r>
    </w:p>
    <w:p>
      <w:pPr>
        <w:spacing w:after="0" w:line="3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 nonaccrual loan is returned to accrual status when the full collection of principal and interest is reasonably assured. We generally determine that the full collection of principal and interest is reasonably assured when the loan returns to current payment status. If a loan is restructured for a borrower experiencing financial difficulty, we require a performance period of up to 6 months before we return the loan to accrual status. Upon a loan’s return to accrual status, we resume the recognition of interest income on an accrual basis and the amortization of cost basis adjustments, if any, into interest income. If interest is capitalized pursuant to a restructuring, any capitalized interest that had not been previously recognized as interest income or that had been reversed through interest income when the loan was placed on nonaccrual status is recorded as a discount to the loan and amortized into interest income over the remaining contractual life of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0" w:name="page81"/>
    <w:bookmarkEnd w:id="80"/>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accrued interest receivable written off through the reversal of interest income for nonaccrual loans.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060" w:type="dxa"/>
            <w:vAlign w:val="bottom"/>
          </w:tcPr>
          <w:p>
            <w:pPr>
              <w:spacing w:after="0"/>
              <w:rPr>
                <w:sz w:val="18"/>
                <w:szCs w:val="18"/>
                <w:color w:val="auto"/>
              </w:rPr>
            </w:pPr>
          </w:p>
        </w:tc>
        <w:tc>
          <w:tcPr>
            <w:tcW w:w="3720" w:type="dxa"/>
            <w:vAlign w:val="bottom"/>
            <w:tcBorders>
              <w:bottom w:val="single" w:sz="8" w:color="2C6937"/>
            </w:tcBorders>
            <w:gridSpan w:val="4"/>
          </w:tcPr>
          <w:p>
            <w:pPr>
              <w:jc w:val="right"/>
              <w:ind w:right="143"/>
              <w:spacing w:after="0"/>
              <w:rPr>
                <w:sz w:val="20"/>
                <w:szCs w:val="20"/>
                <w:color w:val="auto"/>
              </w:rPr>
            </w:pPr>
            <w:r>
              <w:rPr>
                <w:rFonts w:ascii="Arial" w:cs="Arial" w:eastAsia="Arial" w:hAnsi="Arial"/>
                <w:sz w:val="15"/>
                <w:szCs w:val="15"/>
                <w:b w:val="1"/>
                <w:bCs w:val="1"/>
                <w:color w:val="auto"/>
              </w:rPr>
              <w:t>For the Three Months Ended March 31,</w:t>
            </w:r>
          </w:p>
        </w:tc>
        <w:tc>
          <w:tcPr>
            <w:tcW w:w="440" w:type="dxa"/>
            <w:vAlign w:val="bottom"/>
            <w:tcBorders>
              <w:bottom w:val="single" w:sz="8" w:color="2C6937"/>
            </w:tcBorders>
          </w:tcPr>
          <w:p>
            <w:pPr>
              <w:spacing w:after="0"/>
              <w:rPr>
                <w:sz w:val="18"/>
                <w:szCs w:val="18"/>
                <w:color w:val="auto"/>
              </w:rPr>
            </w:pPr>
          </w:p>
        </w:tc>
      </w:tr>
      <w:tr>
        <w:trPr>
          <w:trHeight w:val="199"/>
        </w:trPr>
        <w:tc>
          <w:tcPr>
            <w:tcW w:w="7060" w:type="dxa"/>
            <w:vAlign w:val="bottom"/>
          </w:tcPr>
          <w:p>
            <w:pPr>
              <w:spacing w:after="0"/>
              <w:rPr>
                <w:sz w:val="17"/>
                <w:szCs w:val="17"/>
                <w:color w:val="auto"/>
              </w:rPr>
            </w:pPr>
          </w:p>
        </w:tc>
        <w:tc>
          <w:tcPr>
            <w:tcW w:w="128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rPr>
              <w:t>2025</w:t>
            </w:r>
          </w:p>
        </w:tc>
        <w:tc>
          <w:tcPr>
            <w:tcW w:w="7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2024</w:t>
            </w:r>
          </w:p>
        </w:tc>
        <w:tc>
          <w:tcPr>
            <w:tcW w:w="440" w:type="dxa"/>
            <w:vAlign w:val="bottom"/>
            <w:tcBorders>
              <w:bottom w:val="single" w:sz="8" w:color="2C6937"/>
            </w:tcBorders>
          </w:tcPr>
          <w:p>
            <w:pPr>
              <w:spacing w:after="0"/>
              <w:rPr>
                <w:sz w:val="17"/>
                <w:szCs w:val="17"/>
                <w:color w:val="auto"/>
              </w:rPr>
            </w:pPr>
          </w:p>
        </w:tc>
      </w:tr>
      <w:tr>
        <w:trPr>
          <w:trHeight w:val="185"/>
        </w:trPr>
        <w:tc>
          <w:tcPr>
            <w:tcW w:w="7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40" w:type="dxa"/>
            <w:vAlign w:val="bottom"/>
            <w:gridSpan w:val="3"/>
          </w:tcPr>
          <w:p>
            <w:pPr>
              <w:jc w:val="right"/>
              <w:ind w:right="983"/>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6"/>
                <w:szCs w:val="16"/>
                <w:color w:val="auto"/>
              </w:rPr>
            </w:pPr>
          </w:p>
        </w:tc>
      </w:tr>
      <w:tr>
        <w:trPr>
          <w:trHeight w:val="232"/>
        </w:trPr>
        <w:tc>
          <w:tcPr>
            <w:tcW w:w="7060" w:type="dxa"/>
            <w:vAlign w:val="bottom"/>
          </w:tcPr>
          <w:p>
            <w:pPr>
              <w:spacing w:after="0"/>
              <w:rPr>
                <w:sz w:val="20"/>
                <w:szCs w:val="20"/>
                <w:color w:val="auto"/>
              </w:rPr>
            </w:pPr>
            <w:r>
              <w:rPr>
                <w:rFonts w:ascii="Arial" w:cs="Arial" w:eastAsia="Arial" w:hAnsi="Arial"/>
                <w:sz w:val="15"/>
                <w:szCs w:val="15"/>
                <w:color w:val="auto"/>
              </w:rPr>
              <w:t>Accrued interest receivable written off through the reversal of interest income:</w:t>
            </w: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53"/>
        </w:trPr>
        <w:tc>
          <w:tcPr>
            <w:tcW w:w="7060" w:type="dxa"/>
            <w:vAlign w:val="bottom"/>
          </w:tcPr>
          <w:p>
            <w:pPr>
              <w:ind w:left="160"/>
              <w:spacing w:after="0"/>
              <w:rPr>
                <w:sz w:val="20"/>
                <w:szCs w:val="20"/>
                <w:color w:val="auto"/>
              </w:rPr>
            </w:pPr>
            <w:r>
              <w:rPr>
                <w:rFonts w:ascii="Arial" w:cs="Arial" w:eastAsia="Arial" w:hAnsi="Arial"/>
                <w:sz w:val="15"/>
                <w:szCs w:val="15"/>
                <w:color w:val="auto"/>
              </w:rPr>
              <w:t>Single-family</w:t>
            </w:r>
          </w:p>
        </w:tc>
        <w:tc>
          <w:tcPr>
            <w:tcW w:w="1280" w:type="dxa"/>
            <w:vAlign w:val="bottom"/>
          </w:tcPr>
          <w:p>
            <w:pPr>
              <w:jc w:val="right"/>
              <w:ind w:right="1103"/>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103</w:t>
            </w:r>
          </w:p>
        </w:tc>
        <w:tc>
          <w:tcPr>
            <w:tcW w:w="100" w:type="dxa"/>
            <w:vAlign w:val="bottom"/>
          </w:tcPr>
          <w:p>
            <w:pPr>
              <w:spacing w:after="0"/>
              <w:rPr>
                <w:sz w:val="21"/>
                <w:szCs w:val="21"/>
                <w:color w:val="auto"/>
              </w:rPr>
            </w:pPr>
          </w:p>
        </w:tc>
        <w:tc>
          <w:tcPr>
            <w:tcW w:w="1600" w:type="dxa"/>
            <w:vAlign w:val="bottom"/>
          </w:tcPr>
          <w:p>
            <w:pPr>
              <w:jc w:val="right"/>
              <w:ind w:right="1403"/>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82</w:t>
            </w:r>
          </w:p>
        </w:tc>
      </w:tr>
      <w:tr>
        <w:trPr>
          <w:trHeight w:val="232"/>
        </w:trPr>
        <w:tc>
          <w:tcPr>
            <w:tcW w:w="7060" w:type="dxa"/>
            <w:vAlign w:val="bottom"/>
          </w:tcPr>
          <w:p>
            <w:pPr>
              <w:ind w:left="160"/>
              <w:spacing w:after="0"/>
              <w:rPr>
                <w:sz w:val="20"/>
                <w:szCs w:val="20"/>
                <w:color w:val="auto"/>
              </w:rPr>
            </w:pPr>
            <w:r>
              <w:rPr>
                <w:rFonts w:ascii="Arial" w:cs="Arial" w:eastAsia="Arial" w:hAnsi="Arial"/>
                <w:sz w:val="15"/>
                <w:szCs w:val="15"/>
                <w:color w:val="auto"/>
              </w:rPr>
              <w:t>Multifamily</w:t>
            </w:r>
          </w:p>
        </w:tc>
        <w:tc>
          <w:tcPr>
            <w:tcW w:w="1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w:t>
            </w:r>
          </w:p>
        </w:tc>
      </w:tr>
    </w:tbl>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tables below include the amortized cost of and interest income recognized on our HFI single-family and multifamily loans on nonaccrual status by class, excluding loans for which we have elected the fair value option.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940" w:type="dxa"/>
            <w:vAlign w:val="bottom"/>
            <w:tcBorders>
              <w:bottom w:val="single" w:sz="8" w:color="2C6937"/>
            </w:tcBorders>
            <w:gridSpan w:val="3"/>
          </w:tcPr>
          <w:p>
            <w:pPr>
              <w:jc w:val="center"/>
              <w:ind w:left="1325"/>
              <w:spacing w:after="0"/>
              <w:rPr>
                <w:sz w:val="20"/>
                <w:szCs w:val="20"/>
                <w:color w:val="auto"/>
              </w:rPr>
            </w:pPr>
            <w:r>
              <w:rPr>
                <w:rFonts w:ascii="Arial" w:cs="Arial" w:eastAsia="Arial" w:hAnsi="Arial"/>
                <w:sz w:val="14"/>
                <w:szCs w:val="14"/>
                <w:b w:val="1"/>
                <w:bCs w:val="1"/>
                <w:color w:val="auto"/>
                <w:w w:val="97"/>
              </w:rPr>
              <w:t>As of</w:t>
            </w:r>
          </w:p>
        </w:tc>
        <w:tc>
          <w:tcPr>
            <w:tcW w:w="168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vMerge w:val="restart"/>
          </w:tcPr>
          <w:p>
            <w:pPr>
              <w:jc w:val="center"/>
              <w:ind w:right="26"/>
              <w:spacing w:after="0"/>
              <w:rPr>
                <w:sz w:val="20"/>
                <w:szCs w:val="20"/>
                <w:color w:val="auto"/>
              </w:rPr>
            </w:pPr>
            <w:r>
              <w:rPr>
                <w:rFonts w:ascii="Arial" w:cs="Arial" w:eastAsia="Arial" w:hAnsi="Arial"/>
                <w:sz w:val="14"/>
                <w:szCs w:val="14"/>
                <w:b w:val="1"/>
                <w:bCs w:val="1"/>
                <w:color w:val="auto"/>
                <w:w w:val="97"/>
              </w:rPr>
              <w:t>For the Three Months Ended</w:t>
            </w:r>
          </w:p>
        </w:tc>
        <w:tc>
          <w:tcPr>
            <w:tcW w:w="0" w:type="dxa"/>
            <w:vAlign w:val="bottom"/>
          </w:tcPr>
          <w:p>
            <w:pPr>
              <w:spacing w:after="0"/>
              <w:rPr>
                <w:sz w:val="1"/>
                <w:szCs w:val="1"/>
                <w:color w:val="auto"/>
              </w:rPr>
            </w:pPr>
          </w:p>
        </w:tc>
      </w:tr>
      <w:tr>
        <w:trPr>
          <w:trHeight w:val="55"/>
        </w:trPr>
        <w:tc>
          <w:tcPr>
            <w:tcW w:w="5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Pr>
          <w:p>
            <w:pPr>
              <w:spacing w:after="0"/>
              <w:rPr>
                <w:sz w:val="4"/>
                <w:szCs w:val="4"/>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jc w:val="center"/>
              <w:ind w:right="26"/>
              <w:spacing w:after="0"/>
              <w:rPr>
                <w:sz w:val="20"/>
                <w:szCs w:val="20"/>
                <w:color w:val="auto"/>
              </w:rPr>
            </w:pPr>
            <w:r>
              <w:rPr>
                <w:rFonts w:ascii="Arial" w:cs="Arial" w:eastAsia="Arial" w:hAnsi="Arial"/>
                <w:sz w:val="14"/>
                <w:szCs w:val="14"/>
                <w:b w:val="1"/>
                <w:bCs w:val="1"/>
                <w:color w:val="auto"/>
                <w:w w:val="98"/>
              </w:rPr>
              <w:t>March 31, 2025</w:t>
            </w:r>
          </w:p>
        </w:tc>
        <w:tc>
          <w:tcPr>
            <w:tcW w:w="0" w:type="dxa"/>
            <w:vAlign w:val="bottom"/>
          </w:tcPr>
          <w:p>
            <w:pPr>
              <w:spacing w:after="0"/>
              <w:rPr>
                <w:sz w:val="1"/>
                <w:szCs w:val="1"/>
                <w:color w:val="auto"/>
              </w:rPr>
            </w:pPr>
          </w:p>
        </w:tc>
      </w:tr>
      <w:tr>
        <w:trPr>
          <w:trHeight w:val="252"/>
        </w:trPr>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2C6937"/>
            </w:tcBorders>
          </w:tcPr>
          <w:p>
            <w:pPr>
              <w:spacing w:after="0"/>
              <w:rPr>
                <w:sz w:val="21"/>
                <w:szCs w:val="21"/>
                <w:color w:val="auto"/>
              </w:rPr>
            </w:pPr>
          </w:p>
        </w:tc>
        <w:tc>
          <w:tcPr>
            <w:tcW w:w="1620" w:type="dxa"/>
            <w:vAlign w:val="bottom"/>
            <w:tcBorders>
              <w:top w:val="single" w:sz="8" w:color="2C6937"/>
            </w:tcBorders>
          </w:tcPr>
          <w:p>
            <w:pPr>
              <w:spacing w:after="0"/>
              <w:rPr>
                <w:sz w:val="21"/>
                <w:szCs w:val="21"/>
                <w:color w:val="auto"/>
              </w:rPr>
            </w:pPr>
          </w:p>
        </w:tc>
        <w:tc>
          <w:tcPr>
            <w:tcW w:w="100" w:type="dxa"/>
            <w:vAlign w:val="bottom"/>
            <w:tcBorders>
              <w:top w:val="single" w:sz="8" w:color="2C6937"/>
            </w:tcBorders>
          </w:tcPr>
          <w:p>
            <w:pPr>
              <w:spacing w:after="0"/>
              <w:rPr>
                <w:sz w:val="21"/>
                <w:szCs w:val="21"/>
                <w:color w:val="auto"/>
              </w:rPr>
            </w:pPr>
          </w:p>
        </w:tc>
        <w:tc>
          <w:tcPr>
            <w:tcW w:w="220" w:type="dxa"/>
            <w:vAlign w:val="bottom"/>
            <w:tcBorders>
              <w:top w:val="single" w:sz="8" w:color="2C6937"/>
            </w:tcBorders>
          </w:tcPr>
          <w:p>
            <w:pPr>
              <w:spacing w:after="0"/>
              <w:rPr>
                <w:sz w:val="21"/>
                <w:szCs w:val="21"/>
                <w:color w:val="auto"/>
              </w:rPr>
            </w:pPr>
          </w:p>
        </w:tc>
        <w:tc>
          <w:tcPr>
            <w:tcW w:w="1680" w:type="dxa"/>
            <w:vAlign w:val="bottom"/>
            <w:tcBorders>
              <w:top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2C6937"/>
            </w:tcBorders>
          </w:tcPr>
          <w:p>
            <w:pPr>
              <w:spacing w:after="0"/>
              <w:rPr>
                <w:sz w:val="21"/>
                <w:szCs w:val="21"/>
                <w:color w:val="auto"/>
              </w:rPr>
            </w:pPr>
          </w:p>
        </w:tc>
        <w:tc>
          <w:tcPr>
            <w:tcW w:w="2000" w:type="dxa"/>
            <w:vAlign w:val="bottom"/>
            <w:tcBorders>
              <w:top w:val="single" w:sz="8" w:color="2C6937"/>
            </w:tcBorders>
          </w:tcPr>
          <w:p>
            <w:pPr>
              <w:jc w:val="center"/>
              <w:ind w:right="46"/>
              <w:spacing w:after="0"/>
              <w:rPr>
                <w:sz w:val="20"/>
                <w:szCs w:val="20"/>
                <w:color w:val="auto"/>
              </w:rPr>
            </w:pPr>
            <w:r>
              <w:rPr>
                <w:rFonts w:ascii="Arial" w:cs="Arial" w:eastAsia="Arial" w:hAnsi="Arial"/>
                <w:sz w:val="14"/>
                <w:szCs w:val="14"/>
                <w:b w:val="1"/>
                <w:bCs w:val="1"/>
                <w:color w:val="auto"/>
                <w:w w:val="96"/>
              </w:rPr>
              <w:t>Total Interest Income</w:t>
            </w: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3720" w:type="dxa"/>
            <w:vAlign w:val="bottom"/>
            <w:tcBorders>
              <w:bottom w:val="single" w:sz="8" w:color="2C6937"/>
            </w:tcBorders>
            <w:gridSpan w:val="6"/>
          </w:tcPr>
          <w:p>
            <w:pPr>
              <w:jc w:val="center"/>
              <w:ind w:right="380"/>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8"/>
                <w:szCs w:val="8"/>
                <w:b w:val="1"/>
                <w:bCs w:val="1"/>
                <w:color w:val="auto"/>
              </w:rPr>
              <w:t>(1)</w:t>
            </w:r>
          </w:p>
        </w:tc>
        <w:tc>
          <w:tcPr>
            <w:tcW w:w="120" w:type="dxa"/>
            <w:vAlign w:val="bottom"/>
            <w:tcBorders>
              <w:bottom w:val="single" w:sz="8" w:color="2C6937"/>
            </w:tcBorders>
          </w:tcPr>
          <w:p>
            <w:pPr>
              <w:spacing w:after="0"/>
              <w:rPr>
                <w:sz w:val="17"/>
                <w:szCs w:val="17"/>
                <w:color w:val="auto"/>
              </w:rPr>
            </w:pPr>
          </w:p>
        </w:tc>
        <w:tc>
          <w:tcPr>
            <w:tcW w:w="2000" w:type="dxa"/>
            <w:vAlign w:val="bottom"/>
            <w:tcBorders>
              <w:bottom w:val="single" w:sz="8" w:color="2C6937"/>
            </w:tcBorders>
          </w:tcPr>
          <w:p>
            <w:pPr>
              <w:jc w:val="center"/>
              <w:ind w:right="46"/>
              <w:spacing w:after="0"/>
              <w:rPr>
                <w:sz w:val="20"/>
                <w:szCs w:val="20"/>
                <w:color w:val="auto"/>
              </w:rPr>
            </w:pPr>
            <w:r>
              <w:rPr>
                <w:rFonts w:ascii="Arial" w:cs="Arial" w:eastAsia="Arial" w:hAnsi="Arial"/>
                <w:sz w:val="14"/>
                <w:szCs w:val="14"/>
                <w:b w:val="1"/>
                <w:bCs w:val="1"/>
                <w:color w:val="auto"/>
                <w:w w:val="95"/>
              </w:rPr>
              <w:t>Recognized</w:t>
            </w:r>
            <w:r>
              <w:rPr>
                <w:rFonts w:ascii="Arial" w:cs="Arial" w:eastAsia="Arial" w:hAnsi="Arial"/>
                <w:sz w:val="17"/>
                <w:szCs w:val="17"/>
                <w:b w:val="1"/>
                <w:bCs w:val="1"/>
                <w:color w:val="auto"/>
                <w:w w:val="95"/>
                <w:vertAlign w:val="superscript"/>
              </w:rPr>
              <w:t>(2)</w:t>
            </w:r>
          </w:p>
        </w:tc>
        <w:tc>
          <w:tcPr>
            <w:tcW w:w="0" w:type="dxa"/>
            <w:vAlign w:val="bottom"/>
          </w:tcPr>
          <w:p>
            <w:pPr>
              <w:spacing w:after="0"/>
              <w:rPr>
                <w:sz w:val="1"/>
                <w:szCs w:val="1"/>
                <w:color w:val="auto"/>
              </w:rPr>
            </w:pPr>
          </w:p>
        </w:tc>
      </w:tr>
      <w:tr>
        <w:trPr>
          <w:trHeight w:val="275"/>
        </w:trPr>
        <w:tc>
          <w:tcPr>
            <w:tcW w:w="5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gridSpan w:val="3"/>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1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1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ind w:right="5"/>
              <w:spacing w:after="0"/>
              <w:rPr>
                <w:sz w:val="20"/>
                <w:szCs w:val="20"/>
                <w:color w:val="auto"/>
              </w:rPr>
            </w:pPr>
            <w:r>
              <w:rPr>
                <w:rFonts w:ascii="Arial" w:cs="Arial" w:eastAsia="Arial" w:hAnsi="Arial"/>
                <w:sz w:val="15"/>
                <w:szCs w:val="15"/>
                <w:b w:val="1"/>
                <w:bCs w:val="1"/>
                <w:color w:val="auto"/>
              </w:rPr>
              <w:t>26,335</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5"/>
              <w:spacing w:after="0"/>
              <w:rPr>
                <w:sz w:val="20"/>
                <w:szCs w:val="20"/>
                <w:color w:val="auto"/>
              </w:rPr>
            </w:pPr>
            <w:r>
              <w:rPr>
                <w:rFonts w:ascii="Arial" w:cs="Arial" w:eastAsia="Arial" w:hAnsi="Arial"/>
                <w:sz w:val="15"/>
                <w:szCs w:val="15"/>
                <w:color w:val="auto"/>
              </w:rPr>
              <w:t>25,218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2000" w:type="dxa"/>
            <w:vAlign w:val="bottom"/>
          </w:tcPr>
          <w:p>
            <w:pPr>
              <w:jc w:val="right"/>
              <w:spacing w:after="0"/>
              <w:rPr>
                <w:sz w:val="20"/>
                <w:szCs w:val="20"/>
                <w:color w:val="auto"/>
              </w:rPr>
            </w:pPr>
            <w:r>
              <w:rPr>
                <w:rFonts w:ascii="Arial" w:cs="Arial" w:eastAsia="Arial" w:hAnsi="Arial"/>
                <w:sz w:val="15"/>
                <w:szCs w:val="15"/>
                <w:b w:val="1"/>
                <w:bCs w:val="1"/>
                <w:color w:val="auto"/>
              </w:rPr>
              <w:t>46</w:t>
            </w:r>
          </w:p>
        </w:tc>
        <w:tc>
          <w:tcPr>
            <w:tcW w:w="0" w:type="dxa"/>
            <w:vAlign w:val="bottom"/>
          </w:tcPr>
          <w:p>
            <w:pPr>
              <w:spacing w:after="0"/>
              <w:rPr>
                <w:sz w:val="1"/>
                <w:szCs w:val="1"/>
                <w:color w:val="auto"/>
              </w:rPr>
            </w:pPr>
          </w:p>
        </w:tc>
      </w:tr>
      <w:tr>
        <w:trPr>
          <w:trHeight w:val="309"/>
        </w:trPr>
        <w:tc>
          <w:tcPr>
            <w:tcW w:w="51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80" w:type="dxa"/>
            <w:vAlign w:val="bottom"/>
          </w:tcPr>
          <w:p>
            <w:pPr>
              <w:spacing w:after="0"/>
              <w:rPr>
                <w:sz w:val="24"/>
                <w:szCs w:val="24"/>
                <w:color w:val="auto"/>
              </w:rPr>
            </w:pPr>
          </w:p>
        </w:tc>
        <w:tc>
          <w:tcPr>
            <w:tcW w:w="1620" w:type="dxa"/>
            <w:vAlign w:val="bottom"/>
          </w:tcPr>
          <w:p>
            <w:pPr>
              <w:jc w:val="right"/>
              <w:ind w:right="5"/>
              <w:spacing w:after="0"/>
              <w:rPr>
                <w:sz w:val="20"/>
                <w:szCs w:val="20"/>
                <w:color w:val="auto"/>
              </w:rPr>
            </w:pPr>
            <w:r>
              <w:rPr>
                <w:rFonts w:ascii="Arial" w:cs="Arial" w:eastAsia="Arial" w:hAnsi="Arial"/>
                <w:sz w:val="15"/>
                <w:szCs w:val="15"/>
                <w:b w:val="1"/>
                <w:bCs w:val="1"/>
                <w:color w:val="auto"/>
              </w:rPr>
              <w:t>771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5"/>
              <w:spacing w:after="0"/>
              <w:rPr>
                <w:sz w:val="20"/>
                <w:szCs w:val="20"/>
                <w:color w:val="auto"/>
              </w:rPr>
            </w:pPr>
            <w:r>
              <w:rPr>
                <w:rFonts w:ascii="Arial" w:cs="Arial" w:eastAsia="Arial" w:hAnsi="Arial"/>
                <w:sz w:val="15"/>
                <w:szCs w:val="15"/>
                <w:color w:val="auto"/>
              </w:rPr>
              <w:t>770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309"/>
        </w:trPr>
        <w:tc>
          <w:tcPr>
            <w:tcW w:w="51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80" w:type="dxa"/>
            <w:vAlign w:val="bottom"/>
          </w:tcPr>
          <w:p>
            <w:pPr>
              <w:spacing w:after="0"/>
              <w:rPr>
                <w:sz w:val="24"/>
                <w:szCs w:val="24"/>
                <w:color w:val="auto"/>
              </w:rPr>
            </w:pPr>
          </w:p>
        </w:tc>
        <w:tc>
          <w:tcPr>
            <w:tcW w:w="1620" w:type="dxa"/>
            <w:vAlign w:val="bottom"/>
          </w:tcPr>
          <w:p>
            <w:pPr>
              <w:jc w:val="right"/>
              <w:ind w:right="5"/>
              <w:spacing w:after="0"/>
              <w:rPr>
                <w:sz w:val="20"/>
                <w:szCs w:val="20"/>
                <w:color w:val="auto"/>
              </w:rPr>
            </w:pPr>
            <w:r>
              <w:rPr>
                <w:rFonts w:ascii="Arial" w:cs="Arial" w:eastAsia="Arial" w:hAnsi="Arial"/>
                <w:sz w:val="15"/>
                <w:szCs w:val="15"/>
                <w:b w:val="1"/>
                <w:bCs w:val="1"/>
                <w:color w:val="auto"/>
              </w:rPr>
              <w:t>122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5"/>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03"/>
        </w:trPr>
        <w:tc>
          <w:tcPr>
            <w:tcW w:w="50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6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463</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68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482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309"/>
        </w:trPr>
        <w:tc>
          <w:tcPr>
            <w:tcW w:w="512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280" w:type="dxa"/>
            <w:vAlign w:val="bottom"/>
          </w:tcPr>
          <w:p>
            <w:pPr>
              <w:spacing w:after="0"/>
              <w:rPr>
                <w:sz w:val="24"/>
                <w:szCs w:val="24"/>
                <w:color w:val="auto"/>
              </w:rPr>
            </w:pPr>
          </w:p>
        </w:tc>
        <w:tc>
          <w:tcPr>
            <w:tcW w:w="1620" w:type="dxa"/>
            <w:vAlign w:val="bottom"/>
          </w:tcPr>
          <w:p>
            <w:pPr>
              <w:jc w:val="right"/>
              <w:ind w:right="5"/>
              <w:spacing w:after="0"/>
              <w:rPr>
                <w:sz w:val="20"/>
                <w:szCs w:val="20"/>
                <w:color w:val="auto"/>
              </w:rPr>
            </w:pPr>
            <w:r>
              <w:rPr>
                <w:rFonts w:ascii="Arial" w:cs="Arial" w:eastAsia="Arial" w:hAnsi="Arial"/>
                <w:sz w:val="15"/>
                <w:szCs w:val="15"/>
                <w:b w:val="1"/>
                <w:bCs w:val="1"/>
                <w:color w:val="auto"/>
              </w:rPr>
              <w:t>27,691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5"/>
              <w:spacing w:after="0"/>
              <w:rPr>
                <w:sz w:val="20"/>
                <w:szCs w:val="20"/>
                <w:color w:val="auto"/>
              </w:rPr>
            </w:pPr>
            <w:r>
              <w:rPr>
                <w:rFonts w:ascii="Arial" w:cs="Arial" w:eastAsia="Arial" w:hAnsi="Arial"/>
                <w:sz w:val="15"/>
                <w:szCs w:val="15"/>
                <w:color w:val="auto"/>
              </w:rPr>
              <w:t>26,584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0" w:type="dxa"/>
            <w:vAlign w:val="bottom"/>
          </w:tcPr>
          <w:p>
            <w:pPr>
              <w:spacing w:after="0"/>
              <w:rPr>
                <w:sz w:val="1"/>
                <w:szCs w:val="1"/>
                <w:color w:val="auto"/>
              </w:rPr>
            </w:pPr>
          </w:p>
        </w:tc>
      </w:tr>
      <w:tr>
        <w:trPr>
          <w:trHeight w:val="303"/>
        </w:trPr>
        <w:tc>
          <w:tcPr>
            <w:tcW w:w="5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6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2,702</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68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2,517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302"/>
        </w:trPr>
        <w:tc>
          <w:tcPr>
            <w:tcW w:w="5020" w:type="dxa"/>
            <w:vAlign w:val="bottom"/>
            <w:tcBorders>
              <w:bottom w:val="single" w:sz="8" w:color="2C6937"/>
            </w:tcBorders>
          </w:tcPr>
          <w:p>
            <w:pPr>
              <w:ind w:left="260"/>
              <w:spacing w:after="0"/>
              <w:rPr>
                <w:sz w:val="20"/>
                <w:szCs w:val="20"/>
                <w:color w:val="auto"/>
              </w:rPr>
            </w:pPr>
            <w:r>
              <w:rPr>
                <w:rFonts w:ascii="Arial" w:cs="Arial" w:eastAsia="Arial" w:hAnsi="Arial"/>
                <w:sz w:val="15"/>
                <w:szCs w:val="15"/>
                <w:color w:val="auto"/>
              </w:rPr>
              <w:t>Total nonaccrual loans</w:t>
            </w:r>
          </w:p>
        </w:tc>
        <w:tc>
          <w:tcPr>
            <w:tcW w:w="100" w:type="dxa"/>
            <w:vAlign w:val="bottom"/>
          </w:tcPr>
          <w:p>
            <w:pPr>
              <w:spacing w:after="0"/>
              <w:rPr>
                <w:sz w:val="24"/>
                <w:szCs w:val="24"/>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30,393</w:t>
            </w:r>
          </w:p>
        </w:tc>
        <w:tc>
          <w:tcPr>
            <w:tcW w:w="100" w:type="dxa"/>
            <w:vAlign w:val="bottom"/>
          </w:tcPr>
          <w:p>
            <w:pPr>
              <w:spacing w:after="0"/>
              <w:rPr>
                <w:sz w:val="24"/>
                <w:szCs w:val="24"/>
                <w:color w:val="auto"/>
              </w:rPr>
            </w:pPr>
          </w:p>
        </w:tc>
        <w:tc>
          <w:tcPr>
            <w:tcW w:w="220" w:type="dxa"/>
            <w:vAlign w:val="bottom"/>
            <w:tcBorders>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29,101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2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16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6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20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940" w:type="dxa"/>
            <w:vAlign w:val="bottom"/>
            <w:tcBorders>
              <w:bottom w:val="single" w:sz="8" w:color="2C6937"/>
            </w:tcBorders>
            <w:gridSpan w:val="3"/>
          </w:tcPr>
          <w:p>
            <w:pPr>
              <w:jc w:val="center"/>
              <w:ind w:left="1325"/>
              <w:spacing w:after="0"/>
              <w:rPr>
                <w:sz w:val="20"/>
                <w:szCs w:val="20"/>
                <w:color w:val="auto"/>
              </w:rPr>
            </w:pPr>
            <w:r>
              <w:rPr>
                <w:rFonts w:ascii="Arial" w:cs="Arial" w:eastAsia="Arial" w:hAnsi="Arial"/>
                <w:sz w:val="14"/>
                <w:szCs w:val="14"/>
                <w:b w:val="1"/>
                <w:bCs w:val="1"/>
                <w:color w:val="auto"/>
                <w:w w:val="97"/>
              </w:rPr>
              <w:t>As of</w:t>
            </w:r>
          </w:p>
        </w:tc>
        <w:tc>
          <w:tcPr>
            <w:tcW w:w="168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Pr>
          <w:p>
            <w:pPr>
              <w:spacing w:after="0"/>
              <w:rPr>
                <w:sz w:val="14"/>
                <w:szCs w:val="14"/>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4"/>
                <w:szCs w:val="14"/>
                <w:color w:val="auto"/>
              </w:rPr>
            </w:pPr>
          </w:p>
        </w:tc>
        <w:tc>
          <w:tcPr>
            <w:tcW w:w="2000" w:type="dxa"/>
            <w:vAlign w:val="bottom"/>
          </w:tcPr>
          <w:p>
            <w:pPr>
              <w:jc w:val="center"/>
              <w:ind w:right="66"/>
              <w:spacing w:after="0"/>
              <w:rPr>
                <w:sz w:val="20"/>
                <w:szCs w:val="20"/>
                <w:color w:val="auto"/>
              </w:rPr>
            </w:pPr>
            <w:r>
              <w:rPr>
                <w:rFonts w:ascii="Arial" w:cs="Arial" w:eastAsia="Arial" w:hAnsi="Arial"/>
                <w:sz w:val="14"/>
                <w:szCs w:val="14"/>
                <w:b w:val="1"/>
                <w:bCs w:val="1"/>
                <w:color w:val="auto"/>
                <w:w w:val="97"/>
              </w:rPr>
              <w:t>For the Three Months Ended</w:t>
            </w: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jc w:val="center"/>
              <w:ind w:right="66"/>
              <w:spacing w:after="0"/>
              <w:rPr>
                <w:sz w:val="20"/>
                <w:szCs w:val="20"/>
                <w:color w:val="auto"/>
              </w:rPr>
            </w:pPr>
            <w:r>
              <w:rPr>
                <w:rFonts w:ascii="Arial" w:cs="Arial" w:eastAsia="Arial" w:hAnsi="Arial"/>
                <w:sz w:val="14"/>
                <w:szCs w:val="14"/>
                <w:b w:val="1"/>
                <w:bCs w:val="1"/>
                <w:color w:val="auto"/>
                <w:w w:val="98"/>
              </w:rPr>
              <w:t>March 31, 2024</w:t>
            </w:r>
          </w:p>
        </w:tc>
        <w:tc>
          <w:tcPr>
            <w:tcW w:w="0" w:type="dxa"/>
            <w:vAlign w:val="bottom"/>
          </w:tcPr>
          <w:p>
            <w:pPr>
              <w:spacing w:after="0"/>
              <w:rPr>
                <w:sz w:val="1"/>
                <w:szCs w:val="1"/>
                <w:color w:val="auto"/>
              </w:rPr>
            </w:pPr>
          </w:p>
        </w:tc>
      </w:tr>
      <w:tr>
        <w:trPr>
          <w:trHeight w:val="239"/>
        </w:trPr>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2C6937"/>
            </w:tcBorders>
          </w:tcPr>
          <w:p>
            <w:pPr>
              <w:spacing w:after="0"/>
              <w:rPr>
                <w:sz w:val="20"/>
                <w:szCs w:val="20"/>
                <w:color w:val="auto"/>
              </w:rPr>
            </w:pPr>
          </w:p>
        </w:tc>
        <w:tc>
          <w:tcPr>
            <w:tcW w:w="1620" w:type="dxa"/>
            <w:vAlign w:val="bottom"/>
            <w:tcBorders>
              <w:top w:val="single" w:sz="8" w:color="2C6937"/>
            </w:tcBorders>
          </w:tcPr>
          <w:p>
            <w:pPr>
              <w:spacing w:after="0"/>
              <w:rPr>
                <w:sz w:val="20"/>
                <w:szCs w:val="20"/>
                <w:color w:val="auto"/>
              </w:rPr>
            </w:pPr>
          </w:p>
        </w:tc>
        <w:tc>
          <w:tcPr>
            <w:tcW w:w="100" w:type="dxa"/>
            <w:vAlign w:val="bottom"/>
            <w:tcBorders>
              <w:top w:val="single" w:sz="8" w:color="2C6937"/>
            </w:tcBorders>
          </w:tcPr>
          <w:p>
            <w:pPr>
              <w:spacing w:after="0"/>
              <w:rPr>
                <w:sz w:val="20"/>
                <w:szCs w:val="20"/>
                <w:color w:val="auto"/>
              </w:rPr>
            </w:pPr>
          </w:p>
        </w:tc>
        <w:tc>
          <w:tcPr>
            <w:tcW w:w="220" w:type="dxa"/>
            <w:vAlign w:val="bottom"/>
            <w:tcBorders>
              <w:top w:val="single" w:sz="8" w:color="2C6937"/>
            </w:tcBorders>
          </w:tcPr>
          <w:p>
            <w:pPr>
              <w:spacing w:after="0"/>
              <w:rPr>
                <w:sz w:val="20"/>
                <w:szCs w:val="20"/>
                <w:color w:val="auto"/>
              </w:rPr>
            </w:pPr>
          </w:p>
        </w:tc>
        <w:tc>
          <w:tcPr>
            <w:tcW w:w="1680" w:type="dxa"/>
            <w:vAlign w:val="bottom"/>
            <w:tcBorders>
              <w:top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2C6937"/>
            </w:tcBorders>
          </w:tcPr>
          <w:p>
            <w:pPr>
              <w:spacing w:after="0"/>
              <w:rPr>
                <w:sz w:val="20"/>
                <w:szCs w:val="20"/>
                <w:color w:val="auto"/>
              </w:rPr>
            </w:pPr>
          </w:p>
        </w:tc>
        <w:tc>
          <w:tcPr>
            <w:tcW w:w="120" w:type="dxa"/>
            <w:vAlign w:val="bottom"/>
            <w:tcBorders>
              <w:top w:val="single" w:sz="8" w:color="2C6937"/>
            </w:tcBorders>
          </w:tcPr>
          <w:p>
            <w:pPr>
              <w:spacing w:after="0"/>
              <w:rPr>
                <w:sz w:val="20"/>
                <w:szCs w:val="20"/>
                <w:color w:val="auto"/>
              </w:rPr>
            </w:pPr>
          </w:p>
        </w:tc>
        <w:tc>
          <w:tcPr>
            <w:tcW w:w="2000" w:type="dxa"/>
            <w:vAlign w:val="bottom"/>
            <w:tcBorders>
              <w:top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rPr>
              <w:t>Total Interest Income</w:t>
            </w: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3720" w:type="dxa"/>
            <w:vAlign w:val="bottom"/>
            <w:tcBorders>
              <w:bottom w:val="single" w:sz="8" w:color="2C6937"/>
            </w:tcBorders>
            <w:gridSpan w:val="6"/>
          </w:tcPr>
          <w:p>
            <w:pPr>
              <w:jc w:val="center"/>
              <w:ind w:right="380"/>
              <w:spacing w:after="0"/>
              <w:rPr>
                <w:sz w:val="20"/>
                <w:szCs w:val="20"/>
                <w:color w:val="auto"/>
              </w:rPr>
            </w:pPr>
            <w:r>
              <w:rPr>
                <w:rFonts w:ascii="Arial" w:cs="Arial" w:eastAsia="Arial" w:hAnsi="Arial"/>
                <w:sz w:val="14"/>
                <w:szCs w:val="14"/>
                <w:b w:val="1"/>
                <w:bCs w:val="1"/>
                <w:color w:val="auto"/>
                <w:w w:val="97"/>
              </w:rPr>
              <w:t>Amortized Cost</w:t>
            </w:r>
            <w:r>
              <w:rPr>
                <w:rFonts w:ascii="Arial" w:cs="Arial" w:eastAsia="Arial" w:hAnsi="Arial"/>
                <w:sz w:val="17"/>
                <w:szCs w:val="17"/>
                <w:b w:val="1"/>
                <w:bCs w:val="1"/>
                <w:color w:val="auto"/>
                <w:w w:val="97"/>
                <w:vertAlign w:val="superscript"/>
              </w:rPr>
              <w:t>(1)</w:t>
            </w:r>
          </w:p>
        </w:tc>
        <w:tc>
          <w:tcPr>
            <w:tcW w:w="120" w:type="dxa"/>
            <w:vAlign w:val="bottom"/>
            <w:tcBorders>
              <w:bottom w:val="single" w:sz="8" w:color="2C6937"/>
            </w:tcBorders>
          </w:tcPr>
          <w:p>
            <w:pPr>
              <w:spacing w:after="0"/>
              <w:rPr>
                <w:sz w:val="17"/>
                <w:szCs w:val="17"/>
                <w:color w:val="auto"/>
              </w:rPr>
            </w:pPr>
          </w:p>
        </w:tc>
        <w:tc>
          <w:tcPr>
            <w:tcW w:w="2000" w:type="dxa"/>
            <w:vAlign w:val="bottom"/>
            <w:tcBorders>
              <w:bottom w:val="single" w:sz="8" w:color="2C6937"/>
            </w:tcBorders>
          </w:tcPr>
          <w:p>
            <w:pPr>
              <w:jc w:val="right"/>
              <w:ind w:right="606"/>
              <w:spacing w:after="0"/>
              <w:rPr>
                <w:sz w:val="20"/>
                <w:szCs w:val="20"/>
                <w:color w:val="auto"/>
              </w:rPr>
            </w:pPr>
            <w:r>
              <w:rPr>
                <w:rFonts w:ascii="Arial" w:cs="Arial" w:eastAsia="Arial" w:hAnsi="Arial"/>
                <w:sz w:val="14"/>
                <w:szCs w:val="14"/>
                <w:b w:val="1"/>
                <w:bCs w:val="1"/>
                <w:color w:val="auto"/>
              </w:rPr>
              <w:t>Recognized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75"/>
        </w:trPr>
        <w:tc>
          <w:tcPr>
            <w:tcW w:w="5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gridSpan w:val="3"/>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1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1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5"/>
              <w:spacing w:after="0"/>
              <w:rPr>
                <w:sz w:val="20"/>
                <w:szCs w:val="20"/>
                <w:color w:val="auto"/>
              </w:rPr>
            </w:pPr>
            <w:r>
              <w:rPr>
                <w:rFonts w:ascii="Arial" w:cs="Arial" w:eastAsia="Arial" w:hAnsi="Arial"/>
                <w:sz w:val="15"/>
                <w:szCs w:val="15"/>
                <w:color w:val="auto"/>
              </w:rPr>
              <w:t>22,712</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5"/>
              <w:spacing w:after="0"/>
              <w:rPr>
                <w:sz w:val="20"/>
                <w:szCs w:val="20"/>
                <w:color w:val="auto"/>
              </w:rPr>
            </w:pPr>
            <w:r>
              <w:rPr>
                <w:rFonts w:ascii="Arial" w:cs="Arial" w:eastAsia="Arial" w:hAnsi="Arial"/>
                <w:sz w:val="15"/>
                <w:szCs w:val="15"/>
                <w:color w:val="auto"/>
              </w:rPr>
              <w:t>21,971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309"/>
        </w:trPr>
        <w:tc>
          <w:tcPr>
            <w:tcW w:w="51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80" w:type="dxa"/>
            <w:vAlign w:val="bottom"/>
          </w:tcPr>
          <w:p>
            <w:pPr>
              <w:spacing w:after="0"/>
              <w:rPr>
                <w:sz w:val="24"/>
                <w:szCs w:val="24"/>
                <w:color w:val="auto"/>
              </w:rPr>
            </w:pPr>
          </w:p>
        </w:tc>
        <w:tc>
          <w:tcPr>
            <w:tcW w:w="1620" w:type="dxa"/>
            <w:vAlign w:val="bottom"/>
          </w:tcPr>
          <w:p>
            <w:pPr>
              <w:jc w:val="right"/>
              <w:ind w:right="5"/>
              <w:spacing w:after="0"/>
              <w:rPr>
                <w:sz w:val="20"/>
                <w:szCs w:val="20"/>
                <w:color w:val="auto"/>
              </w:rPr>
            </w:pPr>
            <w:r>
              <w:rPr>
                <w:rFonts w:ascii="Arial" w:cs="Arial" w:eastAsia="Arial" w:hAnsi="Arial"/>
                <w:sz w:val="15"/>
                <w:szCs w:val="15"/>
                <w:color w:val="auto"/>
              </w:rPr>
              <w:t>734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5"/>
              <w:spacing w:after="0"/>
              <w:rPr>
                <w:sz w:val="20"/>
                <w:szCs w:val="20"/>
                <w:color w:val="auto"/>
              </w:rPr>
            </w:pPr>
            <w:r>
              <w:rPr>
                <w:rFonts w:ascii="Arial" w:cs="Arial" w:eastAsia="Arial" w:hAnsi="Arial"/>
                <w:sz w:val="15"/>
                <w:szCs w:val="15"/>
                <w:color w:val="auto"/>
              </w:rPr>
              <w:t>727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09"/>
        </w:trPr>
        <w:tc>
          <w:tcPr>
            <w:tcW w:w="51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80" w:type="dxa"/>
            <w:vAlign w:val="bottom"/>
          </w:tcPr>
          <w:p>
            <w:pPr>
              <w:spacing w:after="0"/>
              <w:rPr>
                <w:sz w:val="24"/>
                <w:szCs w:val="24"/>
                <w:color w:val="auto"/>
              </w:rPr>
            </w:pPr>
          </w:p>
        </w:tc>
        <w:tc>
          <w:tcPr>
            <w:tcW w:w="1620" w:type="dxa"/>
            <w:vAlign w:val="bottom"/>
          </w:tcPr>
          <w:p>
            <w:pPr>
              <w:jc w:val="right"/>
              <w:ind w:right="5"/>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5"/>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0"/>
        </w:trPr>
        <w:tc>
          <w:tcPr>
            <w:tcW w:w="50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6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480</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68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508</w:t>
            </w: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02"/>
        </w:trPr>
        <w:tc>
          <w:tcPr>
            <w:tcW w:w="512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280" w:type="dxa"/>
            <w:vAlign w:val="bottom"/>
          </w:tcPr>
          <w:p>
            <w:pPr>
              <w:spacing w:after="0"/>
              <w:rPr>
                <w:sz w:val="24"/>
                <w:szCs w:val="24"/>
                <w:color w:val="auto"/>
              </w:rPr>
            </w:pPr>
          </w:p>
        </w:tc>
        <w:tc>
          <w:tcPr>
            <w:tcW w:w="1620" w:type="dxa"/>
            <w:vAlign w:val="bottom"/>
          </w:tcPr>
          <w:p>
            <w:pPr>
              <w:jc w:val="right"/>
              <w:ind w:right="5"/>
              <w:spacing w:after="0"/>
              <w:rPr>
                <w:sz w:val="20"/>
                <w:szCs w:val="20"/>
                <w:color w:val="auto"/>
              </w:rPr>
            </w:pPr>
            <w:r>
              <w:rPr>
                <w:rFonts w:ascii="Arial" w:cs="Arial" w:eastAsia="Arial" w:hAnsi="Arial"/>
                <w:sz w:val="15"/>
                <w:szCs w:val="15"/>
                <w:color w:val="auto"/>
              </w:rPr>
              <w:t>24,041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5"/>
              <w:spacing w:after="0"/>
              <w:rPr>
                <w:sz w:val="20"/>
                <w:szCs w:val="20"/>
                <w:color w:val="auto"/>
              </w:rPr>
            </w:pPr>
            <w:r>
              <w:rPr>
                <w:rFonts w:ascii="Arial" w:cs="Arial" w:eastAsia="Arial" w:hAnsi="Arial"/>
                <w:sz w:val="15"/>
                <w:szCs w:val="15"/>
                <w:color w:val="auto"/>
              </w:rPr>
              <w:t>23,315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310"/>
        </w:trPr>
        <w:tc>
          <w:tcPr>
            <w:tcW w:w="5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6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1,812</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68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1,890</w:t>
            </w: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02"/>
        </w:trPr>
        <w:tc>
          <w:tcPr>
            <w:tcW w:w="512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5"/>
              <w:spacing w:after="0"/>
              <w:rPr>
                <w:sz w:val="20"/>
                <w:szCs w:val="20"/>
                <w:color w:val="auto"/>
              </w:rPr>
            </w:pPr>
            <w:r>
              <w:rPr>
                <w:rFonts w:ascii="Arial" w:cs="Arial" w:eastAsia="Arial" w:hAnsi="Arial"/>
                <w:sz w:val="15"/>
                <w:szCs w:val="15"/>
                <w:color w:val="auto"/>
              </w:rPr>
              <w:t>25,853</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5"/>
              <w:spacing w:after="0"/>
              <w:rPr>
                <w:sz w:val="20"/>
                <w:szCs w:val="20"/>
                <w:color w:val="auto"/>
              </w:rPr>
            </w:pPr>
            <w:r>
              <w:rPr>
                <w:rFonts w:ascii="Arial" w:cs="Arial" w:eastAsia="Arial" w:hAnsi="Arial"/>
                <w:sz w:val="15"/>
                <w:szCs w:val="15"/>
                <w:color w:val="auto"/>
              </w:rPr>
              <w:t>25,205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
        </w:trPr>
        <w:tc>
          <w:tcPr>
            <w:tcW w:w="5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6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20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Amortized cost is presented net of any write-offs, which are recognized when a loan balance is deemed uncollectible.</w:t>
      </w:r>
    </w:p>
    <w:p>
      <w:pPr>
        <w:spacing w:after="0" w:line="25" w:lineRule="exact"/>
        <w:rPr>
          <w:rFonts w:ascii="Arial" w:cs="Arial" w:eastAsia="Arial" w:hAnsi="Arial"/>
          <w:sz w:val="18"/>
          <w:szCs w:val="18"/>
          <w:color w:val="auto"/>
          <w:vertAlign w:val="superscript"/>
        </w:rPr>
      </w:pPr>
    </w:p>
    <w:p>
      <w:pPr>
        <w:ind w:left="240" w:right="80" w:hanging="237"/>
        <w:spacing w:after="0" w:line="260" w:lineRule="auto"/>
        <w:tabs>
          <w:tab w:leader="none" w:pos="233" w:val="left"/>
        </w:tabs>
        <w:numPr>
          <w:ilvl w:val="0"/>
          <w:numId w:val="70"/>
        </w:numPr>
        <w:rPr>
          <w:rFonts w:ascii="Arial" w:cs="Arial" w:eastAsia="Arial" w:hAnsi="Arial"/>
          <w:sz w:val="9"/>
          <w:szCs w:val="9"/>
          <w:color w:val="auto"/>
        </w:rPr>
      </w:pPr>
      <w:r>
        <w:rPr>
          <w:rFonts w:ascii="Arial" w:cs="Arial" w:eastAsia="Arial" w:hAnsi="Arial"/>
          <w:sz w:val="14"/>
          <w:szCs w:val="14"/>
          <w:color w:val="auto"/>
        </w:rPr>
        <w:t>Interest income recognized includes amortization of any deferred cost basis adjustments while the loan is performing and that is not reversed when the loan is placed on nonaccrual status. For single-family, interest income recognized includes payments received on nonaccrual loans held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356870</wp:posOffset>
            </wp:positionV>
            <wp:extent cx="68059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1" w:name="page82"/>
    <w:bookmarkEnd w:id="81"/>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5. Allowance for Loan Losses</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maintain an allowance for loan losses for HFI loans held by Fannie Mae and by consolidated Fannie Mae MBS trusts, excluding loans for which we have elected the fair value option. When calculating our allowance for loan losses, we consider the unpaid principal balance, net of unamortized premiums and discounts, and other cost basis adjustments of HFI loans at the balance sheet date. We record write-offs as a reduction to our allowance for loan losses at the point of foreclosure, completion of a short sale, upon the redesignation of nonperforming and reperforming loans from HFI to HFS or when a loan is determined to be uncollectible.</w:t>
      </w:r>
    </w:p>
    <w:p>
      <w:pPr>
        <w:spacing w:after="0" w:line="3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following table displays changes in our allowance for single-family loans, multifamily loans and total allowance for loan losses. The benefit or provision for loan losses excludes provision for accrued interest receivable losses, guaranty loss reserves and credit losses on available-for-sale (“AFS”) debt securities. Cumulatively, these amounts are recognized as “(Provision) benefit for credit losses” in our condensed consolidated statements of operations and comprehensive income.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tcBorders>
              <w:bottom w:val="single" w:sz="8" w:color="2C6937"/>
            </w:tcBorders>
            <w:gridSpan w:val="4"/>
          </w:tcPr>
          <w:p>
            <w:pPr>
              <w:jc w:val="right"/>
              <w:ind w:right="103"/>
              <w:spacing w:after="0"/>
              <w:rPr>
                <w:sz w:val="20"/>
                <w:szCs w:val="20"/>
                <w:color w:val="auto"/>
              </w:rPr>
            </w:pPr>
            <w:r>
              <w:rPr>
                <w:rFonts w:ascii="Arial" w:cs="Arial" w:eastAsia="Arial" w:hAnsi="Arial"/>
                <w:sz w:val="15"/>
                <w:szCs w:val="15"/>
                <w:b w:val="1"/>
                <w:bCs w:val="1"/>
                <w:color w:val="auto"/>
              </w:rPr>
              <w:t>For the Three Months Ended March 31,</w:t>
            </w:r>
          </w:p>
        </w:tc>
        <w:tc>
          <w:tcPr>
            <w:tcW w:w="700" w:type="dxa"/>
            <w:vAlign w:val="bottom"/>
            <w:tcBorders>
              <w:bottom w:val="single" w:sz="8" w:color="2C6937"/>
            </w:tcBorders>
          </w:tcPr>
          <w:p>
            <w:pPr>
              <w:spacing w:after="0"/>
              <w:rPr>
                <w:sz w:val="18"/>
                <w:szCs w:val="18"/>
                <w:color w:val="auto"/>
              </w:rPr>
            </w:pPr>
          </w:p>
        </w:tc>
      </w:tr>
      <w:tr>
        <w:trPr>
          <w:trHeight w:val="222"/>
        </w:trPr>
        <w:tc>
          <w:tcPr>
            <w:tcW w:w="6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b w:val="1"/>
                <w:bCs w:val="1"/>
                <w:color w:val="auto"/>
              </w:rPr>
              <w:t>2025</w:t>
            </w:r>
          </w:p>
        </w:tc>
        <w:tc>
          <w:tcPr>
            <w:tcW w:w="8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5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2024</w:t>
            </w:r>
          </w:p>
        </w:tc>
        <w:tc>
          <w:tcPr>
            <w:tcW w:w="700" w:type="dxa"/>
            <w:vAlign w:val="bottom"/>
            <w:tcBorders>
              <w:bottom w:val="single" w:sz="8" w:color="2C6937"/>
            </w:tcBorders>
          </w:tcPr>
          <w:p>
            <w:pPr>
              <w:spacing w:after="0"/>
              <w:rPr>
                <w:sz w:val="19"/>
                <w:szCs w:val="19"/>
                <w:color w:val="auto"/>
              </w:rPr>
            </w:pPr>
          </w:p>
        </w:tc>
      </w:tr>
      <w:tr>
        <w:trPr>
          <w:trHeight w:val="299"/>
        </w:trPr>
        <w:tc>
          <w:tcPr>
            <w:tcW w:w="6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80" w:type="dxa"/>
            <w:vAlign w:val="bottom"/>
            <w:gridSpan w:val="3"/>
          </w:tcPr>
          <w:p>
            <w:pPr>
              <w:jc w:val="right"/>
              <w:ind w:right="823"/>
              <w:spacing w:after="0"/>
              <w:rPr>
                <w:sz w:val="20"/>
                <w:szCs w:val="20"/>
                <w:color w:val="auto"/>
              </w:rPr>
            </w:pPr>
            <w:r>
              <w:rPr>
                <w:rFonts w:ascii="Arial" w:cs="Arial" w:eastAsia="Arial" w:hAnsi="Arial"/>
                <w:sz w:val="15"/>
                <w:szCs w:val="15"/>
                <w:b w:val="1"/>
                <w:bCs w:val="1"/>
                <w:color w:val="auto"/>
              </w:rPr>
              <w:t>(Dollars in millions)</w:t>
            </w:r>
          </w:p>
        </w:tc>
        <w:tc>
          <w:tcPr>
            <w:tcW w:w="700" w:type="dxa"/>
            <w:vAlign w:val="bottom"/>
          </w:tcPr>
          <w:p>
            <w:pPr>
              <w:spacing w:after="0"/>
              <w:rPr>
                <w:sz w:val="24"/>
                <w:szCs w:val="24"/>
                <w:color w:val="auto"/>
              </w:rPr>
            </w:pPr>
          </w:p>
        </w:tc>
      </w:tr>
      <w:tr>
        <w:trPr>
          <w:trHeight w:val="301"/>
        </w:trPr>
        <w:tc>
          <w:tcPr>
            <w:tcW w:w="660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loan losses:</w:t>
            </w: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0"/>
        </w:trPr>
        <w:tc>
          <w:tcPr>
            <w:tcW w:w="66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460" w:type="dxa"/>
            <w:vAlign w:val="bottom"/>
          </w:tcPr>
          <w:p>
            <w:pPr>
              <w:jc w:val="right"/>
              <w:ind w:right="12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(5,319)</w:t>
            </w:r>
          </w:p>
        </w:tc>
        <w:tc>
          <w:tcPr>
            <w:tcW w:w="80" w:type="dxa"/>
            <w:vAlign w:val="bottom"/>
          </w:tcPr>
          <w:p>
            <w:pPr>
              <w:spacing w:after="0"/>
              <w:rPr>
                <w:sz w:val="24"/>
                <w:szCs w:val="24"/>
                <w:color w:val="auto"/>
              </w:rPr>
            </w:pPr>
          </w:p>
        </w:tc>
        <w:tc>
          <w:tcPr>
            <w:tcW w:w="1580" w:type="dxa"/>
            <w:vAlign w:val="bottom"/>
          </w:tcPr>
          <w:p>
            <w:pPr>
              <w:jc w:val="right"/>
              <w:ind w:right="14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(6,671)</w:t>
            </w:r>
          </w:p>
        </w:tc>
      </w:tr>
      <w:tr>
        <w:trPr>
          <w:trHeight w:val="309"/>
        </w:trPr>
        <w:tc>
          <w:tcPr>
            <w:tcW w:w="6600" w:type="dxa"/>
            <w:vAlign w:val="bottom"/>
            <w:gridSpan w:val="2"/>
          </w:tcPr>
          <w:p>
            <w:pPr>
              <w:ind w:left="320"/>
              <w:spacing w:after="0"/>
              <w:rPr>
                <w:sz w:val="20"/>
                <w:szCs w:val="20"/>
                <w:color w:val="auto"/>
              </w:rPr>
            </w:pPr>
            <w:r>
              <w:rPr>
                <w:rFonts w:ascii="Arial" w:cs="Arial" w:eastAsia="Arial" w:hAnsi="Arial"/>
                <w:sz w:val="15"/>
                <w:szCs w:val="15"/>
                <w:color w:val="auto"/>
              </w:rPr>
              <w:t>(Provision) benefit for loan losses</w:t>
            </w:r>
          </w:p>
        </w:tc>
        <w:tc>
          <w:tcPr>
            <w:tcW w:w="1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(16)</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339</w:t>
            </w:r>
          </w:p>
        </w:tc>
      </w:tr>
      <w:tr>
        <w:trPr>
          <w:trHeight w:val="309"/>
        </w:trPr>
        <w:tc>
          <w:tcPr>
            <w:tcW w:w="66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46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189</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303"/>
        </w:trPr>
        <w:tc>
          <w:tcPr>
            <w:tcW w:w="65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80" w:type="dxa"/>
            <w:vAlign w:val="bottom"/>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(32)</w:t>
            </w:r>
          </w:p>
        </w:tc>
        <w:tc>
          <w:tcPr>
            <w:tcW w:w="80" w:type="dxa"/>
            <w:vAlign w:val="bottom"/>
          </w:tcPr>
          <w:p>
            <w:pPr>
              <w:spacing w:after="0"/>
              <w:rPr>
                <w:sz w:val="24"/>
                <w:szCs w:val="24"/>
                <w:color w:val="auto"/>
              </w:rPr>
            </w:pPr>
          </w:p>
        </w:tc>
        <w:tc>
          <w:tcPr>
            <w:tcW w:w="158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w:t>
            </w:r>
          </w:p>
        </w:tc>
      </w:tr>
      <w:tr>
        <w:trPr>
          <w:trHeight w:val="295"/>
        </w:trPr>
        <w:tc>
          <w:tcPr>
            <w:tcW w:w="65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4"/>
                <w:szCs w:val="24"/>
                <w:color w:val="auto"/>
              </w:rPr>
            </w:pPr>
          </w:p>
        </w:tc>
        <w:tc>
          <w:tcPr>
            <w:tcW w:w="1460" w:type="dxa"/>
            <w:vAlign w:val="bottom"/>
            <w:tcBorders>
              <w:bottom w:val="single" w:sz="8" w:color="2C6937"/>
            </w:tcBorders>
          </w:tcPr>
          <w:p>
            <w:pPr>
              <w:jc w:val="right"/>
              <w:ind w:right="12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(5,178)</w:t>
            </w:r>
          </w:p>
        </w:tc>
        <w:tc>
          <w:tcPr>
            <w:tcW w:w="80" w:type="dxa"/>
            <w:vAlign w:val="bottom"/>
          </w:tcPr>
          <w:p>
            <w:pPr>
              <w:spacing w:after="0"/>
              <w:rPr>
                <w:sz w:val="24"/>
                <w:szCs w:val="24"/>
                <w:color w:val="auto"/>
              </w:rPr>
            </w:pPr>
          </w:p>
        </w:tc>
        <w:tc>
          <w:tcPr>
            <w:tcW w:w="1580" w:type="dxa"/>
            <w:vAlign w:val="bottom"/>
            <w:tcBorders>
              <w:bottom w:val="single" w:sz="8" w:color="2C6937"/>
            </w:tcBorders>
          </w:tcPr>
          <w:p>
            <w:pPr>
              <w:jc w:val="right"/>
              <w:ind w:right="140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(6,275)</w:t>
            </w:r>
          </w:p>
        </w:tc>
      </w:tr>
      <w:tr>
        <w:trPr>
          <w:trHeight w:val="26"/>
        </w:trPr>
        <w:tc>
          <w:tcPr>
            <w:tcW w:w="6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r>
      <w:tr>
        <w:trPr>
          <w:trHeight w:val="288"/>
        </w:trPr>
        <w:tc>
          <w:tcPr>
            <w:tcW w:w="660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loan losses:</w:t>
            </w: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0"/>
        </w:trPr>
        <w:tc>
          <w:tcPr>
            <w:tcW w:w="66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460" w:type="dxa"/>
            <w:vAlign w:val="bottom"/>
          </w:tcPr>
          <w:p>
            <w:pPr>
              <w:jc w:val="right"/>
              <w:ind w:right="12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(2,388)</w:t>
            </w:r>
          </w:p>
        </w:tc>
        <w:tc>
          <w:tcPr>
            <w:tcW w:w="80" w:type="dxa"/>
            <w:vAlign w:val="bottom"/>
          </w:tcPr>
          <w:p>
            <w:pPr>
              <w:spacing w:after="0"/>
              <w:rPr>
                <w:sz w:val="24"/>
                <w:szCs w:val="24"/>
                <w:color w:val="auto"/>
              </w:rPr>
            </w:pPr>
          </w:p>
        </w:tc>
        <w:tc>
          <w:tcPr>
            <w:tcW w:w="1580" w:type="dxa"/>
            <w:vAlign w:val="bottom"/>
          </w:tcPr>
          <w:p>
            <w:pPr>
              <w:jc w:val="right"/>
              <w:ind w:right="14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(2,059)</w:t>
            </w:r>
          </w:p>
        </w:tc>
      </w:tr>
      <w:tr>
        <w:trPr>
          <w:trHeight w:val="309"/>
        </w:trPr>
        <w:tc>
          <w:tcPr>
            <w:tcW w:w="6600" w:type="dxa"/>
            <w:vAlign w:val="bottom"/>
            <w:gridSpan w:val="2"/>
          </w:tcPr>
          <w:p>
            <w:pPr>
              <w:ind w:left="320"/>
              <w:spacing w:after="0"/>
              <w:rPr>
                <w:sz w:val="20"/>
                <w:szCs w:val="20"/>
                <w:color w:val="auto"/>
              </w:rPr>
            </w:pPr>
            <w:r>
              <w:rPr>
                <w:rFonts w:ascii="Arial" w:cs="Arial" w:eastAsia="Arial" w:hAnsi="Arial"/>
                <w:sz w:val="15"/>
                <w:szCs w:val="15"/>
                <w:color w:val="auto"/>
              </w:rPr>
              <w:t>(Provision) benefit for loan losses</w:t>
            </w:r>
          </w:p>
        </w:tc>
        <w:tc>
          <w:tcPr>
            <w:tcW w:w="146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1</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(157)</w:t>
            </w:r>
          </w:p>
        </w:tc>
      </w:tr>
      <w:tr>
        <w:trPr>
          <w:trHeight w:val="309"/>
        </w:trPr>
        <w:tc>
          <w:tcPr>
            <w:tcW w:w="66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46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61</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133</w:t>
            </w:r>
          </w:p>
        </w:tc>
      </w:tr>
      <w:tr>
        <w:trPr>
          <w:trHeight w:val="303"/>
        </w:trPr>
        <w:tc>
          <w:tcPr>
            <w:tcW w:w="65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80" w:type="dxa"/>
            <w:vAlign w:val="bottom"/>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w:t>
            </w:r>
          </w:p>
        </w:tc>
        <w:tc>
          <w:tcPr>
            <w:tcW w:w="80" w:type="dxa"/>
            <w:vAlign w:val="bottom"/>
          </w:tcPr>
          <w:p>
            <w:pPr>
              <w:spacing w:after="0"/>
              <w:rPr>
                <w:sz w:val="24"/>
                <w:szCs w:val="24"/>
                <w:color w:val="auto"/>
              </w:rPr>
            </w:pPr>
          </w:p>
        </w:tc>
        <w:tc>
          <w:tcPr>
            <w:tcW w:w="158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r>
      <w:tr>
        <w:trPr>
          <w:trHeight w:val="302"/>
        </w:trPr>
        <w:tc>
          <w:tcPr>
            <w:tcW w:w="65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4"/>
                <w:szCs w:val="24"/>
                <w:color w:val="auto"/>
              </w:rPr>
            </w:pPr>
          </w:p>
        </w:tc>
        <w:tc>
          <w:tcPr>
            <w:tcW w:w="1460" w:type="dxa"/>
            <w:vAlign w:val="bottom"/>
            <w:tcBorders>
              <w:bottom w:val="single" w:sz="8" w:color="2C6937"/>
            </w:tcBorders>
          </w:tcPr>
          <w:p>
            <w:pPr>
              <w:jc w:val="right"/>
              <w:ind w:right="12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(2,354)</w:t>
            </w:r>
          </w:p>
        </w:tc>
        <w:tc>
          <w:tcPr>
            <w:tcW w:w="80" w:type="dxa"/>
            <w:vAlign w:val="bottom"/>
          </w:tcPr>
          <w:p>
            <w:pPr>
              <w:spacing w:after="0"/>
              <w:rPr>
                <w:sz w:val="24"/>
                <w:szCs w:val="24"/>
                <w:color w:val="auto"/>
              </w:rPr>
            </w:pPr>
          </w:p>
        </w:tc>
        <w:tc>
          <w:tcPr>
            <w:tcW w:w="1580" w:type="dxa"/>
            <w:vAlign w:val="bottom"/>
            <w:tcBorders>
              <w:bottom w:val="single" w:sz="8" w:color="2C6937"/>
            </w:tcBorders>
          </w:tcPr>
          <w:p>
            <w:pPr>
              <w:jc w:val="right"/>
              <w:ind w:right="140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(2,104)</w:t>
            </w:r>
          </w:p>
        </w:tc>
      </w:tr>
      <w:tr>
        <w:trPr>
          <w:trHeight w:val="20"/>
        </w:trPr>
        <w:tc>
          <w:tcPr>
            <w:tcW w:w="65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r>
      <w:tr>
        <w:trPr>
          <w:trHeight w:val="287"/>
        </w:trPr>
        <w:tc>
          <w:tcPr>
            <w:tcW w:w="6600" w:type="dxa"/>
            <w:vAlign w:val="bottom"/>
            <w:gridSpan w:val="2"/>
          </w:tcPr>
          <w:p>
            <w:pPr>
              <w:ind w:left="20"/>
              <w:spacing w:after="0"/>
              <w:rPr>
                <w:sz w:val="20"/>
                <w:szCs w:val="20"/>
                <w:color w:val="auto"/>
              </w:rPr>
            </w:pPr>
            <w:r>
              <w:rPr>
                <w:rFonts w:ascii="Arial" w:cs="Arial" w:eastAsia="Arial" w:hAnsi="Arial"/>
                <w:sz w:val="15"/>
                <w:szCs w:val="15"/>
                <w:color w:val="auto"/>
              </w:rPr>
              <w:t>Total allowance for loan losses:</w:t>
            </w: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0"/>
        </w:trPr>
        <w:tc>
          <w:tcPr>
            <w:tcW w:w="66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460" w:type="dxa"/>
            <w:vAlign w:val="bottom"/>
          </w:tcPr>
          <w:p>
            <w:pPr>
              <w:jc w:val="right"/>
              <w:ind w:right="12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(7,707)</w:t>
            </w:r>
          </w:p>
        </w:tc>
        <w:tc>
          <w:tcPr>
            <w:tcW w:w="80" w:type="dxa"/>
            <w:vAlign w:val="bottom"/>
          </w:tcPr>
          <w:p>
            <w:pPr>
              <w:spacing w:after="0"/>
              <w:rPr>
                <w:sz w:val="24"/>
                <w:szCs w:val="24"/>
                <w:color w:val="auto"/>
              </w:rPr>
            </w:pPr>
          </w:p>
        </w:tc>
        <w:tc>
          <w:tcPr>
            <w:tcW w:w="1580" w:type="dxa"/>
            <w:vAlign w:val="bottom"/>
          </w:tcPr>
          <w:p>
            <w:pPr>
              <w:jc w:val="right"/>
              <w:ind w:right="14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(8,730)</w:t>
            </w:r>
          </w:p>
        </w:tc>
      </w:tr>
      <w:tr>
        <w:trPr>
          <w:trHeight w:val="309"/>
        </w:trPr>
        <w:tc>
          <w:tcPr>
            <w:tcW w:w="6600" w:type="dxa"/>
            <w:vAlign w:val="bottom"/>
            <w:gridSpan w:val="2"/>
          </w:tcPr>
          <w:p>
            <w:pPr>
              <w:ind w:left="320"/>
              <w:spacing w:after="0"/>
              <w:rPr>
                <w:sz w:val="20"/>
                <w:szCs w:val="20"/>
                <w:color w:val="auto"/>
              </w:rPr>
            </w:pPr>
            <w:r>
              <w:rPr>
                <w:rFonts w:ascii="Arial" w:cs="Arial" w:eastAsia="Arial" w:hAnsi="Arial"/>
                <w:sz w:val="15"/>
                <w:szCs w:val="15"/>
                <w:color w:val="auto"/>
              </w:rPr>
              <w:t>(Provision) benefit for loan losses</w:t>
            </w:r>
          </w:p>
        </w:tc>
        <w:tc>
          <w:tcPr>
            <w:tcW w:w="1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182</w:t>
            </w:r>
          </w:p>
        </w:tc>
      </w:tr>
      <w:tr>
        <w:trPr>
          <w:trHeight w:val="309"/>
        </w:trPr>
        <w:tc>
          <w:tcPr>
            <w:tcW w:w="66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46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250</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248</w:t>
            </w:r>
          </w:p>
        </w:tc>
      </w:tr>
      <w:tr>
        <w:trPr>
          <w:trHeight w:val="303"/>
        </w:trPr>
        <w:tc>
          <w:tcPr>
            <w:tcW w:w="65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80" w:type="dxa"/>
            <w:vAlign w:val="bottom"/>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(60)</w:t>
            </w:r>
          </w:p>
        </w:tc>
        <w:tc>
          <w:tcPr>
            <w:tcW w:w="80" w:type="dxa"/>
            <w:vAlign w:val="bottom"/>
          </w:tcPr>
          <w:p>
            <w:pPr>
              <w:spacing w:after="0"/>
              <w:rPr>
                <w:sz w:val="24"/>
                <w:szCs w:val="24"/>
                <w:color w:val="auto"/>
              </w:rPr>
            </w:pPr>
          </w:p>
        </w:tc>
        <w:tc>
          <w:tcPr>
            <w:tcW w:w="158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w:t>
            </w:r>
          </w:p>
        </w:tc>
      </w:tr>
      <w:tr>
        <w:trPr>
          <w:trHeight w:val="302"/>
        </w:trPr>
        <w:tc>
          <w:tcPr>
            <w:tcW w:w="6600" w:type="dxa"/>
            <w:vAlign w:val="bottom"/>
            <w:gridSpan w:val="2"/>
          </w:tcPr>
          <w:p>
            <w:pPr>
              <w:ind w:left="180"/>
              <w:spacing w:after="0"/>
              <w:rPr>
                <w:sz w:val="20"/>
                <w:szCs w:val="20"/>
                <w:color w:val="auto"/>
              </w:rPr>
            </w:pPr>
            <w:r>
              <w:rPr>
                <w:rFonts w:ascii="Arial" w:cs="Arial" w:eastAsia="Arial" w:hAnsi="Arial"/>
                <w:sz w:val="15"/>
                <w:szCs w:val="15"/>
                <w:color w:val="auto"/>
              </w:rPr>
              <w:t>Ending balance</w:t>
            </w:r>
          </w:p>
        </w:tc>
        <w:tc>
          <w:tcPr>
            <w:tcW w:w="1460" w:type="dxa"/>
            <w:vAlign w:val="bottom"/>
          </w:tcPr>
          <w:p>
            <w:pPr>
              <w:jc w:val="right"/>
              <w:ind w:right="12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(7,532)</w:t>
            </w:r>
          </w:p>
        </w:tc>
        <w:tc>
          <w:tcPr>
            <w:tcW w:w="80" w:type="dxa"/>
            <w:vAlign w:val="bottom"/>
          </w:tcPr>
          <w:p>
            <w:pPr>
              <w:spacing w:after="0"/>
              <w:rPr>
                <w:sz w:val="24"/>
                <w:szCs w:val="24"/>
                <w:color w:val="auto"/>
              </w:rPr>
            </w:pPr>
          </w:p>
        </w:tc>
        <w:tc>
          <w:tcPr>
            <w:tcW w:w="1580" w:type="dxa"/>
            <w:vAlign w:val="bottom"/>
          </w:tcPr>
          <w:p>
            <w:pPr>
              <w:jc w:val="right"/>
              <w:ind w:right="14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(8,379)</w:t>
            </w:r>
          </w:p>
        </w:tc>
      </w:tr>
      <w:tr>
        <w:trPr>
          <w:trHeight w:val="20"/>
        </w:trPr>
        <w:tc>
          <w:tcPr>
            <w:tcW w:w="65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r>
    </w:tbl>
    <w:p>
      <w:pPr>
        <w:spacing w:after="0" w:line="14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(provision) benefit for loan losses can vary substantially from period to period based on a number of factors, such as changes in actual and forecasted home prices or property valuations, fluctuations in actual and forecasted interest rates, borrower payment behavior, events such as natural disasters or pandemics, the type, volume and effectiveness of our loss mitigation activities, including forbearances and loan modifications, the volume of foreclosures completed, and the volume and pricing of loans redesignated from HFI to HFS. Our benefit or provision can also be impacted by updates to the models, assumptions, and data used in determining our allowance for loan losses.</w:t>
      </w:r>
    </w:p>
    <w:p>
      <w:pPr>
        <w:spacing w:after="0" w:line="3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Our single-family provision for loan losses in the first quarter of 2025 reflected the impact of recent economic uncertainty and improvements in actual and forecasted home price growth.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More specifically, the provision from economic uncertainty was offset by a benefit from actual and forecasted home price growth as described below:</w:t>
      </w:r>
    </w:p>
    <w:p>
      <w:pPr>
        <w:spacing w:after="0" w:line="100" w:lineRule="exact"/>
        <w:rPr>
          <w:sz w:val="20"/>
          <w:szCs w:val="20"/>
          <w:color w:val="auto"/>
        </w:rPr>
      </w:pPr>
    </w:p>
    <w:p>
      <w:pPr>
        <w:ind w:left="620" w:right="280" w:hanging="307"/>
        <w:spacing w:after="0" w:line="293" w:lineRule="auto"/>
        <w:tabs>
          <w:tab w:leader="none" w:pos="612" w:val="left"/>
        </w:tabs>
        <w:numPr>
          <w:ilvl w:val="0"/>
          <w:numId w:val="71"/>
        </w:numPr>
        <w:rPr>
          <w:rFonts w:ascii="Arial" w:cs="Arial" w:eastAsia="Arial" w:hAnsi="Arial"/>
          <w:sz w:val="16"/>
          <w:szCs w:val="16"/>
          <w:i w:val="1"/>
          <w:iCs w:val="1"/>
          <w:color w:val="auto"/>
        </w:rPr>
      </w:pPr>
      <w:r>
        <w:rPr>
          <w:rFonts w:ascii="Arial" w:cs="Arial" w:eastAsia="Arial" w:hAnsi="Arial"/>
          <w:sz w:val="16"/>
          <w:szCs w:val="16"/>
          <w:color w:val="auto"/>
        </w:rPr>
        <w:t>Provision from economic uncertainty. During the first quarter of 2025, the impact of economic uncertainty associated with recent trade and fiscal policies led to market volatility, which increased our estimate for loan losses and resulted in a provision.</w:t>
      </w:r>
    </w:p>
    <w:p>
      <w:pPr>
        <w:spacing w:after="0" w:line="14" w:lineRule="exact"/>
        <w:rPr>
          <w:rFonts w:ascii="Arial" w:cs="Arial" w:eastAsia="Arial" w:hAnsi="Arial"/>
          <w:sz w:val="16"/>
          <w:szCs w:val="16"/>
          <w:i w:val="1"/>
          <w:iCs w:val="1"/>
          <w:color w:val="auto"/>
        </w:rPr>
      </w:pPr>
    </w:p>
    <w:p>
      <w:pPr>
        <w:ind w:left="620" w:right="160" w:hanging="307"/>
        <w:spacing w:after="0" w:line="272" w:lineRule="auto"/>
        <w:tabs>
          <w:tab w:leader="none" w:pos="609" w:val="left"/>
        </w:tabs>
        <w:numPr>
          <w:ilvl w:val="0"/>
          <w:numId w:val="71"/>
        </w:numPr>
        <w:rPr>
          <w:rFonts w:ascii="Arial" w:cs="Arial" w:eastAsia="Arial" w:hAnsi="Arial"/>
          <w:sz w:val="15"/>
          <w:szCs w:val="15"/>
          <w:color w:val="auto"/>
        </w:rPr>
      </w:pPr>
      <w:r>
        <w:rPr>
          <w:rFonts w:ascii="Arial" w:cs="Arial" w:eastAsia="Arial" w:hAnsi="Arial"/>
          <w:sz w:val="16"/>
          <w:szCs w:val="16"/>
          <w:color w:val="auto"/>
        </w:rPr>
        <w:t>Benefit from actual and forecasted home price growth. During the first quarter of 2025,actual home prices appreciated more than originally projected and our forecast of future home prices also improved. Higher home prices decrease the likelihood that loans will default and reduce the amount of losses on loans that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2" w:name="page83"/>
    <w:bookmarkEnd w:id="82"/>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which impacts our estimate of losses and ultimately reduces our loss reserves and provision for loan losses.</w:t>
      </w:r>
    </w:p>
    <w:p>
      <w:pPr>
        <w:spacing w:after="0" w:line="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single-family benefit for loan losses in the first quarter of 2024 was primarily driven by a benefit from forecasted home price growth, partially offset by a provision from changes in loan activity and a provision from actual and projected interest rates, as described below:</w:t>
      </w:r>
    </w:p>
    <w:p>
      <w:pPr>
        <w:spacing w:after="0" w:line="28" w:lineRule="exact"/>
        <w:rPr>
          <w:sz w:val="20"/>
          <w:szCs w:val="20"/>
          <w:color w:val="auto"/>
        </w:rPr>
      </w:pPr>
    </w:p>
    <w:p>
      <w:pPr>
        <w:ind w:left="620" w:right="40" w:hanging="307"/>
        <w:spacing w:after="0" w:line="293" w:lineRule="auto"/>
        <w:tabs>
          <w:tab w:leader="none" w:pos="612" w:val="left"/>
        </w:tabs>
        <w:numPr>
          <w:ilvl w:val="0"/>
          <w:numId w:val="72"/>
        </w:numPr>
        <w:rPr>
          <w:rFonts w:ascii="Arial" w:cs="Arial" w:eastAsia="Arial" w:hAnsi="Arial"/>
          <w:sz w:val="16"/>
          <w:szCs w:val="16"/>
          <w:color w:val="auto"/>
        </w:rPr>
      </w:pPr>
      <w:r>
        <w:rPr>
          <w:rFonts w:ascii="Arial" w:cs="Arial" w:eastAsia="Arial" w:hAnsi="Arial"/>
          <w:sz w:val="16"/>
          <w:szCs w:val="16"/>
          <w:color w:val="auto"/>
        </w:rPr>
        <w:t>Benefit from actual and forecasted home price growth</w:t>
      </w:r>
      <w:r>
        <w:rPr>
          <w:rFonts w:ascii="Arial" w:cs="Arial" w:eastAsia="Arial" w:hAnsi="Arial"/>
          <w:sz w:val="16"/>
          <w:szCs w:val="16"/>
          <w:i w:val="1"/>
          <w:iCs w:val="1"/>
          <w:color w:val="auto"/>
        </w:rPr>
        <w:t>.</w:t>
      </w:r>
      <w:r>
        <w:rPr>
          <w:rFonts w:ascii="Arial" w:cs="Arial" w:eastAsia="Arial" w:hAnsi="Arial"/>
          <w:sz w:val="16"/>
          <w:szCs w:val="16"/>
          <w:color w:val="auto"/>
        </w:rPr>
        <w:t xml:space="preserve"> During the first quarter of 2024, we observed stronger-than-expected forecasted home price appreciation.</w:t>
      </w:r>
    </w:p>
    <w:p>
      <w:pPr>
        <w:spacing w:after="0" w:line="14" w:lineRule="exact"/>
        <w:rPr>
          <w:rFonts w:ascii="Arial" w:cs="Arial" w:eastAsia="Arial" w:hAnsi="Arial"/>
          <w:sz w:val="16"/>
          <w:szCs w:val="16"/>
          <w:color w:val="auto"/>
        </w:rPr>
      </w:pPr>
    </w:p>
    <w:p>
      <w:pPr>
        <w:ind w:left="620" w:right="20" w:hanging="307"/>
        <w:spacing w:after="0" w:line="293" w:lineRule="auto"/>
        <w:tabs>
          <w:tab w:leader="none" w:pos="612"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Provision from changes in loan activity. This includes provision on newly acquired loans and was primarily driven by the credit risk profile of our first quarter 2024 single-family acquisitions, which primarily consisted of purchase loans.</w:t>
      </w:r>
    </w:p>
    <w:p>
      <w:pPr>
        <w:spacing w:after="0" w:line="14" w:lineRule="exact"/>
        <w:rPr>
          <w:rFonts w:ascii="Arial" w:cs="Arial" w:eastAsia="Arial" w:hAnsi="Arial"/>
          <w:sz w:val="16"/>
          <w:szCs w:val="16"/>
          <w:color w:val="auto"/>
        </w:rPr>
      </w:pPr>
    </w:p>
    <w:p>
      <w:pPr>
        <w:ind w:left="620" w:hanging="307"/>
        <w:spacing w:after="0" w:line="281" w:lineRule="auto"/>
        <w:tabs>
          <w:tab w:leader="none" w:pos="612"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Provision from actual and projected interest rates</w:t>
      </w:r>
      <w:r>
        <w:rPr>
          <w:rFonts w:ascii="Arial" w:cs="Arial" w:eastAsia="Arial" w:hAnsi="Arial"/>
          <w:sz w:val="16"/>
          <w:szCs w:val="16"/>
          <w:i w:val="1"/>
          <w:iCs w:val="1"/>
          <w:color w:val="auto"/>
        </w:rPr>
        <w:t>.</w:t>
      </w:r>
      <w:r>
        <w:rPr>
          <w:rFonts w:ascii="Arial" w:cs="Arial" w:eastAsia="Arial" w:hAnsi="Arial"/>
          <w:sz w:val="16"/>
          <w:szCs w:val="16"/>
          <w:color w:val="auto"/>
        </w:rPr>
        <w:t xml:space="preserve"> Actual and projected interest rates increased in the first quarter of 2024 compared with our prior forecast. As mortgage rates increase, we expect a decrease in future prepayments on single-family loans. Lower expected prepayments extend the expected life of the loan, which increases our expectation of loan losses.</w:t>
      </w:r>
    </w:p>
    <w:p>
      <w:pPr>
        <w:spacing w:after="0" w:line="2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Our multifamily benefit for loan losses in the first quarter of 2025 was neutral. Our multifamily allowance for loan losses as of March 31, 2025 includes a component related to economic uncertainty, particularly uncertainty related to multifamily property values.</w:t>
      </w:r>
    </w:p>
    <w:p>
      <w:pPr>
        <w:spacing w:after="0" w:line="15"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Our multifamily provision for loan losses in the first quarter of 2024 was primarily driven by continued declines in actual and projected multifamily property values, which included provision attributable to property value uncertainty, as well as provision due to increases in actual and projected interest rates compared to our prior forecast. Our forecast of multifamily property value estimated further declines in the near term offset by a long-term improvement.</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6. Investments in Securities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our investments in securities.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84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16"/>
                <w:szCs w:val="16"/>
                <w:color w:val="auto"/>
              </w:rPr>
            </w:pPr>
          </w:p>
        </w:tc>
      </w:tr>
      <w:tr>
        <w:trPr>
          <w:trHeight w:val="185"/>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66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jc w:val="right"/>
              <w:ind w:right="184"/>
              <w:spacing w:after="0"/>
              <w:rPr>
                <w:sz w:val="20"/>
                <w:szCs w:val="20"/>
                <w:color w:val="auto"/>
              </w:rPr>
            </w:pPr>
            <w:r>
              <w:rPr>
                <w:rFonts w:ascii="Arial" w:cs="Arial" w:eastAsia="Arial" w:hAnsi="Arial"/>
                <w:sz w:val="14"/>
                <w:szCs w:val="14"/>
                <w:b w:val="1"/>
                <w:bCs w:val="1"/>
                <w:color w:val="auto"/>
              </w:rPr>
              <w:t>December 31, 2024</w:t>
            </w:r>
          </w:p>
        </w:tc>
      </w:tr>
      <w:tr>
        <w:trPr>
          <w:trHeight w:val="199"/>
        </w:trPr>
        <w:tc>
          <w:tcPr>
            <w:tcW w:w="7600" w:type="dxa"/>
            <w:vAlign w:val="bottom"/>
            <w:gridSpan w:val="2"/>
          </w:tcPr>
          <w:p>
            <w:pPr>
              <w:ind w:left="20"/>
              <w:spacing w:after="0"/>
              <w:rPr>
                <w:sz w:val="20"/>
                <w:szCs w:val="20"/>
                <w:color w:val="auto"/>
              </w:rPr>
            </w:pPr>
            <w:r>
              <w:rPr>
                <w:rFonts w:ascii="Arial" w:cs="Arial" w:eastAsia="Arial" w:hAnsi="Arial"/>
                <w:sz w:val="15"/>
                <w:szCs w:val="15"/>
                <w:color w:val="auto"/>
              </w:rPr>
              <w:t>Trading securities:</w:t>
            </w:r>
          </w:p>
        </w:tc>
        <w:tc>
          <w:tcPr>
            <w:tcW w:w="240" w:type="dxa"/>
            <w:vAlign w:val="bottom"/>
          </w:tcPr>
          <w:p>
            <w:pPr>
              <w:spacing w:after="0"/>
              <w:rPr>
                <w:sz w:val="17"/>
                <w:szCs w:val="17"/>
                <w:color w:val="auto"/>
              </w:rPr>
            </w:pPr>
          </w:p>
        </w:tc>
        <w:tc>
          <w:tcPr>
            <w:tcW w:w="3400" w:type="dxa"/>
            <w:vAlign w:val="bottom"/>
            <w:gridSpan w:val="4"/>
          </w:tcPr>
          <w:p>
            <w:pPr>
              <w:jc w:val="right"/>
              <w:ind w:right="1104"/>
              <w:spacing w:after="0"/>
              <w:rPr>
                <w:sz w:val="20"/>
                <w:szCs w:val="20"/>
                <w:color w:val="auto"/>
              </w:rPr>
            </w:pPr>
            <w:r>
              <w:rPr>
                <w:rFonts w:ascii="Arial" w:cs="Arial" w:eastAsia="Arial" w:hAnsi="Arial"/>
                <w:sz w:val="14"/>
                <w:szCs w:val="14"/>
                <w:b w:val="1"/>
                <w:bCs w:val="1"/>
                <w:color w:val="auto"/>
              </w:rPr>
              <w:t>(Dollars in millions)</w:t>
            </w:r>
          </w:p>
        </w:tc>
      </w:tr>
      <w:tr>
        <w:trPr>
          <w:trHeight w:val="209"/>
        </w:trPr>
        <w:tc>
          <w:tcPr>
            <w:tcW w:w="7600" w:type="dxa"/>
            <w:vAlign w:val="bottom"/>
            <w:gridSpan w:val="2"/>
          </w:tcPr>
          <w:p>
            <w:pPr>
              <w:ind w:left="20"/>
              <w:spacing w:after="0"/>
              <w:rPr>
                <w:sz w:val="20"/>
                <w:szCs w:val="20"/>
                <w:color w:val="auto"/>
              </w:rPr>
            </w:pPr>
            <w:r>
              <w:rPr>
                <w:rFonts w:ascii="Arial" w:cs="Arial" w:eastAsia="Arial" w:hAnsi="Arial"/>
                <w:sz w:val="15"/>
                <w:szCs w:val="15"/>
                <w:color w:val="auto"/>
              </w:rPr>
              <w:t>Mortgage-related securities (includes $289 million and $300 million, respectively, related to consolidated</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600" w:type="dxa"/>
            <w:vAlign w:val="bottom"/>
            <w:gridSpan w:val="2"/>
          </w:tcPr>
          <w:p>
            <w:pPr>
              <w:ind w:left="180"/>
              <w:spacing w:after="0"/>
              <w:rPr>
                <w:sz w:val="20"/>
                <w:szCs w:val="20"/>
                <w:color w:val="auto"/>
              </w:rPr>
            </w:pPr>
            <w:r>
              <w:rPr>
                <w:rFonts w:ascii="Arial" w:cs="Arial" w:eastAsia="Arial" w:hAnsi="Arial"/>
                <w:sz w:val="15"/>
                <w:szCs w:val="15"/>
                <w:color w:val="auto"/>
              </w:rPr>
              <w:t>trusts)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1,018</w:t>
            </w:r>
          </w:p>
        </w:tc>
        <w:tc>
          <w:tcPr>
            <w:tcW w:w="16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1,098</w:t>
            </w:r>
          </w:p>
        </w:tc>
      </w:tr>
      <w:tr>
        <w:trPr>
          <w:trHeight w:val="208"/>
        </w:trPr>
        <w:tc>
          <w:tcPr>
            <w:tcW w:w="7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Non-mortgage-related securities</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77,884</w:t>
            </w:r>
          </w:p>
        </w:tc>
        <w:tc>
          <w:tcPr>
            <w:tcW w:w="1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77,630</w:t>
            </w:r>
          </w:p>
        </w:tc>
      </w:tr>
      <w:tr>
        <w:trPr>
          <w:trHeight w:val="224"/>
        </w:trPr>
        <w:tc>
          <w:tcPr>
            <w:tcW w:w="7600" w:type="dxa"/>
            <w:vAlign w:val="bottom"/>
            <w:gridSpan w:val="2"/>
          </w:tcPr>
          <w:p>
            <w:pPr>
              <w:ind w:left="220"/>
              <w:spacing w:after="0"/>
              <w:rPr>
                <w:sz w:val="20"/>
                <w:szCs w:val="20"/>
                <w:color w:val="auto"/>
              </w:rPr>
            </w:pPr>
            <w:r>
              <w:rPr>
                <w:rFonts w:ascii="Arial" w:cs="Arial" w:eastAsia="Arial" w:hAnsi="Arial"/>
                <w:sz w:val="15"/>
                <w:szCs w:val="15"/>
                <w:color w:val="auto"/>
              </w:rPr>
              <w:t>Total trading securities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78,902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78,728</w:t>
            </w:r>
          </w:p>
        </w:tc>
      </w:tr>
      <w:tr>
        <w:trPr>
          <w:trHeight w:val="208"/>
        </w:trPr>
        <w:tc>
          <w:tcPr>
            <w:tcW w:w="7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Available-for-sale securities (amortized cost of $470 million and $487 million, respectively)</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445</w:t>
            </w:r>
          </w:p>
        </w:tc>
        <w:tc>
          <w:tcPr>
            <w:tcW w:w="1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469</w:t>
            </w:r>
          </w:p>
        </w:tc>
      </w:tr>
      <w:tr>
        <w:trPr>
          <w:trHeight w:val="199"/>
        </w:trPr>
        <w:tc>
          <w:tcPr>
            <w:tcW w:w="7600" w:type="dxa"/>
            <w:vAlign w:val="bottom"/>
            <w:gridSpan w:val="2"/>
          </w:tcPr>
          <w:p>
            <w:pPr>
              <w:ind w:left="120"/>
              <w:spacing w:after="0"/>
              <w:rPr>
                <w:sz w:val="20"/>
                <w:szCs w:val="20"/>
                <w:color w:val="auto"/>
              </w:rPr>
            </w:pPr>
            <w:r>
              <w:rPr>
                <w:rFonts w:ascii="Arial" w:cs="Arial" w:eastAsia="Arial" w:hAnsi="Arial"/>
                <w:sz w:val="15"/>
                <w:szCs w:val="15"/>
                <w:color w:val="auto"/>
              </w:rPr>
              <w:t>Total investments in securities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79,347</w:t>
            </w:r>
          </w:p>
        </w:tc>
        <w:tc>
          <w:tcPr>
            <w:tcW w:w="16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79,197</w:t>
            </w:r>
          </w:p>
        </w:tc>
      </w:tr>
      <w:tr>
        <w:trPr>
          <w:trHeight w:val="20"/>
        </w:trPr>
        <w:tc>
          <w:tcPr>
            <w:tcW w:w="75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net trading gains (losses).</w:t>
      </w:r>
    </w:p>
    <w:p>
      <w:pPr>
        <w:spacing w:after="0" w:line="42"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For the Three Months Ended March</w:t>
      </w:r>
    </w:p>
    <w:p>
      <w:pPr>
        <w:jc w:val="center"/>
        <w:ind w:left="8680"/>
        <w:spacing w:after="0"/>
        <w:rPr>
          <w:sz w:val="20"/>
          <w:szCs w:val="20"/>
          <w:color w:val="auto"/>
        </w:rPr>
      </w:pPr>
      <w:r>
        <w:rPr>
          <w:rFonts w:ascii="Arial" w:cs="Arial" w:eastAsia="Arial" w:hAnsi="Arial"/>
          <w:sz w:val="14"/>
          <w:szCs w:val="14"/>
          <w:b w:val="1"/>
          <w:bCs w:val="1"/>
          <w:color w:val="auto"/>
        </w:rPr>
        <w:t>31,</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top w:val="single" w:sz="8" w:color="2C6937"/>
              <w:bottom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top w:val="single" w:sz="8" w:color="2C6937"/>
              <w:bottom w:val="single" w:sz="8" w:color="2C6937"/>
            </w:tcBorders>
          </w:tcPr>
          <w:p>
            <w:pPr>
              <w:spacing w:after="0"/>
              <w:rPr>
                <w:sz w:val="16"/>
                <w:szCs w:val="16"/>
                <w:color w:val="auto"/>
              </w:rPr>
            </w:pPr>
          </w:p>
        </w:tc>
      </w:tr>
      <w:tr>
        <w:trPr>
          <w:trHeight w:val="172"/>
        </w:trPr>
        <w:tc>
          <w:tcPr>
            <w:tcW w:w="86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w w:val="76"/>
              </w:rPr>
              <w:t>millions)</w:t>
            </w:r>
          </w:p>
        </w:tc>
        <w:tc>
          <w:tcPr>
            <w:tcW w:w="400" w:type="dxa"/>
            <w:vAlign w:val="bottom"/>
          </w:tcPr>
          <w:p>
            <w:pPr>
              <w:spacing w:after="0"/>
              <w:rPr>
                <w:sz w:val="14"/>
                <w:szCs w:val="14"/>
                <w:color w:val="auto"/>
              </w:rPr>
            </w:pPr>
          </w:p>
        </w:tc>
      </w:tr>
      <w:tr>
        <w:trPr>
          <w:trHeight w:val="214"/>
        </w:trPr>
        <w:tc>
          <w:tcPr>
            <w:tcW w:w="8680" w:type="dxa"/>
            <w:vAlign w:val="bottom"/>
          </w:tcPr>
          <w:p>
            <w:pPr>
              <w:spacing w:after="0"/>
              <w:rPr>
                <w:sz w:val="20"/>
                <w:szCs w:val="20"/>
                <w:color w:val="auto"/>
              </w:rPr>
            </w:pPr>
            <w:r>
              <w:rPr>
                <w:rFonts w:ascii="Arial" w:cs="Arial" w:eastAsia="Arial" w:hAnsi="Arial"/>
                <w:sz w:val="15"/>
                <w:szCs w:val="15"/>
                <w:color w:val="auto"/>
              </w:rPr>
              <w:t>Net trading gains (losses)</w:t>
            </w:r>
          </w:p>
        </w:tc>
        <w:tc>
          <w:tcPr>
            <w:tcW w:w="840" w:type="dxa"/>
            <w:vAlign w:val="bottom"/>
          </w:tcPr>
          <w:p>
            <w:pPr>
              <w:jc w:val="right"/>
              <w:ind w:right="668"/>
              <w:spacing w:after="0"/>
              <w:rPr>
                <w:sz w:val="20"/>
                <w:szCs w:val="20"/>
                <w:color w:val="auto"/>
              </w:rPr>
            </w:pPr>
            <w:r>
              <w:rPr>
                <w:rFonts w:ascii="Arial" w:cs="Arial" w:eastAsia="Arial" w:hAnsi="Arial"/>
                <w:sz w:val="15"/>
                <w:szCs w:val="15"/>
                <w:b w:val="1"/>
                <w:bCs w:val="1"/>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654</w:t>
            </w:r>
          </w:p>
        </w:tc>
        <w:tc>
          <w:tcPr>
            <w:tcW w:w="140" w:type="dxa"/>
            <w:vAlign w:val="bottom"/>
          </w:tcPr>
          <w:p>
            <w:pPr>
              <w:spacing w:after="0"/>
              <w:rPr>
                <w:sz w:val="18"/>
                <w:szCs w:val="18"/>
                <w:color w:val="auto"/>
              </w:rPr>
            </w:pPr>
          </w:p>
        </w:tc>
        <w:tc>
          <w:tcPr>
            <w:tcW w:w="760" w:type="dxa"/>
            <w:vAlign w:val="bottom"/>
          </w:tcPr>
          <w:p>
            <w:pPr>
              <w:jc w:val="right"/>
              <w:ind w:right="588"/>
              <w:spacing w:after="0"/>
              <w:rPr>
                <w:sz w:val="20"/>
                <w:szCs w:val="20"/>
                <w:color w:val="auto"/>
              </w:rPr>
            </w:pPr>
            <w:r>
              <w:rPr>
                <w:rFonts w:ascii="Arial" w:cs="Arial" w:eastAsia="Arial" w:hAnsi="Arial"/>
                <w:sz w:val="15"/>
                <w:szCs w:val="15"/>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(261)</w:t>
            </w:r>
          </w:p>
        </w:tc>
      </w:tr>
      <w:tr>
        <w:trPr>
          <w:trHeight w:val="232"/>
        </w:trPr>
        <w:tc>
          <w:tcPr>
            <w:tcW w:w="8680" w:type="dxa"/>
            <w:vAlign w:val="bottom"/>
          </w:tcPr>
          <w:p>
            <w:pPr>
              <w:spacing w:after="0"/>
              <w:rPr>
                <w:sz w:val="20"/>
                <w:szCs w:val="20"/>
                <w:color w:val="auto"/>
              </w:rPr>
            </w:pPr>
            <w:r>
              <w:rPr>
                <w:rFonts w:ascii="Arial" w:cs="Arial" w:eastAsia="Arial" w:hAnsi="Arial"/>
                <w:sz w:val="15"/>
                <w:szCs w:val="15"/>
                <w:color w:val="auto"/>
              </w:rPr>
              <w:t>Net trading gains (losses) recognized in the period related to securities still held at period end</w:t>
            </w:r>
          </w:p>
        </w:tc>
        <w:tc>
          <w:tcPr>
            <w:tcW w:w="8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619</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(242)</w:t>
            </w:r>
          </w:p>
        </w:tc>
      </w:tr>
    </w:tbl>
    <w:p>
      <w:pPr>
        <w:spacing w:after="0" w:line="281"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There were no significant gross unrealized gains or losses on our AFS investment portfolio as of March 31, 2025 or December 31, 2024. Additionally, the allowance for credit losses on our AFS investment portfolio was not significant as of March 31, 2025 or 2024.</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sales of AFS securities during the first quarter of 2025 or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387985</wp:posOffset>
            </wp:positionV>
            <wp:extent cx="68059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3" w:name="page84"/>
    <w:bookmarkEnd w:id="83"/>
    <w:p>
      <w:pPr>
        <w:ind w:left="6300"/>
        <w:spacing w:after="0"/>
        <w:rPr>
          <w:sz w:val="20"/>
          <w:szCs w:val="20"/>
          <w:color w:val="auto"/>
        </w:rPr>
      </w:pPr>
      <w:r>
        <w:rPr>
          <w:rFonts w:ascii="Arial" w:cs="Arial" w:eastAsia="Arial" w:hAnsi="Arial"/>
          <w:sz w:val="14"/>
          <w:szCs w:val="14"/>
          <w:color w:val="05314D"/>
        </w:rPr>
        <w:t>Notes to Condensed Consolidated Financial Statements | Financial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7. Financial Guarantees</w:t>
      </w:r>
    </w:p>
    <w:p>
      <w:pPr>
        <w:spacing w:after="0" w:line="80"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recognize a guaranty obligation for our obligation to stand ready to perform on our guarantees to unconsolidated trusts and other guaranty arrangements. These off-balance sheet guarantees expose us to credit losses primarily relating to the unpaid principal balance of our unconsolidated Fannie Mae MBS and other financial guarantees. As of March 31, 2025, the maximum remaining contractual term of our guarantees is 29 years; however, the actual term of each guaranty may be significantly less than the contractual term based on the prepayment characteristics of the related mortgage loans. We measure our guaranty reserve for estimated credit losses for off-balance sheet exposures over the contractual period for which they are exposed to the credit risk, unless that obligation is unconditionally cancellable by the issuer.</w:t>
      </w:r>
    </w:p>
    <w:p>
      <w:pPr>
        <w:spacing w:after="0" w:line="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the guarantor of structured securities backed in whole or in part by Freddie Mac-issued securities, we extend our guaranty to the underlying Freddie Mac securities in our resecuritization trusts. However, Freddie Mac continues to guarantee the payment of principal and interest on the underlying Freddie Mac securities that we have resecuritized. When we began issuing UMBS, we entered into an indemnification agreement under which Freddie Mac agreed to indemnify us for losses caused by its failure to meet its payment or other specified obligations under the trust agreements pursuant to which the underlying resecuritized securities were issued. As a result, and due to the funding commitment available to Freddie Mac through its senior preferred stock purchase agreement with Treasury, we have concluded that the associated credit risk is negligible. Accordingly, we exclude from the following table Freddie Mac securities backing unconsolidated Fannie Mae-issued structured securities of $196.4 billion and $200.1 billion as of March 31, 2025 and December 31, 2024, respectively.</w:t>
      </w:r>
    </w:p>
    <w:p>
      <w:pPr>
        <w:spacing w:after="0" w:line="43"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The following table displays our off-balance sheet maximum exposure, guaranty obligation recognized in our condensed consolidated balance sheets and the potential maximum recovery from third parties through available credit enhancements and recourse related to our financial guarantees.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2024</w:t>
            </w: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Maximum</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960" w:type="dxa"/>
            <w:vAlign w:val="bottom"/>
          </w:tcPr>
          <w:p>
            <w:pPr>
              <w:jc w:val="right"/>
              <w:ind w:right="166"/>
              <w:spacing w:after="0"/>
              <w:rPr>
                <w:sz w:val="20"/>
                <w:szCs w:val="20"/>
                <w:color w:val="auto"/>
              </w:rPr>
            </w:pPr>
            <w:r>
              <w:rPr>
                <w:rFonts w:ascii="Arial" w:cs="Arial" w:eastAsia="Arial" w:hAnsi="Arial"/>
                <w:sz w:val="14"/>
                <w:szCs w:val="14"/>
                <w:b w:val="1"/>
                <w:bCs w:val="1"/>
                <w:color w:val="auto"/>
              </w:rPr>
              <w:t>Maximum</w:t>
            </w:r>
          </w:p>
        </w:tc>
      </w:tr>
      <w:tr>
        <w:trPr>
          <w:trHeight w:val="205"/>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Exposure</w:t>
            </w:r>
          </w:p>
        </w:tc>
        <w:tc>
          <w:tcPr>
            <w:tcW w:w="14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Recovery</w:t>
            </w:r>
            <w:r>
              <w:rPr>
                <w:rFonts w:ascii="Arial" w:cs="Arial" w:eastAsia="Arial" w:hAnsi="Arial"/>
                <w:sz w:val="17"/>
                <w:szCs w:val="17"/>
                <w:b w:val="1"/>
                <w:bCs w:val="1"/>
                <w:color w:val="auto"/>
                <w:w w:val="93"/>
                <w:vertAlign w:val="superscript"/>
              </w:rPr>
              <w:t>(1)</w:t>
            </w: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w w:val="96"/>
              </w:rPr>
              <w:t>Recovery</w:t>
            </w:r>
            <w:r>
              <w:rPr>
                <w:rFonts w:ascii="Arial" w:cs="Arial" w:eastAsia="Arial" w:hAnsi="Arial"/>
                <w:sz w:val="17"/>
                <w:szCs w:val="17"/>
                <w:b w:val="1"/>
                <w:bCs w:val="1"/>
                <w:color w:val="auto"/>
                <w:w w:val="96"/>
                <w:vertAlign w:val="superscript"/>
              </w:rPr>
              <w:t>(1)</w:t>
            </w:r>
          </w:p>
        </w:tc>
      </w:tr>
      <w:tr>
        <w:trPr>
          <w:trHeight w:val="185"/>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jc w:val="right"/>
              <w:ind w:right="38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4"/>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Unconsolidated Fannie Mae MBS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2,434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2,385</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2,484</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2,432</w:t>
            </w:r>
          </w:p>
        </w:tc>
      </w:tr>
      <w:tr>
        <w:trPr>
          <w:trHeight w:val="226"/>
        </w:trPr>
        <w:tc>
          <w:tcPr>
            <w:tcW w:w="4180" w:type="dxa"/>
            <w:vAlign w:val="bottom"/>
            <w:tcBorders>
              <w:bottom w:val="single" w:sz="8" w:color="2C6937"/>
            </w:tcBorders>
          </w:tcPr>
          <w:p>
            <w:pPr>
              <w:ind w:left="20"/>
              <w:spacing w:after="0" w:line="226" w:lineRule="exact"/>
              <w:rPr>
                <w:sz w:val="20"/>
                <w:szCs w:val="20"/>
                <w:color w:val="auto"/>
              </w:rPr>
            </w:pPr>
            <w:r>
              <w:rPr>
                <w:rFonts w:ascii="Arial" w:cs="Arial" w:eastAsia="Arial" w:hAnsi="Arial"/>
                <w:sz w:val="15"/>
                <w:szCs w:val="15"/>
                <w:color w:val="auto"/>
              </w:rPr>
              <w:t>Other guaranty arrangements</w:t>
            </w:r>
            <w:r>
              <w:rPr>
                <w:rFonts w:ascii="Arial" w:cs="Arial" w:eastAsia="Arial" w:hAnsi="Arial"/>
                <w:sz w:val="20"/>
                <w:szCs w:val="20"/>
                <w:color w:val="auto"/>
                <w:vertAlign w:val="superscript"/>
              </w:rPr>
              <w:t>(2)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8,710</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53</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1,915</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8,914</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1,954</w:t>
            </w:r>
          </w:p>
        </w:tc>
      </w:tr>
      <w:tr>
        <w:trPr>
          <w:trHeight w:val="199"/>
        </w:trPr>
        <w:tc>
          <w:tcPr>
            <w:tcW w:w="4280" w:type="dxa"/>
            <w:vAlign w:val="bottom"/>
            <w:gridSpan w:val="2"/>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11,144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67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4,300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11,398</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4,386</w:t>
            </w:r>
          </w:p>
        </w:tc>
      </w:tr>
      <w:tr>
        <w:trPr>
          <w:trHeight w:val="20"/>
        </w:trPr>
        <w:tc>
          <w:tcPr>
            <w:tcW w:w="4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hanging="237"/>
        <w:spacing w:after="0" w:line="218" w:lineRule="auto"/>
        <w:tabs>
          <w:tab w:leader="none" w:pos="233"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Recoverability of such credit enhancements and recourse is subject to, among other factors, the ability of our mortgage insurers and the U.S. government, as a financial guarantor, to meet their obligations to us. For information on our mortgage insurers, see “Note 11, Concentrations of Credit Risk.”</w:t>
      </w:r>
    </w:p>
    <w:p>
      <w:pPr>
        <w:ind w:left="220" w:hanging="217"/>
        <w:spacing w:after="0"/>
        <w:tabs>
          <w:tab w:leader="none" w:pos="22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credit enhancements and long-term standby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364490</wp:posOffset>
            </wp:positionV>
            <wp:extent cx="68059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4" w:name="page85"/>
    <w:bookmarkEnd w:id="84"/>
    <w:p>
      <w:pPr>
        <w:ind w:left="5640"/>
        <w:spacing w:after="0"/>
        <w:rPr>
          <w:sz w:val="20"/>
          <w:szCs w:val="20"/>
          <w:color w:val="auto"/>
        </w:rPr>
      </w:pPr>
      <w:r>
        <w:rPr>
          <w:rFonts w:ascii="Arial" w:cs="Arial" w:eastAsia="Arial" w:hAnsi="Arial"/>
          <w:sz w:val="13"/>
          <w:szCs w:val="13"/>
          <w:color w:val="05314D"/>
        </w:rPr>
        <w:t>Notes to Condensed Consolidated Financial Statements | Short-Term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8. Short-Term and Long-Term Debt</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Short-Term Debt</w:t>
      </w:r>
    </w:p>
    <w:p>
      <w:pPr>
        <w:spacing w:after="0" w:line="6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following table displays our outstanding short-term debt (debt with an original contractual maturity of one year or less) and weighted-average interest rates of this debt.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spacing w:after="0"/>
              <w:rPr>
                <w:sz w:val="16"/>
                <w:szCs w:val="16"/>
                <w:color w:val="auto"/>
              </w:rPr>
            </w:pPr>
          </w:p>
        </w:tc>
        <w:tc>
          <w:tcPr>
            <w:tcW w:w="1900" w:type="dxa"/>
            <w:vAlign w:val="bottom"/>
            <w:tcBorders>
              <w:bottom w:val="single" w:sz="8" w:color="2C6937"/>
            </w:tcBorders>
            <w:gridSpan w:val="3"/>
          </w:tcPr>
          <w:p>
            <w:pPr>
              <w:jc w:val="center"/>
              <w:ind w:left="127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spacing w:after="0"/>
              <w:rPr>
                <w:sz w:val="16"/>
                <w:szCs w:val="16"/>
                <w:color w:val="auto"/>
              </w:rPr>
            </w:pPr>
          </w:p>
        </w:tc>
      </w:tr>
      <w:tr>
        <w:trPr>
          <w:trHeight w:val="186"/>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ind w:left="840"/>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jc w:val="right"/>
              <w:ind w:right="868"/>
              <w:spacing w:after="0"/>
              <w:rPr>
                <w:sz w:val="20"/>
                <w:szCs w:val="20"/>
                <w:color w:val="auto"/>
              </w:rPr>
            </w:pPr>
            <w:r>
              <w:rPr>
                <w:rFonts w:ascii="Arial" w:cs="Arial" w:eastAsia="Arial" w:hAnsi="Arial"/>
                <w:sz w:val="14"/>
                <w:szCs w:val="14"/>
                <w:b w:val="1"/>
                <w:bCs w:val="1"/>
                <w:color w:val="auto"/>
              </w:rPr>
              <w:t>December 31, 2024</w:t>
            </w:r>
          </w:p>
        </w:tc>
      </w:tr>
      <w:tr>
        <w:trPr>
          <w:trHeight w:val="165"/>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Weighted- Average</w:t>
            </w: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 Average</w:t>
            </w:r>
          </w:p>
        </w:tc>
      </w:tr>
      <w:tr>
        <w:trPr>
          <w:trHeight w:val="215"/>
        </w:trPr>
        <w:tc>
          <w:tcPr>
            <w:tcW w:w="48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900" w:type="dxa"/>
            <w:vAlign w:val="bottom"/>
            <w:tcBorders>
              <w:bottom w:val="single" w:sz="8" w:color="2C6937"/>
            </w:tcBorders>
            <w:gridSpan w:val="3"/>
          </w:tcPr>
          <w:p>
            <w:pPr>
              <w:jc w:val="center"/>
              <w:ind w:right="320"/>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r>
      <w:tr>
        <w:trPr>
          <w:trHeight w:val="185"/>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6"/>
                <w:szCs w:val="16"/>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5"/>
                <w:szCs w:val="15"/>
                <w:color w:val="auto"/>
              </w:rPr>
              <w:t>Short-term debt of Fannie Mae</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88"/>
              <w:spacing w:after="0"/>
              <w:rPr>
                <w:sz w:val="20"/>
                <w:szCs w:val="20"/>
                <w:color w:val="auto"/>
              </w:rPr>
            </w:pPr>
            <w:r>
              <w:rPr>
                <w:rFonts w:ascii="Arial" w:cs="Arial" w:eastAsia="Arial" w:hAnsi="Arial"/>
                <w:sz w:val="15"/>
                <w:szCs w:val="15"/>
                <w:b w:val="1"/>
                <w:bCs w:val="1"/>
                <w:color w:val="auto"/>
              </w:rPr>
              <w:t>11,041</w:t>
            </w:r>
          </w:p>
        </w:tc>
        <w:tc>
          <w:tcPr>
            <w:tcW w:w="190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 xml:space="preserve">4.08 %  </w:t>
            </w:r>
            <w:r>
              <w:rPr>
                <w:rFonts w:ascii="Arial" w:cs="Arial" w:eastAsia="Arial" w:hAnsi="Arial"/>
                <w:sz w:val="15"/>
                <w:szCs w:val="15"/>
                <w:color w:val="auto"/>
              </w:rPr>
              <w:t>$</w:t>
            </w:r>
          </w:p>
        </w:tc>
        <w:tc>
          <w:tcPr>
            <w:tcW w:w="1320" w:type="dxa"/>
            <w:vAlign w:val="bottom"/>
          </w:tcPr>
          <w:p>
            <w:pPr>
              <w:jc w:val="right"/>
              <w:ind w:right="108"/>
              <w:spacing w:after="0"/>
              <w:rPr>
                <w:sz w:val="20"/>
                <w:szCs w:val="20"/>
                <w:color w:val="auto"/>
              </w:rPr>
            </w:pPr>
            <w:r>
              <w:rPr>
                <w:rFonts w:ascii="Arial" w:cs="Arial" w:eastAsia="Arial" w:hAnsi="Arial"/>
                <w:sz w:val="15"/>
                <w:szCs w:val="15"/>
                <w:color w:val="auto"/>
              </w:rPr>
              <w:t>11,188</w:t>
            </w:r>
          </w:p>
        </w:tc>
        <w:tc>
          <w:tcPr>
            <w:tcW w:w="1560" w:type="dxa"/>
            <w:vAlign w:val="bottom"/>
          </w:tcPr>
          <w:p>
            <w:pPr>
              <w:jc w:val="right"/>
              <w:spacing w:after="0"/>
              <w:rPr>
                <w:sz w:val="20"/>
                <w:szCs w:val="20"/>
                <w:color w:val="auto"/>
              </w:rPr>
            </w:pPr>
            <w:r>
              <w:rPr>
                <w:rFonts w:ascii="Arial" w:cs="Arial" w:eastAsia="Arial" w:hAnsi="Arial"/>
                <w:sz w:val="15"/>
                <w:szCs w:val="15"/>
                <w:color w:val="auto"/>
              </w:rPr>
              <w:t>4.33 %</w:t>
            </w:r>
          </w:p>
        </w:tc>
      </w:tr>
    </w:tbl>
    <w:p>
      <w:pPr>
        <w:spacing w:after="0" w:line="102" w:lineRule="exact"/>
        <w:rPr>
          <w:sz w:val="20"/>
          <w:szCs w:val="20"/>
          <w:color w:val="auto"/>
        </w:rPr>
      </w:pPr>
    </w:p>
    <w:p>
      <w:pPr>
        <w:ind w:left="220" w:hanging="217"/>
        <w:spacing w:after="0"/>
        <w:tabs>
          <w:tab w:leader="none" w:pos="220" w:val="left"/>
        </w:tabs>
        <w:numPr>
          <w:ilvl w:val="0"/>
          <w:numId w:val="74"/>
        </w:numPr>
        <w:rPr>
          <w:rFonts w:ascii="Arial" w:cs="Arial" w:eastAsia="Arial" w:hAnsi="Arial"/>
          <w:sz w:val="9"/>
          <w:szCs w:val="9"/>
          <w:color w:val="auto"/>
        </w:rPr>
      </w:pPr>
      <w:r>
        <w:rPr>
          <w:rFonts w:ascii="Arial" w:cs="Arial" w:eastAsia="Arial" w:hAnsi="Arial"/>
          <w:sz w:val="14"/>
          <w:szCs w:val="14"/>
          <w:color w:val="auto"/>
        </w:rPr>
        <w:t>Includes the effects of discounts, premiums and other cost basis adjustments.</w:t>
      </w:r>
    </w:p>
    <w:p>
      <w:pPr>
        <w:spacing w:after="0" w:line="11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Long-Term Debt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represents debt with an original contractual maturity of greater than one year. The following table displays our outstanding long-term debt.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3"/>
          </w:tcPr>
          <w:p>
            <w:pPr>
              <w:jc w:val="center"/>
              <w:ind w:left="985"/>
              <w:spacing w:after="0"/>
              <w:rPr>
                <w:sz w:val="20"/>
                <w:szCs w:val="20"/>
                <w:color w:val="auto"/>
              </w:rPr>
            </w:pPr>
            <w:r>
              <w:rPr>
                <w:rFonts w:ascii="Arial" w:cs="Arial" w:eastAsia="Arial" w:hAnsi="Arial"/>
                <w:sz w:val="14"/>
                <w:szCs w:val="14"/>
                <w:b w:val="1"/>
                <w:bCs w:val="1"/>
                <w:color w:val="auto"/>
                <w:w w:val="97"/>
              </w:rPr>
              <w:t>As of</w:t>
            </w:r>
          </w:p>
        </w:tc>
        <w:tc>
          <w:tcPr>
            <w:tcW w:w="112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w w:val="98"/>
              </w:rPr>
              <w:t>March 31, 2025</w:t>
            </w:r>
          </w:p>
        </w:tc>
        <w:tc>
          <w:tcPr>
            <w:tcW w:w="12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1220" w:type="dxa"/>
            <w:vAlign w:val="bottom"/>
            <w:tcBorders>
              <w:bottom w:val="single" w:sz="8" w:color="2C6937"/>
            </w:tcBorders>
          </w:tcPr>
          <w:p>
            <w:pPr>
              <w:spacing w:after="0"/>
              <w:rPr>
                <w:sz w:val="16"/>
                <w:szCs w:val="16"/>
                <w:color w:val="auto"/>
              </w:rPr>
            </w:pPr>
          </w:p>
        </w:tc>
      </w:tr>
      <w:tr>
        <w:trPr>
          <w:trHeight w:val="165"/>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Weighted-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44"/>
              <w:spacing w:after="0"/>
              <w:rPr>
                <w:sz w:val="20"/>
                <w:szCs w:val="20"/>
                <w:color w:val="auto"/>
              </w:rPr>
            </w:pPr>
            <w:r>
              <w:rPr>
                <w:rFonts w:ascii="Arial" w:cs="Arial" w:eastAsia="Arial" w:hAnsi="Arial"/>
                <w:sz w:val="14"/>
                <w:szCs w:val="14"/>
                <w:b w:val="1"/>
                <w:bCs w:val="1"/>
                <w:color w:val="auto"/>
                <w:w w:val="97"/>
              </w:rPr>
              <w:t>Weighted-</w:t>
            </w:r>
          </w:p>
        </w:tc>
      </w:tr>
      <w:tr>
        <w:trPr>
          <w:trHeight w:val="168"/>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Average Interest</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8"/>
              </w:rPr>
              <w:t>Average Interest</w:t>
            </w:r>
          </w:p>
        </w:tc>
      </w:tr>
      <w:tr>
        <w:trPr>
          <w:trHeight w:val="203"/>
        </w:trPr>
        <w:tc>
          <w:tcPr>
            <w:tcW w:w="3500" w:type="dxa"/>
            <w:vAlign w:val="bottom"/>
          </w:tcPr>
          <w:p>
            <w:pPr>
              <w:spacing w:after="0"/>
              <w:rPr>
                <w:sz w:val="17"/>
                <w:szCs w:val="17"/>
                <w:color w:val="auto"/>
              </w:rPr>
            </w:pPr>
          </w:p>
        </w:tc>
        <w:tc>
          <w:tcPr>
            <w:tcW w:w="1260" w:type="dxa"/>
            <w:vAlign w:val="bottom"/>
            <w:tcBorders>
              <w:bottom w:val="single" w:sz="8" w:color="2C6937"/>
            </w:tcBorders>
          </w:tcPr>
          <w:p>
            <w:pPr>
              <w:ind w:left="260"/>
              <w:spacing w:after="0"/>
              <w:rPr>
                <w:sz w:val="20"/>
                <w:szCs w:val="20"/>
                <w:color w:val="auto"/>
              </w:rPr>
            </w:pPr>
            <w:r>
              <w:rPr>
                <w:rFonts w:ascii="Arial" w:cs="Arial" w:eastAsia="Arial" w:hAnsi="Arial"/>
                <w:sz w:val="14"/>
                <w:szCs w:val="14"/>
                <w:b w:val="1"/>
                <w:bCs w:val="1"/>
                <w:color w:val="auto"/>
              </w:rPr>
              <w:t>Maturities</w:t>
            </w:r>
          </w:p>
        </w:tc>
        <w:tc>
          <w:tcPr>
            <w:tcW w:w="14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jc w:val="right"/>
              <w:ind w:right="144"/>
              <w:spacing w:after="0"/>
              <w:rPr>
                <w:sz w:val="20"/>
                <w:szCs w:val="20"/>
                <w:color w:val="auto"/>
              </w:rPr>
            </w:pPr>
            <w:r>
              <w:rPr>
                <w:rFonts w:ascii="Arial" w:cs="Arial" w:eastAsia="Arial" w:hAnsi="Arial"/>
                <w:sz w:val="14"/>
                <w:szCs w:val="14"/>
                <w:b w:val="1"/>
                <w:bCs w:val="1"/>
                <w:color w:val="auto"/>
                <w:w w:val="99"/>
              </w:rPr>
              <w:t>Outstanding</w:t>
            </w:r>
            <w:r>
              <w:rPr>
                <w:rFonts w:ascii="Arial" w:cs="Arial" w:eastAsia="Arial" w:hAnsi="Arial"/>
                <w:sz w:val="17"/>
                <w:szCs w:val="17"/>
                <w:b w:val="1"/>
                <w:bCs w:val="1"/>
                <w:color w:val="auto"/>
                <w:w w:val="99"/>
                <w:vertAlign w:val="superscript"/>
              </w:rPr>
              <w:t>(1)</w:t>
            </w:r>
          </w:p>
        </w:tc>
        <w:tc>
          <w:tcPr>
            <w:tcW w:w="148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c>
          <w:tcPr>
            <w:tcW w:w="1120" w:type="dxa"/>
            <w:vAlign w:val="bottom"/>
            <w:tcBorders>
              <w:bottom w:val="single" w:sz="8" w:color="2C6937"/>
            </w:tcBorders>
          </w:tcPr>
          <w:p>
            <w:pPr>
              <w:ind w:left="120"/>
              <w:spacing w:after="0"/>
              <w:rPr>
                <w:sz w:val="20"/>
                <w:szCs w:val="20"/>
                <w:color w:val="auto"/>
              </w:rPr>
            </w:pPr>
            <w:r>
              <w:rPr>
                <w:rFonts w:ascii="Arial" w:cs="Arial" w:eastAsia="Arial" w:hAnsi="Arial"/>
                <w:sz w:val="14"/>
                <w:szCs w:val="14"/>
                <w:b w:val="1"/>
                <w:bCs w:val="1"/>
                <w:color w:val="auto"/>
              </w:rPr>
              <w:t>Maturities</w:t>
            </w: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220" w:type="dxa"/>
            <w:vAlign w:val="bottom"/>
            <w:tcBorders>
              <w:bottom w:val="single" w:sz="8" w:color="2C6937"/>
            </w:tcBorders>
          </w:tcPr>
          <w:p>
            <w:pPr>
              <w:jc w:val="center"/>
              <w:ind w:left="24"/>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r>
      <w:tr>
        <w:trPr>
          <w:trHeight w:val="185"/>
        </w:trPr>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0"/>
              <w:spacing w:after="0"/>
              <w:rPr>
                <w:sz w:val="20"/>
                <w:szCs w:val="20"/>
                <w:color w:val="auto"/>
              </w:rPr>
            </w:pPr>
            <w:r>
              <w:rPr>
                <w:rFonts w:ascii="Arial" w:cs="Arial" w:eastAsia="Arial" w:hAnsi="Arial"/>
                <w:sz w:val="15"/>
                <w:szCs w:val="15"/>
                <w:color w:val="auto"/>
              </w:rPr>
              <w:t>Senior fixed:</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3500" w:type="dxa"/>
            <w:vAlign w:val="bottom"/>
          </w:tcPr>
          <w:p>
            <w:pPr>
              <w:ind w:left="220"/>
              <w:spacing w:after="0"/>
              <w:rPr>
                <w:sz w:val="20"/>
                <w:szCs w:val="20"/>
                <w:color w:val="auto"/>
              </w:rPr>
            </w:pPr>
            <w:r>
              <w:rPr>
                <w:rFonts w:ascii="Arial" w:cs="Arial" w:eastAsia="Arial" w:hAnsi="Arial"/>
                <w:sz w:val="15"/>
                <w:szCs w:val="15"/>
                <w:color w:val="auto"/>
              </w:rPr>
              <w:t>Benchmark notes and bonds</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2025 - 2030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42,269</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2.92 %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44,655</w:t>
            </w:r>
          </w:p>
        </w:tc>
        <w:tc>
          <w:tcPr>
            <w:tcW w:w="1220" w:type="dxa"/>
            <w:vAlign w:val="bottom"/>
          </w:tcPr>
          <w:p>
            <w:pPr>
              <w:jc w:val="right"/>
              <w:spacing w:after="0"/>
              <w:rPr>
                <w:sz w:val="20"/>
                <w:szCs w:val="20"/>
                <w:color w:val="auto"/>
              </w:rPr>
            </w:pPr>
            <w:r>
              <w:rPr>
                <w:rFonts w:ascii="Arial" w:cs="Arial" w:eastAsia="Arial" w:hAnsi="Arial"/>
                <w:sz w:val="15"/>
                <w:szCs w:val="15"/>
                <w:color w:val="auto"/>
              </w:rPr>
              <w:t>2.87 %</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2025 - 2034</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42,243</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2.40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2025 - 2034</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42,208</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2.21</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2025 - 2038</w:t>
            </w:r>
          </w:p>
        </w:tc>
        <w:tc>
          <w:tcPr>
            <w:tcW w:w="14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6,599</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3.95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2025 - 2038</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6,632</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3.98</w:t>
            </w:r>
          </w:p>
        </w:tc>
      </w:tr>
      <w:tr>
        <w:trPr>
          <w:trHeight w:val="200"/>
        </w:trPr>
        <w:tc>
          <w:tcPr>
            <w:tcW w:w="3500" w:type="dxa"/>
            <w:vAlign w:val="bottom"/>
          </w:tcPr>
          <w:p>
            <w:pPr>
              <w:ind w:left="400"/>
              <w:spacing w:after="0"/>
              <w:rPr>
                <w:sz w:val="20"/>
                <w:szCs w:val="20"/>
                <w:color w:val="auto"/>
              </w:rPr>
            </w:pPr>
            <w:r>
              <w:rPr>
                <w:rFonts w:ascii="Arial" w:cs="Arial" w:eastAsia="Arial" w:hAnsi="Arial"/>
                <w:sz w:val="15"/>
                <w:szCs w:val="15"/>
                <w:color w:val="auto"/>
              </w:rPr>
              <w:t>Total senior fixed</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91,111</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2.76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93,495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2.66</w:t>
            </w:r>
          </w:p>
        </w:tc>
      </w:tr>
      <w:tr>
        <w:trPr>
          <w:trHeight w:val="195"/>
        </w:trPr>
        <w:tc>
          <w:tcPr>
            <w:tcW w:w="3500" w:type="dxa"/>
            <w:vAlign w:val="bottom"/>
          </w:tcPr>
          <w:p>
            <w:pPr>
              <w:ind w:left="20"/>
              <w:spacing w:after="0"/>
              <w:rPr>
                <w:sz w:val="20"/>
                <w:szCs w:val="20"/>
                <w:color w:val="auto"/>
              </w:rPr>
            </w:pPr>
            <w:r>
              <w:rPr>
                <w:rFonts w:ascii="Arial" w:cs="Arial" w:eastAsia="Arial" w:hAnsi="Arial"/>
                <w:sz w:val="15"/>
                <w:szCs w:val="15"/>
                <w:color w:val="auto"/>
              </w:rPr>
              <w:t>Senior floating:</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2026 - 2027</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32,435</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4.48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2026 - 2027</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32,435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4.67</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Connecticut Avenue Securities</w:t>
            </w:r>
            <w:r>
              <w:rPr>
                <w:rFonts w:ascii="Arial" w:cs="Arial" w:eastAsia="Arial" w:hAnsi="Arial"/>
                <w:sz w:val="20"/>
                <w:szCs w:val="20"/>
                <w:color w:val="auto"/>
                <w:vertAlign w:val="superscript"/>
              </w:rPr>
              <w:t>(5)</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2025 - 2031</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1,968</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10.70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2,055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10.99</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(6)</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2037</w:t>
            </w:r>
          </w:p>
        </w:tc>
        <w:tc>
          <w:tcPr>
            <w:tcW w:w="14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263</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7.84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2037</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249</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8.10</w:t>
            </w:r>
          </w:p>
        </w:tc>
      </w:tr>
      <w:tr>
        <w:trPr>
          <w:trHeight w:val="199"/>
        </w:trPr>
        <w:tc>
          <w:tcPr>
            <w:tcW w:w="3500" w:type="dxa"/>
            <w:vAlign w:val="bottom"/>
            <w:tcBorders>
              <w:bottom w:val="single" w:sz="8" w:color="2C6937"/>
            </w:tcBorders>
          </w:tcPr>
          <w:p>
            <w:pPr>
              <w:ind w:left="400"/>
              <w:spacing w:after="0"/>
              <w:rPr>
                <w:sz w:val="20"/>
                <w:szCs w:val="20"/>
                <w:color w:val="auto"/>
              </w:rPr>
            </w:pPr>
            <w:r>
              <w:rPr>
                <w:rFonts w:ascii="Arial" w:cs="Arial" w:eastAsia="Arial" w:hAnsi="Arial"/>
                <w:sz w:val="15"/>
                <w:szCs w:val="15"/>
                <w:color w:val="auto"/>
              </w:rPr>
              <w:t>Total senior floating</w:t>
            </w:r>
          </w:p>
        </w:tc>
        <w:tc>
          <w:tcPr>
            <w:tcW w:w="12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34,666</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4.86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34,739</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5.07</w:t>
            </w:r>
          </w:p>
        </w:tc>
      </w:tr>
      <w:tr>
        <w:trPr>
          <w:trHeight w:val="198"/>
        </w:trPr>
        <w:tc>
          <w:tcPr>
            <w:tcW w:w="3500" w:type="dxa"/>
            <w:vAlign w:val="bottom"/>
          </w:tcPr>
          <w:p>
            <w:pPr>
              <w:ind w:left="20"/>
              <w:spacing w:after="0" w:line="198" w:lineRule="exact"/>
              <w:rPr>
                <w:sz w:val="20"/>
                <w:szCs w:val="20"/>
                <w:color w:val="auto"/>
              </w:rPr>
            </w:pPr>
            <w:r>
              <w:rPr>
                <w:rFonts w:ascii="Arial" w:cs="Arial" w:eastAsia="Arial" w:hAnsi="Arial"/>
                <w:sz w:val="15"/>
                <w:szCs w:val="15"/>
                <w:color w:val="auto"/>
              </w:rPr>
              <w:t>Total long-term debt of Fannie Mae</w:t>
            </w:r>
            <w:r>
              <w:rPr>
                <w:rFonts w:ascii="Arial" w:cs="Arial" w:eastAsia="Arial" w:hAnsi="Arial"/>
                <w:sz w:val="20"/>
                <w:szCs w:val="20"/>
                <w:color w:val="auto"/>
                <w:vertAlign w:val="superscript"/>
              </w:rPr>
              <w:t>(7)</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125,777</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3.33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128,234</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3.30</w:t>
            </w:r>
          </w:p>
        </w:tc>
      </w:tr>
      <w:tr>
        <w:trPr>
          <w:trHeight w:val="208"/>
        </w:trPr>
        <w:tc>
          <w:tcPr>
            <w:tcW w:w="3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Debt of consolidated trusts</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2025 - 2064</w:t>
            </w:r>
          </w:p>
        </w:tc>
        <w:tc>
          <w:tcPr>
            <w:tcW w:w="14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4,091,840</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3.04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2025 - 2063</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4,088,675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2.96</w:t>
            </w:r>
          </w:p>
        </w:tc>
      </w:tr>
      <w:tr>
        <w:trPr>
          <w:trHeight w:val="199"/>
        </w:trPr>
        <w:tc>
          <w:tcPr>
            <w:tcW w:w="35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long-term debt</w:t>
            </w:r>
          </w:p>
        </w:tc>
        <w:tc>
          <w:tcPr>
            <w:tcW w:w="126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4,217,617</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3.05 %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4,216,909</w:t>
            </w:r>
          </w:p>
        </w:tc>
        <w:tc>
          <w:tcPr>
            <w:tcW w:w="1220" w:type="dxa"/>
            <w:vAlign w:val="bottom"/>
          </w:tcPr>
          <w:p>
            <w:pPr>
              <w:jc w:val="right"/>
              <w:spacing w:after="0"/>
              <w:rPr>
                <w:sz w:val="20"/>
                <w:szCs w:val="20"/>
                <w:color w:val="auto"/>
              </w:rPr>
            </w:pPr>
            <w:r>
              <w:rPr>
                <w:rFonts w:ascii="Arial" w:cs="Arial" w:eastAsia="Arial" w:hAnsi="Arial"/>
                <w:sz w:val="15"/>
                <w:szCs w:val="15"/>
                <w:color w:val="auto"/>
              </w:rPr>
              <w:t>2.97 %</w:t>
            </w:r>
          </w:p>
        </w:tc>
      </w:tr>
      <w:tr>
        <w:trPr>
          <w:trHeight w:val="20"/>
        </w:trPr>
        <w:tc>
          <w:tcPr>
            <w:tcW w:w="3500" w:type="dxa"/>
            <w:vAlign w:val="bottom"/>
            <w:tcBorders>
              <w:bottom w:val="single" w:sz="8" w:color="2C6937"/>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9" w:lineRule="exact"/>
        <w:rPr>
          <w:sz w:val="20"/>
          <w:szCs w:val="20"/>
          <w:color w:val="auto"/>
        </w:rPr>
      </w:pPr>
    </w:p>
    <w:p>
      <w:pPr>
        <w:ind w:left="240" w:right="660" w:hanging="237"/>
        <w:spacing w:after="0" w:line="275" w:lineRule="auto"/>
        <w:tabs>
          <w:tab w:leader="none" w:pos="233" w:val="left"/>
        </w:tabs>
        <w:numPr>
          <w:ilvl w:val="0"/>
          <w:numId w:val="75"/>
        </w:numPr>
        <w:rPr>
          <w:rFonts w:ascii="Arial" w:cs="Arial" w:eastAsia="Arial" w:hAnsi="Arial"/>
          <w:sz w:val="9"/>
          <w:szCs w:val="9"/>
          <w:color w:val="auto"/>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w:t>
      </w:r>
    </w:p>
    <w:p>
      <w:pPr>
        <w:ind w:left="220" w:hanging="217"/>
        <w:spacing w:after="0"/>
        <w:tabs>
          <w:tab w:leader="none" w:pos="2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Includes long-term debt with an original contractual maturity of greater than 1 year and up to 10 years, excluding zero-coupon debt.</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Includes other long-term debt with an original contractual maturity of greater than 10 years and foreign exchange bonds.</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Consists of CAS debt issued prior to November 2018, a portion of which is reported at fair value.</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5"/>
        </w:numPr>
        <w:rPr>
          <w:rFonts w:ascii="Arial" w:cs="Arial" w:eastAsia="Arial" w:hAnsi="Arial"/>
          <w:sz w:val="9"/>
          <w:szCs w:val="9"/>
          <w:color w:val="auto"/>
        </w:rPr>
      </w:pPr>
      <w:r>
        <w:rPr>
          <w:rFonts w:ascii="Arial" w:cs="Arial" w:eastAsia="Arial" w:hAnsi="Arial"/>
          <w:sz w:val="14"/>
          <w:szCs w:val="14"/>
          <w:color w:val="auto"/>
        </w:rPr>
        <w:t>Consists of structured debt instruments that are reported at fair value.</w:t>
      </w:r>
    </w:p>
    <w:p>
      <w:pPr>
        <w:spacing w:after="0" w:line="33" w:lineRule="exact"/>
        <w:rPr>
          <w:rFonts w:ascii="Arial" w:cs="Arial" w:eastAsia="Arial" w:hAnsi="Arial"/>
          <w:sz w:val="9"/>
          <w:szCs w:val="9"/>
          <w:color w:val="auto"/>
        </w:rPr>
      </w:pPr>
    </w:p>
    <w:p>
      <w:pPr>
        <w:ind w:left="240" w:right="320" w:hanging="237"/>
        <w:spacing w:after="0" w:line="226" w:lineRule="auto"/>
        <w:tabs>
          <w:tab w:leader="none" w:pos="233"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 in a net discount position of $3.2 billion and $3.6 billion as of March 31,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5" w:name="page86"/>
    <w:bookmarkEnd w:id="85"/>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9. Derivative Instruments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Derivative instruments are an integral part of our strategy in managing interest-rate risk. Derivative instruments may be privately-negotiated, bilateral contracts or they may be listed and traded on an exchange. We refer to our derivative transactions made pursuant to bilateral contracts as our over-the-counter (“OTC”) derivative transactions and our derivative transactions accepted for clearing by a derivatives clearing organization as our cleared derivative transactions. We typically do not settle the notional amount of our risk management derivatives; rather, notional amounts provide the basis for calculating actual payments or settlement amounts. The derivative contracts we use for interest-rate risk management purposes consist primarily of interest-rate swaps and interest-rate options. See “Note 9, Derivative Instruments” in our 2024 Form 10-K for additional information on interest-rate risk management.</w:t>
      </w:r>
    </w:p>
    <w:p>
      <w:pPr>
        <w:spacing w:after="0" w:line="4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We account for certain forms of credit risk transfer transactions as derivatives. In our credit risk transfer transactions, a portion of the credit risk associated with losses on a reference pool of mortgage loans is transferred to a third party. We enter into derivative transactions that are associated with some of our credit risk transfer transactions, whereby we manage investment risk to guarantee that certain unconsolidated VIEs have sufficient cash flows to pay their contractual obligations.</w:t>
      </w:r>
    </w:p>
    <w:p>
      <w:pPr>
        <w:spacing w:after="0" w:line="4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enter into forward purchase and sale commitments that lock in the future delivery of mortgage loans and mortgage-related securities at a fixed price or yield. Certain commitments to purchase mortgage loans and purchase or sell mortgage-related securities meet the criteria of a derivative. We typically settle the notional amount of our mortgage commitments that are accounted for as derivatives.</w:t>
      </w:r>
    </w:p>
    <w:p>
      <w:pPr>
        <w:spacing w:after="0" w:line="3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recognize all derivatives as either assets or liabilities in our condensed consolidated balance sheets at their fair value on a trade date basis. See “Note 13, Fair Value” for additional information on derivatives recorded at fair value.</w:t>
      </w:r>
    </w:p>
    <w:p>
      <w:pPr>
        <w:spacing w:after="0" w:line="7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Hedge Accounting</w:t>
      </w:r>
    </w:p>
    <w:p>
      <w:pPr>
        <w:spacing w:after="0" w:line="68"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Pursuant to our fair value hedge accounting program, we may designate certain interest-rate swaps as hedging instruments in hedges of the change in fair value attributable to the designated benchmark interest rate for certain closed pools of fixed-rate, single-family mortgage loans or our funding debt. For hedged items in qualifying fair value hedging relationships, changes in fair value attributable to the designated risk are recognized as a basis adjustment to the hedged item. We also report changes in the fair value of the derivative hedging instrument in the same condensed consolidated statements of operations and comprehensive income line item used to recognize the earnings effect of the hedged item’s basis adjustment. The objective of our fair value hedges is to reduce GAAP earnings volatility related to changes in benchmark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86" w:name="page87"/>
    <w:bookmarkEnd w:id="86"/>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Notional and Fair Value Position of our Derivatives</w:t>
      </w:r>
    </w:p>
    <w:p>
      <w:pPr>
        <w:spacing w:after="0" w:line="68"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The following table displays the notional amount and estimated fair value of our asset and liability derivative instruments, including derivative instruments designated as hedges.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8"/>
              </w:rPr>
              <w:t>As of March 31, 2025</w:t>
            </w: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60" w:type="dxa"/>
            <w:vAlign w:val="bottom"/>
            <w:tcBorders>
              <w:bottom w:val="single" w:sz="8" w:color="2C6937"/>
            </w:tcBorders>
            <w:gridSpan w:val="6"/>
          </w:tcPr>
          <w:p>
            <w:pPr>
              <w:jc w:val="center"/>
              <w:ind w:left="711"/>
              <w:spacing w:after="0"/>
              <w:rPr>
                <w:sz w:val="20"/>
                <w:szCs w:val="20"/>
                <w:color w:val="auto"/>
              </w:rPr>
            </w:pPr>
            <w:r>
              <w:rPr>
                <w:rFonts w:ascii="Arial" w:cs="Arial" w:eastAsia="Arial" w:hAnsi="Arial"/>
                <w:sz w:val="14"/>
                <w:szCs w:val="14"/>
                <w:b w:val="1"/>
                <w:bCs w:val="1"/>
                <w:color w:val="auto"/>
                <w:w w:val="96"/>
              </w:rPr>
              <w:t>As of December 31, 2024</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40" w:type="dxa"/>
            <w:vAlign w:val="bottom"/>
            <w:tcBorders>
              <w:bottom w:val="single" w:sz="8" w:color="2C6937"/>
            </w:tcBorders>
            <w:gridSpan w:val="5"/>
          </w:tcPr>
          <w:p>
            <w:pPr>
              <w:jc w:val="right"/>
              <w:ind w:right="45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20" w:type="dxa"/>
            <w:vAlign w:val="bottom"/>
            <w:tcBorders>
              <w:bottom w:val="single" w:sz="8" w:color="2C6937"/>
            </w:tcBorders>
            <w:gridSpan w:val="4"/>
          </w:tcPr>
          <w:p>
            <w:pPr>
              <w:jc w:val="right"/>
              <w:ind w:right="43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71"/>
              <w:spacing w:after="0"/>
              <w:rPr>
                <w:sz w:val="20"/>
                <w:szCs w:val="20"/>
                <w:color w:val="auto"/>
              </w:rPr>
            </w:pPr>
            <w:r>
              <w:rPr>
                <w:rFonts w:ascii="Arial" w:cs="Arial" w:eastAsia="Arial" w:hAnsi="Arial"/>
                <w:sz w:val="14"/>
                <w:szCs w:val="14"/>
                <w:b w:val="1"/>
                <w:bCs w:val="1"/>
                <w:color w:val="auto"/>
              </w:rPr>
              <w:t>Notional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Asset</w:t>
            </w:r>
          </w:p>
        </w:tc>
        <w:tc>
          <w:tcPr>
            <w:tcW w:w="1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5"/>
                <w:szCs w:val="15"/>
                <w:color w:val="auto"/>
              </w:rPr>
            </w:pPr>
          </w:p>
        </w:tc>
        <w:tc>
          <w:tcPr>
            <w:tcW w:w="960" w:type="dxa"/>
            <w:vAlign w:val="bottom"/>
          </w:tcPr>
          <w:p>
            <w:pPr>
              <w:jc w:val="right"/>
              <w:ind w:right="231"/>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3"/>
          </w:tcPr>
          <w:p>
            <w:pPr>
              <w:jc w:val="center"/>
              <w:ind w:right="260"/>
              <w:spacing w:after="0"/>
              <w:rPr>
                <w:sz w:val="20"/>
                <w:szCs w:val="20"/>
                <w:color w:val="auto"/>
              </w:rPr>
            </w:pPr>
            <w:r>
              <w:rPr>
                <w:rFonts w:ascii="Arial" w:cs="Arial" w:eastAsia="Arial" w:hAnsi="Arial"/>
                <w:sz w:val="14"/>
                <w:szCs w:val="14"/>
                <w:b w:val="1"/>
                <w:bCs w:val="1"/>
                <w:color w:val="auto"/>
                <w:w w:val="98"/>
              </w:rPr>
              <w:t>Derivatives</w:t>
            </w:r>
          </w:p>
        </w:tc>
        <w:tc>
          <w:tcPr>
            <w:tcW w:w="12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Derivatives</w:t>
            </w: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Derivatives</w:t>
            </w: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designated as hedging</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21,028</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26,704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9,401</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10,057</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designated as hedging</w:t>
            </w: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30,429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36,761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00" w:type="dxa"/>
            <w:vAlign w:val="bottom"/>
            <w:tcBorders>
              <w:bottom w:val="single" w:sz="8" w:color="2C6937"/>
            </w:tcBorders>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Borders>
              <w:bottom w:val="single" w:sz="8" w:color="2C6937"/>
            </w:tcBorders>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not designated as hedging</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161,278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146,628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121,759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135,686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Basis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Foreign currency</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8"/>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Swaptions:</w:t>
            </w:r>
            <w:r>
              <w:rPr>
                <w:rFonts w:ascii="Arial" w:cs="Arial" w:eastAsia="Arial" w:hAnsi="Arial"/>
                <w:sz w:val="17"/>
                <w:szCs w:val="17"/>
                <w:color w:val="auto"/>
                <w:vertAlign w:val="superscript"/>
              </w:rPr>
              <w:t>(1)</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7,006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254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5,916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Futures</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70</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not designated as hedging</w:t>
            </w: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296,599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295,882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00" w:type="dxa"/>
            <w:vAlign w:val="bottom"/>
            <w:tcBorders>
              <w:bottom w:val="single" w:sz="8" w:color="2C6937"/>
            </w:tcBorders>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line="186" w:lineRule="exact"/>
              <w:rPr>
                <w:sz w:val="20"/>
                <w:szCs w:val="20"/>
                <w:color w:val="auto"/>
              </w:rPr>
            </w:pPr>
            <w:r>
              <w:rPr>
                <w:rFonts w:ascii="Arial" w:cs="Arial" w:eastAsia="Arial" w:hAnsi="Arial"/>
                <w:sz w:val="14"/>
                <w:szCs w:val="14"/>
                <w:color w:val="auto"/>
              </w:rPr>
              <w:t>Netting adjustment</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(399)</w:t>
            </w:r>
          </w:p>
        </w:tc>
        <w:tc>
          <w:tcPr>
            <w:tcW w:w="10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1,893</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2,367</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risk management derivatives portfolio</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327,028</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332,643</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Mortgage commitment derivatives: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Mortgage commitments to purchase whole loans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3,384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Forward contracts to purchase mortgage-related securities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24,321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31,883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2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Forward contracts to sell mortgage-related securities</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55,283</w:t>
            </w:r>
          </w:p>
        </w:tc>
        <w:tc>
          <w:tcPr>
            <w:tcW w:w="4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78,934</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2"/>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mortgage commitment derivatives</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82,988</w:t>
            </w:r>
          </w:p>
        </w:tc>
        <w:tc>
          <w:tcPr>
            <w:tcW w:w="4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113,451</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Credit enhancement derivatives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29,581</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28,775</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Derivatives at fair value</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439,597</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474,869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3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76"/>
        </w:numPr>
        <w:rPr>
          <w:rFonts w:ascii="Arial" w:cs="Arial" w:eastAsia="Arial" w:hAnsi="Arial"/>
          <w:sz w:val="9"/>
          <w:szCs w:val="9"/>
          <w:color w:val="auto"/>
        </w:rPr>
      </w:pPr>
      <w:r>
        <w:rPr>
          <w:rFonts w:ascii="Arial" w:cs="Arial" w:eastAsia="Arial" w:hAnsi="Arial"/>
          <w:sz w:val="14"/>
          <w:szCs w:val="14"/>
          <w:color w:val="auto"/>
        </w:rPr>
        <w:t>Centrally cleared derivatives have no ascribable fair value because the positions are settled daily.</w:t>
      </w:r>
    </w:p>
    <w:p>
      <w:pPr>
        <w:spacing w:after="0" w:line="45" w:lineRule="exact"/>
        <w:rPr>
          <w:rFonts w:ascii="Arial" w:cs="Arial" w:eastAsia="Arial" w:hAnsi="Arial"/>
          <w:sz w:val="9"/>
          <w:szCs w:val="9"/>
          <w:color w:val="auto"/>
        </w:rPr>
      </w:pPr>
    </w:p>
    <w:p>
      <w:pPr>
        <w:jc w:val="both"/>
        <w:ind w:left="240" w:right="280" w:hanging="237"/>
        <w:spacing w:after="0" w:line="264" w:lineRule="auto"/>
        <w:tabs>
          <w:tab w:leader="none" w:pos="233" w:val="left"/>
        </w:tabs>
        <w:numPr>
          <w:ilvl w:val="0"/>
          <w:numId w:val="76"/>
        </w:numPr>
        <w:rPr>
          <w:rFonts w:ascii="Arial" w:cs="Arial" w:eastAsia="Arial" w:hAnsi="Arial"/>
          <w:sz w:val="9"/>
          <w:szCs w:val="9"/>
          <w:color w:val="auto"/>
        </w:rPr>
      </w:pPr>
      <w:r>
        <w:rPr>
          <w:rFonts w:ascii="Arial" w:cs="Arial" w:eastAsia="Arial" w:hAnsi="Arial"/>
          <w:sz w:val="14"/>
          <w:szCs w:val="14"/>
          <w:color w:val="auto"/>
        </w:rPr>
        <w:t>The netting adjustment represents the effect of the legal right to offset under legally enforceable master netting arrangements to settle with the same counterparty on a net basis, including cash collateral posted and received. Cash collateral posted was $1.6 billion and $2.0 billion as of March 31, 2025 and December 31, 2024, respectively. Cash collateral received was $76 million and $3 million as of March 31,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354965</wp:posOffset>
            </wp:positionV>
            <wp:extent cx="68059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7" w:name="page88"/>
    <w:bookmarkEnd w:id="87"/>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We record all gains and losses, including accrued interest, on derivatives while they are not in a qualifying designated hedging relationship in “Fair value gains (losses), net” in our condensed consolidated statements of operations and comprehensive income. The following table displays, by type of derivative instrument, the fair value gains and losses, net on our derivatives.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2C6937"/>
            </w:tcBorders>
            <w:gridSpan w:val="4"/>
          </w:tcPr>
          <w:p>
            <w:pPr>
              <w:jc w:val="right"/>
              <w:ind w:right="6"/>
              <w:spacing w:after="0"/>
              <w:rPr>
                <w:sz w:val="20"/>
                <w:szCs w:val="20"/>
                <w:color w:val="auto"/>
              </w:rPr>
            </w:pPr>
            <w:r>
              <w:rPr>
                <w:rFonts w:ascii="Arial" w:cs="Arial" w:eastAsia="Arial" w:hAnsi="Arial"/>
                <w:sz w:val="14"/>
                <w:szCs w:val="14"/>
                <w:b w:val="1"/>
                <w:bCs w:val="1"/>
                <w:color w:val="auto"/>
              </w:rPr>
              <w:t>For the Three Months Ended March 31,</w:t>
            </w:r>
          </w:p>
        </w:tc>
        <w:tc>
          <w:tcPr>
            <w:tcW w:w="520" w:type="dxa"/>
            <w:vAlign w:val="bottom"/>
            <w:tcBorders>
              <w:bottom w:val="single" w:sz="8" w:color="2C6937"/>
            </w:tcBorders>
          </w:tcPr>
          <w:p>
            <w:pPr>
              <w:spacing w:after="0"/>
              <w:rPr>
                <w:sz w:val="16"/>
                <w:szCs w:val="16"/>
                <w:color w:val="auto"/>
              </w:rPr>
            </w:pPr>
          </w:p>
        </w:tc>
      </w:tr>
      <w:tr>
        <w:trPr>
          <w:trHeight w:val="186"/>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2C6937"/>
            </w:tcBorders>
          </w:tcPr>
          <w:p>
            <w:pPr>
              <w:jc w:val="right"/>
              <w:ind w:right="27"/>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2C6937"/>
            </w:tcBorders>
          </w:tcPr>
          <w:p>
            <w:pPr>
              <w:spacing w:after="0"/>
              <w:rPr>
                <w:sz w:val="16"/>
                <w:szCs w:val="16"/>
                <w:color w:val="auto"/>
              </w:rPr>
            </w:pPr>
          </w:p>
        </w:tc>
      </w:tr>
      <w:tr>
        <w:trPr>
          <w:trHeight w:val="185"/>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80" w:type="dxa"/>
            <w:vAlign w:val="bottom"/>
            <w:gridSpan w:val="3"/>
          </w:tcPr>
          <w:p>
            <w:pPr>
              <w:jc w:val="right"/>
              <w:ind w:right="646"/>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Pr>
          <w:p>
            <w:pPr>
              <w:spacing w:after="0"/>
              <w:rPr>
                <w:sz w:val="16"/>
                <w:szCs w:val="16"/>
                <w:color w:val="auto"/>
              </w:rPr>
            </w:pPr>
          </w:p>
        </w:tc>
      </w:tr>
      <w:tr>
        <w:trPr>
          <w:trHeight w:val="206"/>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6"/>
        </w:trPr>
        <w:tc>
          <w:tcPr>
            <w:tcW w:w="7500" w:type="dxa"/>
            <w:vAlign w:val="bottom"/>
            <w:gridSpan w:val="2"/>
          </w:tcPr>
          <w:p>
            <w:pPr>
              <w:ind w:left="180"/>
              <w:spacing w:after="0"/>
              <w:rPr>
                <w:sz w:val="20"/>
                <w:szCs w:val="20"/>
                <w:color w:val="auto"/>
              </w:rPr>
            </w:pPr>
            <w:r>
              <w:rPr>
                <w:rFonts w:ascii="Arial" w:cs="Arial" w:eastAsia="Arial" w:hAnsi="Arial"/>
                <w:sz w:val="15"/>
                <w:szCs w:val="15"/>
                <w:color w:val="auto"/>
              </w:rPr>
              <w:t>Swaps: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140" w:type="dxa"/>
            <w:vAlign w:val="bottom"/>
          </w:tcPr>
          <w:p>
            <w:pPr>
              <w:jc w:val="right"/>
              <w:ind w:right="967"/>
              <w:spacing w:after="0"/>
              <w:rPr>
                <w:sz w:val="20"/>
                <w:szCs w:val="20"/>
                <w:color w:val="auto"/>
              </w:rPr>
            </w:pPr>
            <w:r>
              <w:rPr>
                <w:rFonts w:ascii="Arial" w:cs="Arial" w:eastAsia="Arial" w:hAnsi="Arial"/>
                <w:sz w:val="15"/>
                <w:szCs w:val="15"/>
                <w:b w:val="1"/>
                <w:bCs w:val="1"/>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(879)</w:t>
            </w:r>
          </w:p>
        </w:tc>
        <w:tc>
          <w:tcPr>
            <w:tcW w:w="140" w:type="dxa"/>
            <w:vAlign w:val="bottom"/>
          </w:tcPr>
          <w:p>
            <w:pPr>
              <w:spacing w:after="0"/>
              <w:rPr>
                <w:sz w:val="17"/>
                <w:szCs w:val="17"/>
                <w:color w:val="auto"/>
              </w:rPr>
            </w:pPr>
          </w:p>
        </w:tc>
        <w:tc>
          <w:tcPr>
            <w:tcW w:w="1280" w:type="dxa"/>
            <w:vAlign w:val="bottom"/>
          </w:tcPr>
          <w:p>
            <w:pPr>
              <w:jc w:val="right"/>
              <w:ind w:right="1106"/>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1,362</w:t>
            </w:r>
          </w:p>
        </w:tc>
      </w:tr>
      <w:tr>
        <w:trPr>
          <w:trHeight w:val="206"/>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14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1,015</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(696)</w:t>
            </w:r>
          </w:p>
        </w:tc>
      </w:tr>
      <w:tr>
        <w:trPr>
          <w:trHeight w:val="206"/>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Basis</w:t>
            </w:r>
          </w:p>
        </w:tc>
        <w:tc>
          <w:tcPr>
            <w:tcW w:w="114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12</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Foreign currency</w:t>
            </w:r>
          </w:p>
        </w:tc>
        <w:tc>
          <w:tcPr>
            <w:tcW w:w="1140" w:type="dxa"/>
            <w:vAlign w:val="bottom"/>
          </w:tcPr>
          <w:p>
            <w:pPr>
              <w:spacing w:after="0"/>
              <w:rPr>
                <w:sz w:val="18"/>
                <w:szCs w:val="18"/>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9</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04"/>
        </w:trPr>
        <w:tc>
          <w:tcPr>
            <w:tcW w:w="7500" w:type="dxa"/>
            <w:vAlign w:val="bottom"/>
            <w:gridSpan w:val="2"/>
          </w:tcPr>
          <w:p>
            <w:pPr>
              <w:ind w:left="180"/>
              <w:spacing w:after="0"/>
              <w:rPr>
                <w:sz w:val="20"/>
                <w:szCs w:val="20"/>
                <w:color w:val="auto"/>
              </w:rPr>
            </w:pPr>
            <w:r>
              <w:rPr>
                <w:rFonts w:ascii="Arial" w:cs="Arial" w:eastAsia="Arial" w:hAnsi="Arial"/>
                <w:sz w:val="15"/>
                <w:szCs w:val="15"/>
                <w:color w:val="auto"/>
              </w:rPr>
              <w:t>Swaptions: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06"/>
        </w:trPr>
        <w:tc>
          <w:tcPr>
            <w:tcW w:w="750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6"/>
        </w:trPr>
        <w:tc>
          <w:tcPr>
            <w:tcW w:w="7500" w:type="dxa"/>
            <w:vAlign w:val="bottom"/>
            <w:gridSpan w:val="2"/>
          </w:tcPr>
          <w:p>
            <w:pPr>
              <w:ind w:left="180"/>
              <w:spacing w:after="0"/>
              <w:rPr>
                <w:sz w:val="20"/>
                <w:szCs w:val="20"/>
                <w:color w:val="auto"/>
              </w:rPr>
            </w:pPr>
            <w:r>
              <w:rPr>
                <w:rFonts w:ascii="Arial" w:cs="Arial" w:eastAsia="Arial" w:hAnsi="Arial"/>
                <w:sz w:val="15"/>
                <w:szCs w:val="15"/>
                <w:color w:val="auto"/>
              </w:rPr>
              <w:t>Futures</w:t>
            </w: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74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contractual interest income (expense) on interest-rate swaps</w:t>
            </w:r>
          </w:p>
        </w:tc>
        <w:tc>
          <w:tcPr>
            <w:tcW w:w="100" w:type="dxa"/>
            <w:vAlign w:val="bottom"/>
          </w:tcPr>
          <w:p>
            <w:pPr>
              <w:spacing w:after="0"/>
              <w:rPr>
                <w:sz w:val="18"/>
                <w:szCs w:val="18"/>
                <w:color w:val="auto"/>
              </w:rPr>
            </w:pPr>
          </w:p>
        </w:tc>
        <w:tc>
          <w:tcPr>
            <w:tcW w:w="114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(218)</w:t>
            </w:r>
          </w:p>
        </w:tc>
        <w:tc>
          <w:tcPr>
            <w:tcW w:w="140" w:type="dxa"/>
            <w:vAlign w:val="bottom"/>
          </w:tcPr>
          <w:p>
            <w:pPr>
              <w:spacing w:after="0"/>
              <w:rPr>
                <w:sz w:val="18"/>
                <w:szCs w:val="18"/>
                <w:color w:val="auto"/>
              </w:rPr>
            </w:pPr>
          </w:p>
        </w:tc>
        <w:tc>
          <w:tcPr>
            <w:tcW w:w="128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(199)</w:t>
            </w:r>
          </w:p>
        </w:tc>
      </w:tr>
      <w:tr>
        <w:trPr>
          <w:trHeight w:val="198"/>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risk management derivatives fair value gains (losses), net</w:t>
            </w: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(76)</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480</w:t>
            </w:r>
          </w:p>
        </w:tc>
      </w:tr>
      <w:tr>
        <w:trPr>
          <w:trHeight w:val="206"/>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(242)</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207</w:t>
            </w:r>
          </w:p>
        </w:tc>
      </w:tr>
      <w:tr>
        <w:trPr>
          <w:trHeight w:val="208"/>
        </w:trPr>
        <w:tc>
          <w:tcPr>
            <w:tcW w:w="74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00" w:type="dxa"/>
            <w:vAlign w:val="bottom"/>
          </w:tcPr>
          <w:p>
            <w:pPr>
              <w:spacing w:after="0"/>
              <w:rPr>
                <w:sz w:val="18"/>
                <w:szCs w:val="18"/>
                <w:color w:val="auto"/>
              </w:rPr>
            </w:pPr>
          </w:p>
        </w:tc>
        <w:tc>
          <w:tcPr>
            <w:tcW w:w="114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w:t>
            </w:r>
          </w:p>
        </w:tc>
        <w:tc>
          <w:tcPr>
            <w:tcW w:w="140" w:type="dxa"/>
            <w:vAlign w:val="bottom"/>
          </w:tcPr>
          <w:p>
            <w:pPr>
              <w:spacing w:after="0"/>
              <w:rPr>
                <w:sz w:val="18"/>
                <w:szCs w:val="18"/>
                <w:color w:val="auto"/>
              </w:rPr>
            </w:pPr>
          </w:p>
        </w:tc>
        <w:tc>
          <w:tcPr>
            <w:tcW w:w="128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w:t>
            </w:r>
          </w:p>
        </w:tc>
      </w:tr>
      <w:tr>
        <w:trPr>
          <w:trHeight w:val="199"/>
        </w:trPr>
        <w:tc>
          <w:tcPr>
            <w:tcW w:w="750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1140" w:type="dxa"/>
            <w:vAlign w:val="bottom"/>
          </w:tcPr>
          <w:p>
            <w:pPr>
              <w:jc w:val="right"/>
              <w:ind w:right="967"/>
              <w:spacing w:after="0"/>
              <w:rPr>
                <w:sz w:val="20"/>
                <w:szCs w:val="20"/>
                <w:color w:val="auto"/>
              </w:rPr>
            </w:pPr>
            <w:r>
              <w:rPr>
                <w:rFonts w:ascii="Arial" w:cs="Arial" w:eastAsia="Arial" w:hAnsi="Arial"/>
                <w:sz w:val="15"/>
                <w:szCs w:val="15"/>
                <w:b w:val="1"/>
                <w:bCs w:val="1"/>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(335)</w:t>
            </w:r>
          </w:p>
        </w:tc>
        <w:tc>
          <w:tcPr>
            <w:tcW w:w="140" w:type="dxa"/>
            <w:vAlign w:val="bottom"/>
          </w:tcPr>
          <w:p>
            <w:pPr>
              <w:spacing w:after="0"/>
              <w:rPr>
                <w:sz w:val="17"/>
                <w:szCs w:val="17"/>
                <w:color w:val="auto"/>
              </w:rPr>
            </w:pPr>
          </w:p>
        </w:tc>
        <w:tc>
          <w:tcPr>
            <w:tcW w:w="1280" w:type="dxa"/>
            <w:vAlign w:val="bottom"/>
          </w:tcPr>
          <w:p>
            <w:pPr>
              <w:jc w:val="right"/>
              <w:ind w:right="1106"/>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672</w:t>
            </w:r>
          </w:p>
        </w:tc>
      </w:tr>
      <w:tr>
        <w:trPr>
          <w:trHeight w:val="20"/>
        </w:trPr>
        <w:tc>
          <w:tcPr>
            <w:tcW w:w="7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Effect of Fair Value Hedge Accounting</w:t>
      </w:r>
    </w:p>
    <w:p>
      <w:pPr>
        <w:spacing w:after="0" w:line="8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following table displays the effect of fair value hedge accounting on our condensed consolidated statements of operations and comprehensive income, including gains and losses recognized on fair value hedging relationships.</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7"/>
          </w:tcPr>
          <w:p>
            <w:pPr>
              <w:jc w:val="center"/>
              <w:spacing w:after="0"/>
              <w:rPr>
                <w:sz w:val="20"/>
                <w:szCs w:val="20"/>
                <w:color w:val="auto"/>
              </w:rPr>
            </w:pPr>
            <w:r>
              <w:rPr>
                <w:rFonts w:ascii="Arial" w:cs="Arial" w:eastAsia="Arial" w:hAnsi="Arial"/>
                <w:sz w:val="14"/>
                <w:szCs w:val="14"/>
                <w:b w:val="1"/>
                <w:bCs w:val="1"/>
                <w:color w:val="auto"/>
                <w:w w:val="98"/>
              </w:rPr>
              <w:t>For the Three Months Ended March 31,</w:t>
            </w:r>
          </w:p>
        </w:tc>
        <w:tc>
          <w:tcPr>
            <w:tcW w:w="3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r>
      <w:tr>
        <w:trPr>
          <w:trHeight w:val="186"/>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3"/>
          </w:tcPr>
          <w:p>
            <w:pPr>
              <w:jc w:val="right"/>
              <w:ind w:right="171"/>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gridSpan w:val="3"/>
          </w:tcPr>
          <w:p>
            <w:pPr>
              <w:jc w:val="right"/>
              <w:ind w:right="191"/>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2C6937"/>
            </w:tcBorders>
          </w:tcPr>
          <w:p>
            <w:pPr>
              <w:spacing w:after="0"/>
              <w:rPr>
                <w:sz w:val="16"/>
                <w:szCs w:val="16"/>
                <w:color w:val="auto"/>
              </w:rPr>
            </w:pPr>
          </w:p>
        </w:tc>
      </w:tr>
      <w:tr>
        <w:trPr>
          <w:trHeight w:val="178"/>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gridSpan w:val="11"/>
          </w:tcPr>
          <w:p>
            <w:pPr>
              <w:jc w:val="center"/>
              <w:spacing w:after="0"/>
              <w:rPr>
                <w:sz w:val="20"/>
                <w:szCs w:val="20"/>
                <w:color w:val="auto"/>
              </w:rPr>
            </w:pPr>
            <w:r>
              <w:rPr>
                <w:rFonts w:ascii="Arial" w:cs="Arial" w:eastAsia="Arial" w:hAnsi="Arial"/>
                <w:sz w:val="14"/>
                <w:szCs w:val="14"/>
                <w:b w:val="1"/>
                <w:bCs w:val="1"/>
                <w:color w:val="auto"/>
              </w:rPr>
              <w:t>Interest Income:  Interest Expense:  Interest Income:  Interest Expense:</w:t>
            </w:r>
          </w:p>
        </w:tc>
      </w:tr>
      <w:tr>
        <w:trPr>
          <w:trHeight w:val="196"/>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Mortgage Loans</w:t>
            </w:r>
          </w:p>
        </w:tc>
        <w:tc>
          <w:tcPr>
            <w:tcW w:w="10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Long-Term Debt</w:t>
            </w:r>
          </w:p>
        </w:tc>
        <w:tc>
          <w:tcPr>
            <w:tcW w:w="126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Mortgage Loans</w:t>
            </w:r>
          </w:p>
        </w:tc>
        <w:tc>
          <w:tcPr>
            <w:tcW w:w="1200" w:type="dxa"/>
            <w:vAlign w:val="bottom"/>
            <w:tcBorders>
              <w:bottom w:val="single" w:sz="8" w:color="2C6937"/>
            </w:tcBorders>
            <w:gridSpan w:val="2"/>
          </w:tcPr>
          <w:p>
            <w:pPr>
              <w:jc w:val="right"/>
              <w:ind w:right="11"/>
              <w:spacing w:after="0"/>
              <w:rPr>
                <w:sz w:val="20"/>
                <w:szCs w:val="20"/>
                <w:color w:val="auto"/>
              </w:rPr>
            </w:pPr>
            <w:r>
              <w:rPr>
                <w:rFonts w:ascii="Arial" w:cs="Arial" w:eastAsia="Arial" w:hAnsi="Arial"/>
                <w:sz w:val="14"/>
                <w:szCs w:val="14"/>
                <w:b w:val="1"/>
                <w:bCs w:val="1"/>
                <w:color w:val="auto"/>
              </w:rPr>
              <w:t>Long-Term Debt</w:t>
            </w:r>
          </w:p>
        </w:tc>
      </w:t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center"/>
              <w:ind w:left="131"/>
              <w:spacing w:after="0"/>
              <w:rPr>
                <w:sz w:val="20"/>
                <w:szCs w:val="20"/>
                <w:color w:val="auto"/>
              </w:rPr>
            </w:pPr>
            <w:r>
              <w:rPr>
                <w:rFonts w:ascii="Arial" w:cs="Arial" w:eastAsia="Arial" w:hAnsi="Arial"/>
                <w:sz w:val="14"/>
                <w:szCs w:val="14"/>
                <w:b w:val="1"/>
                <w:bCs w:val="1"/>
                <w:color w:val="auto"/>
                <w:w w:val="96"/>
              </w:rPr>
              <w:t>(Dollars in millions)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4"/>
        </w:trPr>
        <w:tc>
          <w:tcPr>
            <w:tcW w:w="5960" w:type="dxa"/>
            <w:vAlign w:val="bottom"/>
            <w:gridSpan w:val="2"/>
          </w:tcPr>
          <w:p>
            <w:pPr>
              <w:spacing w:after="0"/>
              <w:rPr>
                <w:sz w:val="20"/>
                <w:szCs w:val="20"/>
                <w:color w:val="auto"/>
              </w:rPr>
            </w:pPr>
            <w:r>
              <w:rPr>
                <w:rFonts w:ascii="Arial" w:cs="Arial" w:eastAsia="Arial" w:hAnsi="Arial"/>
                <w:sz w:val="15"/>
                <w:szCs w:val="15"/>
                <w:b w:val="1"/>
                <w:bCs w:val="1"/>
                <w:color w:val="auto"/>
              </w:rPr>
              <w:t>Total amounts presented in our condensed consolidated statements of</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3"/>
        </w:trPr>
        <w:tc>
          <w:tcPr>
            <w:tcW w:w="5860" w:type="dxa"/>
            <w:vAlign w:val="bottom"/>
            <w:tcBorders>
              <w:bottom w:val="single" w:sz="8" w:color="2C6937"/>
            </w:tcBorders>
          </w:tcPr>
          <w:p>
            <w:pPr>
              <w:ind w:left="160"/>
              <w:spacing w:after="0"/>
              <w:rPr>
                <w:sz w:val="20"/>
                <w:szCs w:val="20"/>
                <w:color w:val="auto"/>
              </w:rPr>
            </w:pPr>
            <w:r>
              <w:rPr>
                <w:rFonts w:ascii="Arial" w:cs="Arial" w:eastAsia="Arial" w:hAnsi="Arial"/>
                <w:sz w:val="15"/>
                <w:szCs w:val="15"/>
                <w:b w:val="1"/>
                <w:bCs w:val="1"/>
                <w:color w:val="auto"/>
              </w:rPr>
              <w:t>operations and comprehensive income</w:t>
            </w:r>
          </w:p>
        </w:tc>
        <w:tc>
          <w:tcPr>
            <w:tcW w:w="100" w:type="dxa"/>
            <w:vAlign w:val="bottom"/>
          </w:tcPr>
          <w:p>
            <w:pPr>
              <w:spacing w:after="0"/>
              <w:rPr>
                <w:sz w:val="20"/>
                <w:szCs w:val="20"/>
                <w:color w:val="auto"/>
              </w:rPr>
            </w:pPr>
          </w:p>
        </w:tc>
        <w:tc>
          <w:tcPr>
            <w:tcW w:w="40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37,399</w:t>
            </w:r>
          </w:p>
        </w:tc>
        <w:tc>
          <w:tcPr>
            <w:tcW w:w="100" w:type="dxa"/>
            <w:vAlign w:val="bottom"/>
          </w:tcPr>
          <w:p>
            <w:pPr>
              <w:spacing w:after="0"/>
              <w:rPr>
                <w:sz w:val="20"/>
                <w:szCs w:val="20"/>
                <w:color w:val="auto"/>
              </w:rPr>
            </w:pPr>
          </w:p>
        </w:tc>
        <w:tc>
          <w:tcPr>
            <w:tcW w:w="340" w:type="dxa"/>
            <w:vAlign w:val="bottom"/>
            <w:tcBorders>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(31,910)</w:t>
            </w:r>
          </w:p>
        </w:tc>
        <w:tc>
          <w:tcPr>
            <w:tcW w:w="100" w:type="dxa"/>
            <w:vAlign w:val="bottom"/>
          </w:tcPr>
          <w:p>
            <w:pPr>
              <w:spacing w:after="0"/>
              <w:rPr>
                <w:sz w:val="20"/>
                <w:szCs w:val="20"/>
                <w:color w:val="auto"/>
              </w:rPr>
            </w:pPr>
          </w:p>
        </w:tc>
        <w:tc>
          <w:tcPr>
            <w:tcW w:w="640" w:type="dxa"/>
            <w:vAlign w:val="bottom"/>
            <w:tcBorders>
              <w:bottom w:val="single" w:sz="8" w:color="2C6937"/>
            </w:tcBorders>
          </w:tcPr>
          <w:p>
            <w:pPr>
              <w:jc w:val="right"/>
              <w:ind w:right="49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35,216</w:t>
            </w:r>
          </w:p>
        </w:tc>
        <w:tc>
          <w:tcPr>
            <w:tcW w:w="80" w:type="dxa"/>
            <w:vAlign w:val="bottom"/>
          </w:tcPr>
          <w:p>
            <w:pPr>
              <w:spacing w:after="0"/>
              <w:rPr>
                <w:sz w:val="20"/>
                <w:szCs w:val="20"/>
                <w:color w:val="auto"/>
              </w:rPr>
            </w:pPr>
          </w:p>
        </w:tc>
        <w:tc>
          <w:tcPr>
            <w:tcW w:w="38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(29,580)</w:t>
            </w:r>
          </w:p>
        </w:tc>
      </w:tr>
      <w:tr>
        <w:trPr>
          <w:trHeight w:val="348"/>
        </w:trPr>
        <w:tc>
          <w:tcPr>
            <w:tcW w:w="5960" w:type="dxa"/>
            <w:vAlign w:val="bottom"/>
            <w:gridSpan w:val="2"/>
          </w:tcPr>
          <w:p>
            <w:pPr>
              <w:spacing w:after="0"/>
              <w:rPr>
                <w:sz w:val="20"/>
                <w:szCs w:val="20"/>
                <w:color w:val="auto"/>
              </w:rPr>
            </w:pPr>
            <w:r>
              <w:rPr>
                <w:rFonts w:ascii="Arial" w:cs="Arial" w:eastAsia="Arial" w:hAnsi="Arial"/>
                <w:sz w:val="15"/>
                <w:szCs w:val="15"/>
                <w:b w:val="1"/>
                <w:bCs w:val="1"/>
                <w:color w:val="auto"/>
              </w:rPr>
              <w:t>Gains (losses) from fair value hedging relationships:</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4"/>
        </w:trPr>
        <w:tc>
          <w:tcPr>
            <w:tcW w:w="5960" w:type="dxa"/>
            <w:vAlign w:val="bottom"/>
            <w:gridSpan w:val="2"/>
          </w:tcPr>
          <w:p>
            <w:pPr>
              <w:ind w:left="120"/>
              <w:spacing w:after="0"/>
              <w:rPr>
                <w:sz w:val="20"/>
                <w:szCs w:val="20"/>
                <w:color w:val="auto"/>
              </w:rPr>
            </w:pPr>
            <w:r>
              <w:rPr>
                <w:rFonts w:ascii="Arial" w:cs="Arial" w:eastAsia="Arial" w:hAnsi="Arial"/>
                <w:sz w:val="15"/>
                <w:szCs w:val="15"/>
                <w:color w:val="auto"/>
              </w:rPr>
              <w:t>Mortgage loans HFI and related interest-rate contracts:</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596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400" w:type="dxa"/>
            <w:vAlign w:val="bottom"/>
          </w:tcPr>
          <w:p>
            <w:pPr>
              <w:jc w:val="right"/>
              <w:ind w:right="231"/>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436</w:t>
            </w:r>
          </w:p>
        </w:tc>
        <w:tc>
          <w:tcPr>
            <w:tcW w:w="44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49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9"/>
                <w:szCs w:val="19"/>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5960" w:type="dxa"/>
            <w:vAlign w:val="bottom"/>
            <w:gridSpan w:val="2"/>
          </w:tcPr>
          <w:p>
            <w:pPr>
              <w:ind w:left="320"/>
              <w:spacing w:after="0"/>
              <w:rPr>
                <w:sz w:val="20"/>
                <w:szCs w:val="20"/>
                <w:color w:val="auto"/>
              </w:rPr>
            </w:pPr>
            <w:r>
              <w:rPr>
                <w:rFonts w:ascii="Arial" w:cs="Arial" w:eastAsia="Arial" w:hAnsi="Arial"/>
                <w:sz w:val="15"/>
                <w:szCs w:val="15"/>
                <w:color w:val="auto"/>
              </w:rPr>
              <w:t>Discontinued hedge related basis adjustment amortization</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596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 instruments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5960" w:type="dxa"/>
            <w:vAlign w:val="bottom"/>
            <w:gridSpan w:val="2"/>
          </w:tcPr>
          <w:p>
            <w:pPr>
              <w:ind w:left="320"/>
              <w:spacing w:after="0"/>
              <w:rPr>
                <w:sz w:val="20"/>
                <w:szCs w:val="20"/>
                <w:color w:val="auto"/>
              </w:rPr>
            </w:pPr>
            <w:r>
              <w:rPr>
                <w:rFonts w:ascii="Arial" w:cs="Arial" w:eastAsia="Arial" w:hAnsi="Arial"/>
                <w:sz w:val="15"/>
                <w:szCs w:val="15"/>
                <w:color w:val="auto"/>
              </w:rPr>
              <w:t>Interest accruals on hedging instruments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5960" w:type="dxa"/>
            <w:vAlign w:val="bottom"/>
            <w:gridSpan w:val="2"/>
          </w:tcPr>
          <w:p>
            <w:pPr>
              <w:ind w:left="120"/>
              <w:spacing w:after="0"/>
              <w:rPr>
                <w:sz w:val="20"/>
                <w:szCs w:val="20"/>
                <w:color w:val="auto"/>
              </w:rPr>
            </w:pPr>
            <w:r>
              <w:rPr>
                <w:rFonts w:ascii="Arial" w:cs="Arial" w:eastAsia="Arial" w:hAnsi="Arial"/>
                <w:sz w:val="15"/>
                <w:szCs w:val="15"/>
                <w:color w:val="auto"/>
              </w:rPr>
              <w:t>Debt of Fannie Mae and related interest-rate contracts:</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596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(212)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428</w:t>
            </w:r>
          </w:p>
        </w:tc>
      </w:tr>
      <w:tr>
        <w:trPr>
          <w:trHeight w:val="232"/>
        </w:trPr>
        <w:tc>
          <w:tcPr>
            <w:tcW w:w="5960" w:type="dxa"/>
            <w:vAlign w:val="bottom"/>
            <w:gridSpan w:val="2"/>
          </w:tcPr>
          <w:p>
            <w:pPr>
              <w:ind w:left="320"/>
              <w:spacing w:after="0"/>
              <w:rPr>
                <w:sz w:val="20"/>
                <w:szCs w:val="20"/>
                <w:color w:val="auto"/>
              </w:rPr>
            </w:pPr>
            <w:r>
              <w:rPr>
                <w:rFonts w:ascii="Arial" w:cs="Arial" w:eastAsia="Arial" w:hAnsi="Arial"/>
                <w:sz w:val="15"/>
                <w:szCs w:val="15"/>
                <w:color w:val="auto"/>
              </w:rPr>
              <w:t>Discontinued hedge-related basis adjustment amortization</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232"/>
        </w:trPr>
        <w:tc>
          <w:tcPr>
            <w:tcW w:w="596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 instruments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216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(355)</w:t>
            </w:r>
          </w:p>
        </w:tc>
      </w:tr>
      <w:tr>
        <w:trPr>
          <w:trHeight w:val="233"/>
        </w:trPr>
        <w:tc>
          <w:tcPr>
            <w:tcW w:w="586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Interest accruals on derivative hedging instruments</w:t>
            </w:r>
          </w:p>
        </w:tc>
        <w:tc>
          <w:tcPr>
            <w:tcW w:w="100" w:type="dxa"/>
            <w:vAlign w:val="bottom"/>
          </w:tcPr>
          <w:p>
            <w:pPr>
              <w:spacing w:after="0"/>
              <w:rPr>
                <w:sz w:val="20"/>
                <w:szCs w:val="20"/>
                <w:color w:val="auto"/>
              </w:rPr>
            </w:pPr>
          </w:p>
        </w:tc>
        <w:tc>
          <w:tcPr>
            <w:tcW w:w="40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20"/>
                <w:szCs w:val="20"/>
                <w:color w:val="auto"/>
              </w:rPr>
            </w:pPr>
          </w:p>
        </w:tc>
        <w:tc>
          <w:tcPr>
            <w:tcW w:w="64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(167)</w:t>
            </w:r>
          </w:p>
        </w:tc>
      </w:tr>
      <w:tr>
        <w:trPr>
          <w:trHeight w:val="225"/>
        </w:trPr>
        <w:tc>
          <w:tcPr>
            <w:tcW w:w="5960" w:type="dxa"/>
            <w:vAlign w:val="bottom"/>
            <w:gridSpan w:val="2"/>
          </w:tcPr>
          <w:p>
            <w:pPr>
              <w:spacing w:after="0"/>
              <w:rPr>
                <w:sz w:val="20"/>
                <w:szCs w:val="20"/>
                <w:color w:val="auto"/>
              </w:rPr>
            </w:pPr>
            <w:r>
              <w:rPr>
                <w:rFonts w:ascii="Arial" w:cs="Arial" w:eastAsia="Arial" w:hAnsi="Arial"/>
                <w:sz w:val="15"/>
                <w:szCs w:val="15"/>
                <w:color w:val="auto"/>
              </w:rPr>
              <w:t>Total effect of fair value hedges</w:t>
            </w:r>
          </w:p>
        </w:tc>
        <w:tc>
          <w:tcPr>
            <w:tcW w:w="400" w:type="dxa"/>
            <w:vAlign w:val="bottom"/>
          </w:tcPr>
          <w:p>
            <w:pPr>
              <w:jc w:val="right"/>
              <w:ind w:right="231"/>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44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Pr>
          <w:p>
            <w:pPr>
              <w:spacing w:after="0"/>
              <w:rPr>
                <w:sz w:val="19"/>
                <w:szCs w:val="19"/>
                <w:color w:val="auto"/>
              </w:rPr>
            </w:pPr>
          </w:p>
        </w:tc>
        <w:tc>
          <w:tcPr>
            <w:tcW w:w="640" w:type="dxa"/>
            <w:vAlign w:val="bottom"/>
          </w:tcPr>
          <w:p>
            <w:pPr>
              <w:jc w:val="right"/>
              <w:ind w:right="49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9"/>
                <w:szCs w:val="19"/>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0"/>
        </w:trPr>
        <w:tc>
          <w:tcPr>
            <w:tcW w:w="5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8" w:name="page89"/>
    <w:bookmarkEnd w:id="88"/>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Hedged Items in Fair Value Hedging Relationships</w:t>
      </w:r>
    </w:p>
    <w:p>
      <w:pPr>
        <w:spacing w:after="0" w:line="6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following table displays the carrying amounts of the hedged items that have been in qualifying fair value hedges recorded in our condensed consolidated balance sheets, including the hedged item’s cumulative basis adjustments and the closed portfolio balances under the portfolio layer method. The hedged item carrying amounts and total basis adjustments include both open and discontinued hedges. The amortized cost and designated UPB consists only of open hedges as of March 31, 2025 and December 31, 2024.</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86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As of March 31, 2025</w:t>
            </w:r>
          </w:p>
        </w:tc>
        <w:tc>
          <w:tcPr>
            <w:tcW w:w="16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r>
      <w:tr>
        <w:trPr>
          <w:trHeight w:val="332"/>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8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8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67"/>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center"/>
              <w:ind w:right="187"/>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48"/>
              <w:spacing w:after="0"/>
              <w:rPr>
                <w:sz w:val="20"/>
                <w:szCs w:val="20"/>
                <w:color w:val="auto"/>
              </w:rPr>
            </w:pPr>
            <w:r>
              <w:rPr>
                <w:rFonts w:ascii="Arial" w:cs="Arial" w:eastAsia="Arial" w:hAnsi="Arial"/>
                <w:sz w:val="14"/>
                <w:szCs w:val="14"/>
                <w:b w:val="1"/>
                <w:bCs w:val="1"/>
                <w:color w:val="auto"/>
                <w:w w:val="94"/>
              </w:rPr>
              <w:t>Adjustments</w:t>
            </w:r>
            <w:r>
              <w:rPr>
                <w:rFonts w:ascii="Arial" w:cs="Arial" w:eastAsia="Arial" w:hAnsi="Arial"/>
                <w:sz w:val="17"/>
                <w:szCs w:val="17"/>
                <w:b w:val="1"/>
                <w:bCs w:val="1"/>
                <w:color w:val="auto"/>
                <w:w w:val="94"/>
                <w:vertAlign w:val="superscript"/>
              </w:rPr>
              <w:t>(1)(2)</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27"/>
              <w:spacing w:after="0"/>
              <w:rPr>
                <w:sz w:val="20"/>
                <w:szCs w:val="20"/>
                <w:color w:val="auto"/>
              </w:rPr>
            </w:pPr>
            <w:r>
              <w:rPr>
                <w:rFonts w:ascii="Arial" w:cs="Arial" w:eastAsia="Arial" w:hAnsi="Arial"/>
                <w:sz w:val="15"/>
                <w:szCs w:val="15"/>
                <w:color w:val="auto"/>
              </w:rPr>
              <w:t>1,096,598</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8"/>
              <w:spacing w:after="0"/>
              <w:rPr>
                <w:sz w:val="20"/>
                <w:szCs w:val="20"/>
                <w:color w:val="auto"/>
              </w:rPr>
            </w:pPr>
            <w:r>
              <w:rPr>
                <w:rFonts w:ascii="Arial" w:cs="Arial" w:eastAsia="Arial" w:hAnsi="Arial"/>
                <w:sz w:val="15"/>
                <w:szCs w:val="15"/>
                <w:color w:val="auto"/>
              </w:rPr>
              <w:t>(364)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(364)</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161,901</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21,033</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(45,051)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8"/>
              <w:spacing w:after="0"/>
              <w:rPr>
                <w:sz w:val="20"/>
                <w:szCs w:val="20"/>
                <w:color w:val="auto"/>
              </w:rPr>
            </w:pPr>
            <w:r>
              <w:rPr>
                <w:rFonts w:ascii="Arial" w:cs="Arial" w:eastAsia="Arial" w:hAnsi="Arial"/>
                <w:sz w:val="15"/>
                <w:szCs w:val="15"/>
                <w:color w:val="auto"/>
              </w:rPr>
              <w:t>2,952</w:t>
            </w:r>
          </w:p>
        </w:tc>
        <w:tc>
          <w:tcPr>
            <w:tcW w:w="200" w:type="dxa"/>
            <w:vAlign w:val="bottom"/>
          </w:tcPr>
          <w:p>
            <w:pPr>
              <w:spacing w:after="0"/>
              <w:rPr>
                <w:sz w:val="20"/>
                <w:szCs w:val="20"/>
                <w:color w:val="auto"/>
              </w:rPr>
            </w:pPr>
          </w:p>
        </w:tc>
        <w:tc>
          <w:tcPr>
            <w:tcW w:w="1720" w:type="dxa"/>
            <w:vAlign w:val="bottom"/>
          </w:tcPr>
          <w:p>
            <w:pPr>
              <w:jc w:val="right"/>
              <w:ind w:right="8"/>
              <w:spacing w:after="0"/>
              <w:rPr>
                <w:sz w:val="20"/>
                <w:szCs w:val="20"/>
                <w:color w:val="auto"/>
              </w:rPr>
            </w:pPr>
            <w:r>
              <w:rPr>
                <w:rFonts w:ascii="Arial" w:cs="Arial" w:eastAsia="Arial" w:hAnsi="Arial"/>
                <w:sz w:val="15"/>
                <w:szCs w:val="15"/>
                <w:color w:val="auto"/>
              </w:rPr>
              <w:t>2,952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r>
        <w:trPr>
          <w:trHeight w:val="388"/>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860" w:type="dxa"/>
            <w:vAlign w:val="bottom"/>
            <w:tcBorders>
              <w:bottom w:val="single" w:sz="8" w:color="2C6937"/>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As of December 31, 2024</w:t>
            </w:r>
          </w:p>
        </w:tc>
        <w:tc>
          <w:tcPr>
            <w:tcW w:w="16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r>
      <w:tr>
        <w:trPr>
          <w:trHeight w:val="332"/>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4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6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47"/>
              <w:spacing w:after="0"/>
              <w:rPr>
                <w:sz w:val="20"/>
                <w:szCs w:val="20"/>
                <w:color w:val="auto"/>
              </w:rPr>
            </w:pPr>
            <w:r>
              <w:rPr>
                <w:rFonts w:ascii="Arial" w:cs="Arial" w:eastAsia="Arial" w:hAnsi="Arial"/>
                <w:sz w:val="14"/>
                <w:szCs w:val="14"/>
                <w:b w:val="1"/>
                <w:bCs w:val="1"/>
                <w:color w:val="auto"/>
                <w:w w:val="99"/>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center"/>
              <w:ind w:right="147"/>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28"/>
              <w:spacing w:after="0"/>
              <w:rPr>
                <w:sz w:val="20"/>
                <w:szCs w:val="20"/>
                <w:color w:val="auto"/>
              </w:rPr>
            </w:pPr>
            <w:r>
              <w:rPr>
                <w:rFonts w:ascii="Arial" w:cs="Arial" w:eastAsia="Arial" w:hAnsi="Arial"/>
                <w:sz w:val="14"/>
                <w:szCs w:val="14"/>
                <w:b w:val="1"/>
                <w:bCs w:val="1"/>
                <w:color w:val="auto"/>
                <w:w w:val="92"/>
              </w:rPr>
              <w:t>Adjustments</w:t>
            </w:r>
            <w:r>
              <w:rPr>
                <w:rFonts w:ascii="Arial" w:cs="Arial" w:eastAsia="Arial" w:hAnsi="Arial"/>
                <w:sz w:val="17"/>
                <w:szCs w:val="17"/>
                <w:b w:val="1"/>
                <w:bCs w:val="1"/>
                <w:color w:val="auto"/>
                <w:w w:val="92"/>
                <w:vertAlign w:val="superscript"/>
              </w:rPr>
              <w:t>(1)(2)</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27"/>
              <w:spacing w:after="0"/>
              <w:rPr>
                <w:sz w:val="20"/>
                <w:szCs w:val="20"/>
                <w:color w:val="auto"/>
              </w:rPr>
            </w:pPr>
            <w:r>
              <w:rPr>
                <w:rFonts w:ascii="Arial" w:cs="Arial" w:eastAsia="Arial" w:hAnsi="Arial"/>
                <w:sz w:val="15"/>
                <w:szCs w:val="15"/>
                <w:color w:val="auto"/>
              </w:rPr>
              <w:t>1,109,445</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8"/>
              <w:spacing w:after="0"/>
              <w:rPr>
                <w:sz w:val="20"/>
                <w:szCs w:val="20"/>
                <w:color w:val="auto"/>
              </w:rPr>
            </w:pPr>
            <w:r>
              <w:rPr>
                <w:rFonts w:ascii="Arial" w:cs="Arial" w:eastAsia="Arial" w:hAnsi="Arial"/>
                <w:sz w:val="15"/>
                <w:szCs w:val="15"/>
                <w:color w:val="auto"/>
              </w:rPr>
              <w:t>(816)</w:t>
            </w:r>
          </w:p>
        </w:tc>
        <w:tc>
          <w:tcPr>
            <w:tcW w:w="200" w:type="dxa"/>
            <w:vAlign w:val="bottom"/>
          </w:tcPr>
          <w:p>
            <w:pPr>
              <w:jc w:val="center"/>
              <w:ind w:left="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(816)</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813,536</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26,825</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67"/>
              <w:spacing w:after="0"/>
              <w:rPr>
                <w:sz w:val="20"/>
                <w:szCs w:val="20"/>
                <w:color w:val="auto"/>
              </w:rPr>
            </w:pPr>
            <w:r>
              <w:rPr>
                <w:rFonts w:ascii="Arial" w:cs="Arial" w:eastAsia="Arial" w:hAnsi="Arial"/>
                <w:sz w:val="15"/>
                <w:szCs w:val="15"/>
                <w:color w:val="auto"/>
              </w:rPr>
              <w:t>(47,849)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48"/>
              <w:spacing w:after="0"/>
              <w:rPr>
                <w:sz w:val="20"/>
                <w:szCs w:val="20"/>
                <w:color w:val="auto"/>
              </w:rPr>
            </w:pPr>
            <w:r>
              <w:rPr>
                <w:rFonts w:ascii="Arial" w:cs="Arial" w:eastAsia="Arial" w:hAnsi="Arial"/>
                <w:sz w:val="15"/>
                <w:szCs w:val="15"/>
                <w:color w:val="auto"/>
              </w:rPr>
              <w:t>3,390</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3,390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bl>
    <w:p>
      <w:pPr>
        <w:spacing w:after="0" w:line="96" w:lineRule="exact"/>
        <w:rPr>
          <w:sz w:val="20"/>
          <w:szCs w:val="20"/>
          <w:color w:val="auto"/>
        </w:rPr>
      </w:pPr>
    </w:p>
    <w:p>
      <w:pPr>
        <w:ind w:left="220" w:hanging="217"/>
        <w:spacing w:after="0"/>
        <w:tabs>
          <w:tab w:leader="none" w:pos="2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No basis adjustment associated with open hedges, as all hedges are designated at the close of business with a one-day term.</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7"/>
        </w:numPr>
        <w:rPr>
          <w:rFonts w:ascii="Arial" w:cs="Arial" w:eastAsia="Arial" w:hAnsi="Arial"/>
          <w:sz w:val="9"/>
          <w:szCs w:val="9"/>
          <w:color w:val="auto"/>
        </w:rPr>
      </w:pPr>
      <w:r>
        <w:rPr>
          <w:rFonts w:ascii="Arial" w:cs="Arial" w:eastAsia="Arial" w:hAnsi="Arial"/>
          <w:sz w:val="14"/>
          <w:szCs w:val="14"/>
          <w:color w:val="auto"/>
        </w:rPr>
        <w:t>Based on the unamortized balance of the hedge-related cost basis.</w:t>
      </w:r>
    </w:p>
    <w:p>
      <w:pPr>
        <w:spacing w:after="0" w:line="155"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Derivative Counterparty Credit Exposure</w:t>
      </w:r>
    </w:p>
    <w:p>
      <w:pPr>
        <w:spacing w:after="0" w:line="8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derivative counterparty credit exposure relates principally to interest-rate derivative contracts. We are exposed to the risk that a counterparty in a derivative transaction will default on payments due to us, which may require us to seek a replacement derivative from a different counterparty. This replacement may be at a higher cost, or we may be unable to find a suitable replacement. We manage our derivative counterparty credit exposure relating to our risk management derivative transactions mainly through enforceable master netting arrangements, which allow us to net derivative assets and liabilities with the same counterparty or clearing organization and clearing member. For our OTC derivative transactions, we require counterparties to post collateral, which may include cash, U.S. Treasury securities, agency debt and agency mortgage-related securities. See “Note 12, Netting Arrangements” for information on our rights to offset assets and liabilities as of March 31, 2025 and December 31, 2024.</w:t>
      </w:r>
    </w:p>
    <w:p>
      <w:pPr>
        <w:spacing w:after="0" w:line="4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For certain OTC derivatives, the amount of collateral we pledge to counterparties related to our derivative instruments is determined after considering our credit ratings. Currently, our long-term senior debt is rated AA+ or above by S&amp;P Global Ratings and Moody's Investors Service. If our long-term senior debt credit ratings were downgraded to established thresholds in our OTC derivative contracts, which range from A3/A- to Baa2/BBB or below, we would be required to provide additional collateral to certain counterparties. The aggregate fair value of our OTC derivative instruments with credit-risk-related contingent features that were in a net liability position was $1.0 billion and $1.3 billion, for which we posted collateral of $783 million and $948 million as of March 31, 2025 and December 31, 2024, respectively. If our credit ratings were downgraded to Baa2/BBB or below, the maximum additional collateral we would have been required to post to our counterparties as of March 31, 2025 and December 31, 2024 would have been $579 million and $725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495300</wp:posOffset>
            </wp:positionV>
            <wp:extent cx="680593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9" w:name="page90"/>
    <w:bookmarkEnd w:id="89"/>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10. Segment Reporting</w:t>
      </w:r>
    </w:p>
    <w:p>
      <w:pPr>
        <w:spacing w:after="0" w:line="8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have two reportable business segments, which are based on the type of business activities each perform: Single-Family and Multifamily. Results of our two business segments are intended to reflect each segment as if it were a stand-alone business. Ms. Almodovar, our President and CEO, is the chief operating decision maker (“CODM”) for our two reportable business segments. The CODM uses both net revenues and income before federal income taxes, on a quarterly basis, to assess the financial performance of the segments and for purposes of allocating resources. The accounting policies of our two reportable business segments are the same as those described in “Note 1, Summary of Significant Accounting Policies” in our 2024 Form 10-K. Also see “Note 11, Segment Reporting” in our 2024 Form 10-K for additional information related to our business segments, including basis of organization and other segment activities.</w:t>
      </w:r>
    </w:p>
    <w:p>
      <w:pPr>
        <w:spacing w:after="0" w:line="6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Segment Allocations and Results</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majority of our assets, revenues and expenses are directly associated with each respective business segment and are included in determining its asset balance and operating results. Those assets, revenues and expenses that are not directly attributable to a particular business segment are allocated based on the size of each segment’s guaranty book of business. As a result, the sum of each income statement line item for the two reportable segments is equal to that same income statement line item for the consolidated entity. In addition, the sum of the total assets for the two reportable segments is equal to the total assets of the consolidated entity.</w:t>
      </w:r>
    </w:p>
    <w:p>
      <w:pPr>
        <w:spacing w:after="0" w:line="40"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The substantial majority of the gains and losses associated with our risk management derivatives, including the impact of hedge accounting, are allocated to our Single-Family business segment. In the current period, there were no significant changes to our segment allocation methodology.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total assets by segment.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880" w:type="dxa"/>
            <w:vAlign w:val="bottom"/>
            <w:tcBorders>
              <w:bottom w:val="single" w:sz="8" w:color="2C6937"/>
            </w:tcBorders>
            <w:gridSpan w:val="3"/>
          </w:tcPr>
          <w:p>
            <w:pPr>
              <w:jc w:val="right"/>
              <w:ind w:right="23"/>
              <w:spacing w:after="0"/>
              <w:rPr>
                <w:sz w:val="20"/>
                <w:szCs w:val="20"/>
                <w:color w:val="auto"/>
              </w:rPr>
            </w:pPr>
            <w:r>
              <w:rPr>
                <w:rFonts w:ascii="Arial" w:cs="Arial" w:eastAsia="Arial" w:hAnsi="Arial"/>
                <w:sz w:val="14"/>
                <w:szCs w:val="14"/>
                <w:b w:val="1"/>
                <w:bCs w:val="1"/>
                <w:color w:val="auto"/>
              </w:rPr>
              <w:t>As of</w:t>
            </w:r>
          </w:p>
        </w:tc>
        <w:tc>
          <w:tcPr>
            <w:tcW w:w="1620" w:type="dxa"/>
            <w:vAlign w:val="bottom"/>
            <w:tcBorders>
              <w:bottom w:val="single" w:sz="8" w:color="2C6937"/>
            </w:tcBorders>
          </w:tcPr>
          <w:p>
            <w:pPr>
              <w:spacing w:after="0"/>
              <w:rPr>
                <w:sz w:val="16"/>
                <w:szCs w:val="16"/>
                <w:color w:val="auto"/>
              </w:rPr>
            </w:pPr>
          </w:p>
        </w:tc>
      </w:tr>
      <w:tr>
        <w:trPr>
          <w:trHeight w:val="186"/>
        </w:trPr>
        <w:tc>
          <w:tcPr>
            <w:tcW w:w="7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70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Borders>
              <w:bottom w:val="single" w:sz="8" w:color="2C6937"/>
            </w:tcBorders>
          </w:tcPr>
          <w:p>
            <w:pPr>
              <w:spacing w:after="0"/>
              <w:rPr>
                <w:sz w:val="16"/>
                <w:szCs w:val="16"/>
                <w:color w:val="auto"/>
              </w:rPr>
            </w:pPr>
          </w:p>
        </w:tc>
        <w:tc>
          <w:tcPr>
            <w:tcW w:w="1620" w:type="dxa"/>
            <w:vAlign w:val="bottom"/>
            <w:tcBorders>
              <w:bottom w:val="single" w:sz="8" w:color="2C6937"/>
            </w:tcBorders>
          </w:tcPr>
          <w:p>
            <w:pPr>
              <w:jc w:val="right"/>
              <w:ind w:right="205"/>
              <w:spacing w:after="0"/>
              <w:rPr>
                <w:sz w:val="20"/>
                <w:szCs w:val="20"/>
                <w:color w:val="auto"/>
              </w:rPr>
            </w:pPr>
            <w:r>
              <w:rPr>
                <w:rFonts w:ascii="Arial" w:cs="Arial" w:eastAsia="Arial" w:hAnsi="Arial"/>
                <w:sz w:val="14"/>
                <w:szCs w:val="14"/>
                <w:b w:val="1"/>
                <w:bCs w:val="1"/>
                <w:color w:val="auto"/>
              </w:rPr>
              <w:t>December 31, 2024</w:t>
            </w:r>
          </w:p>
        </w:tc>
      </w:tr>
      <w:tr>
        <w:trPr>
          <w:trHeight w:val="199"/>
        </w:trPr>
        <w:tc>
          <w:tcPr>
            <w:tcW w:w="7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00" w:type="dxa"/>
            <w:vAlign w:val="bottom"/>
            <w:gridSpan w:val="4"/>
          </w:tcPr>
          <w:p>
            <w:pPr>
              <w:jc w:val="right"/>
              <w:ind w:right="1085"/>
              <w:spacing w:after="0"/>
              <w:rPr>
                <w:sz w:val="20"/>
                <w:szCs w:val="20"/>
                <w:color w:val="auto"/>
              </w:rPr>
            </w:pPr>
            <w:r>
              <w:rPr>
                <w:rFonts w:ascii="Arial" w:cs="Arial" w:eastAsia="Arial" w:hAnsi="Arial"/>
                <w:sz w:val="15"/>
                <w:szCs w:val="15"/>
                <w:b w:val="1"/>
                <w:bCs w:val="1"/>
                <w:color w:val="auto"/>
              </w:rPr>
              <w:t>(Dollars in millions)</w:t>
            </w:r>
          </w:p>
        </w:tc>
      </w:tr>
      <w:tr>
        <w:trPr>
          <w:trHeight w:val="206"/>
        </w:trPr>
        <w:tc>
          <w:tcPr>
            <w:tcW w:w="74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3,822,234</w:t>
            </w:r>
          </w:p>
        </w:tc>
        <w:tc>
          <w:tcPr>
            <w:tcW w:w="16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3,823,840</w:t>
            </w:r>
          </w:p>
        </w:tc>
      </w:tr>
      <w:tr>
        <w:trPr>
          <w:trHeight w:val="208"/>
        </w:trPr>
        <w:tc>
          <w:tcPr>
            <w:tcW w:w="7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6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531,475</w:t>
            </w:r>
          </w:p>
        </w:tc>
        <w:tc>
          <w:tcPr>
            <w:tcW w:w="1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525,891</w:t>
            </w:r>
          </w:p>
        </w:tc>
      </w:tr>
      <w:tr>
        <w:trPr>
          <w:trHeight w:val="199"/>
        </w:trPr>
        <w:tc>
          <w:tcPr>
            <w:tcW w:w="7460" w:type="dxa"/>
            <w:vAlign w:val="bottom"/>
            <w:gridSpan w:val="2"/>
          </w:tcPr>
          <w:p>
            <w:pPr>
              <w:ind w:left="180"/>
              <w:spacing w:after="0"/>
              <w:rPr>
                <w:sz w:val="20"/>
                <w:szCs w:val="20"/>
                <w:color w:val="auto"/>
              </w:rPr>
            </w:pPr>
            <w:r>
              <w:rPr>
                <w:rFonts w:ascii="Arial" w:cs="Arial" w:eastAsia="Arial" w:hAnsi="Arial"/>
                <w:sz w:val="15"/>
                <w:szCs w:val="15"/>
                <w:color w:val="auto"/>
              </w:rPr>
              <w:t>Total assets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4,353,709</w:t>
            </w:r>
          </w:p>
        </w:tc>
        <w:tc>
          <w:tcPr>
            <w:tcW w:w="16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4,349,731</w:t>
            </w:r>
          </w:p>
        </w:tc>
      </w:tr>
      <w:tr>
        <w:trPr>
          <w:trHeight w:val="20"/>
        </w:trPr>
        <w:tc>
          <w:tcPr>
            <w:tcW w:w="730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r>
    </w:tbl>
    <w:p>
      <w:pPr>
        <w:spacing w:after="0" w:line="14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operate our business solely in the United States and its territories, and accordingly, we generate no revenue from and have no long-lived assets, other than financial instruments, in geographic locations other than the United States and its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342900</wp:posOffset>
            </wp:positionV>
            <wp:extent cx="68059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90" w:name="page91"/>
    <w:bookmarkEnd w:id="90"/>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displays our segment results.</w:t>
      </w:r>
    </w:p>
    <w:p>
      <w:pPr>
        <w:spacing w:after="0" w:line="130"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3660" w:type="dxa"/>
            <w:vAlign w:val="bottom"/>
            <w:tcBorders>
              <w:bottom w:val="single" w:sz="8" w:color="2C6937"/>
            </w:tcBorders>
            <w:gridSpan w:val="9"/>
          </w:tcPr>
          <w:p>
            <w:pPr>
              <w:jc w:val="center"/>
              <w:ind w:left="787"/>
              <w:spacing w:after="0"/>
              <w:rPr>
                <w:sz w:val="20"/>
                <w:szCs w:val="20"/>
                <w:color w:val="auto"/>
              </w:rPr>
            </w:pPr>
            <w:r>
              <w:rPr>
                <w:rFonts w:ascii="Arial" w:cs="Arial" w:eastAsia="Arial" w:hAnsi="Arial"/>
                <w:sz w:val="15"/>
                <w:szCs w:val="15"/>
                <w:b w:val="1"/>
                <w:bCs w:val="1"/>
                <w:color w:val="auto"/>
                <w:w w:val="96"/>
              </w:rPr>
              <w:t>For the Three Months Ended March 31,</w:t>
            </w:r>
          </w:p>
        </w:tc>
        <w:tc>
          <w:tcPr>
            <w:tcW w:w="9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r>
      <w:tr>
        <w:trPr>
          <w:trHeight w:val="186"/>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r>
      <w:tr>
        <w:trPr>
          <w:trHeight w:val="225"/>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2C6937"/>
            </w:tcBorders>
            <w:gridSpan w:val="3"/>
          </w:tcPr>
          <w:p>
            <w:pPr>
              <w:ind w:left="60"/>
              <w:spacing w:after="0"/>
              <w:rPr>
                <w:sz w:val="20"/>
                <w:szCs w:val="20"/>
                <w:color w:val="auto"/>
              </w:rPr>
            </w:pPr>
            <w:r>
              <w:rPr>
                <w:rFonts w:ascii="Arial" w:cs="Arial" w:eastAsia="Arial" w:hAnsi="Arial"/>
                <w:sz w:val="15"/>
                <w:szCs w:val="15"/>
                <w:b w:val="1"/>
                <w:bCs w:val="1"/>
                <w:color w:val="auto"/>
              </w:rPr>
              <w:t>Single-Family</w:t>
            </w:r>
          </w:p>
        </w:tc>
        <w:tc>
          <w:tcPr>
            <w:tcW w:w="12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gridSpan w:val="2"/>
          </w:tcPr>
          <w:p>
            <w:pPr>
              <w:ind w:left="140"/>
              <w:spacing w:after="0"/>
              <w:rPr>
                <w:sz w:val="20"/>
                <w:szCs w:val="20"/>
                <w:color w:val="auto"/>
              </w:rPr>
            </w:pPr>
            <w:r>
              <w:rPr>
                <w:rFonts w:ascii="Arial" w:cs="Arial" w:eastAsia="Arial" w:hAnsi="Arial"/>
                <w:sz w:val="15"/>
                <w:szCs w:val="15"/>
                <w:b w:val="1"/>
                <w:bCs w:val="1"/>
                <w:color w:val="auto"/>
              </w:rPr>
              <w:t>Total</w:t>
            </w:r>
          </w:p>
        </w:tc>
        <w:tc>
          <w:tcPr>
            <w:tcW w:w="122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Total</w:t>
            </w:r>
          </w:p>
        </w:tc>
      </w:tr>
      <w:tr>
        <w:trPr>
          <w:trHeight w:val="193"/>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7"/>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32"/>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5,866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7"/>
              <w:spacing w:after="0"/>
              <w:rPr>
                <w:sz w:val="20"/>
                <w:szCs w:val="20"/>
                <w:color w:val="auto"/>
              </w:rPr>
            </w:pPr>
            <w:r>
              <w:rPr>
                <w:rFonts w:ascii="Arial" w:cs="Arial" w:eastAsia="Arial" w:hAnsi="Arial"/>
                <w:sz w:val="15"/>
                <w:szCs w:val="15"/>
                <w:b w:val="1"/>
                <w:bCs w:val="1"/>
                <w:color w:val="auto"/>
              </w:rPr>
              <w:t>1,135</w:t>
            </w:r>
          </w:p>
        </w:tc>
        <w:tc>
          <w:tcPr>
            <w:tcW w:w="100" w:type="dxa"/>
            <w:vAlign w:val="bottom"/>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7,001</w:t>
            </w:r>
          </w:p>
        </w:tc>
        <w:tc>
          <w:tcPr>
            <w:tcW w:w="100" w:type="dxa"/>
            <w:vAlign w:val="bottom"/>
          </w:tcPr>
          <w:p>
            <w:pPr>
              <w:spacing w:after="0"/>
              <w:rPr>
                <w:sz w:val="24"/>
                <w:szCs w:val="24"/>
                <w:color w:val="auto"/>
              </w:rPr>
            </w:pPr>
          </w:p>
        </w:tc>
        <w:tc>
          <w:tcPr>
            <w:tcW w:w="360" w:type="dxa"/>
            <w:vAlign w:val="bottom"/>
          </w:tcPr>
          <w:p>
            <w:pPr>
              <w:jc w:val="right"/>
              <w:ind w:right="18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5,874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1,149</w:t>
            </w:r>
          </w:p>
        </w:tc>
        <w:tc>
          <w:tcPr>
            <w:tcW w:w="100" w:type="dxa"/>
            <w:vAlign w:val="bottom"/>
          </w:tcPr>
          <w:p>
            <w:pPr>
              <w:spacing w:after="0"/>
              <w:rPr>
                <w:sz w:val="24"/>
                <w:szCs w:val="24"/>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7,023</w:t>
            </w:r>
          </w:p>
        </w:tc>
      </w:tr>
      <w:tr>
        <w:trPr>
          <w:trHeight w:val="280"/>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Fee and other income</w:t>
            </w:r>
          </w:p>
        </w:tc>
        <w:tc>
          <w:tcPr>
            <w:tcW w:w="34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84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72</w:t>
            </w:r>
          </w:p>
        </w:tc>
      </w:tr>
      <w:tr>
        <w:trPr>
          <w:trHeight w:val="182"/>
        </w:trPr>
        <w:tc>
          <w:tcPr>
            <w:tcW w:w="3780" w:type="dxa"/>
            <w:vAlign w:val="bottom"/>
            <w:tcBorders>
              <w:top w:val="single" w:sz="8" w:color="2C6937"/>
            </w:tcBorders>
          </w:tcPr>
          <w:p>
            <w:pPr>
              <w:ind w:left="18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5"/>
                <w:szCs w:val="15"/>
                <w:color w:val="auto"/>
              </w:rPr>
            </w:pPr>
          </w:p>
        </w:tc>
        <w:tc>
          <w:tcPr>
            <w:tcW w:w="34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5,931</w:t>
            </w:r>
          </w:p>
        </w:tc>
        <w:tc>
          <w:tcPr>
            <w:tcW w:w="100" w:type="dxa"/>
            <w:vAlign w:val="bottom"/>
          </w:tcPr>
          <w:p>
            <w:pPr>
              <w:spacing w:after="0"/>
              <w:rPr>
                <w:sz w:val="15"/>
                <w:szCs w:val="15"/>
                <w:color w:val="auto"/>
              </w:rPr>
            </w:pPr>
          </w:p>
        </w:tc>
        <w:tc>
          <w:tcPr>
            <w:tcW w:w="120" w:type="dxa"/>
            <w:vAlign w:val="bottom"/>
            <w:tcBorders>
              <w:top w:val="single" w:sz="8" w:color="2C6937"/>
            </w:tcBorders>
          </w:tcPr>
          <w:p>
            <w:pPr>
              <w:spacing w:after="0"/>
              <w:rPr>
                <w:sz w:val="15"/>
                <w:szCs w:val="15"/>
                <w:color w:val="auto"/>
              </w:rPr>
            </w:pPr>
          </w:p>
        </w:tc>
        <w:tc>
          <w:tcPr>
            <w:tcW w:w="100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1,154</w:t>
            </w:r>
          </w:p>
        </w:tc>
        <w:tc>
          <w:tcPr>
            <w:tcW w:w="100" w:type="dxa"/>
            <w:vAlign w:val="bottom"/>
          </w:tcPr>
          <w:p>
            <w:pPr>
              <w:spacing w:after="0"/>
              <w:rPr>
                <w:sz w:val="15"/>
                <w:szCs w:val="15"/>
                <w:color w:val="auto"/>
              </w:rPr>
            </w:pPr>
          </w:p>
        </w:tc>
        <w:tc>
          <w:tcPr>
            <w:tcW w:w="240" w:type="dxa"/>
            <w:vAlign w:val="bottom"/>
            <w:tcBorders>
              <w:top w:val="single" w:sz="8" w:color="2C6937"/>
            </w:tcBorders>
          </w:tcPr>
          <w:p>
            <w:pPr>
              <w:spacing w:after="0"/>
              <w:rPr>
                <w:sz w:val="15"/>
                <w:szCs w:val="15"/>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7,085</w:t>
            </w:r>
          </w:p>
        </w:tc>
        <w:tc>
          <w:tcPr>
            <w:tcW w:w="100" w:type="dxa"/>
            <w:vAlign w:val="bottom"/>
          </w:tcPr>
          <w:p>
            <w:pPr>
              <w:spacing w:after="0"/>
              <w:rPr>
                <w:sz w:val="15"/>
                <w:szCs w:val="15"/>
                <w:color w:val="auto"/>
              </w:rPr>
            </w:pPr>
          </w:p>
        </w:tc>
        <w:tc>
          <w:tcPr>
            <w:tcW w:w="36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5,929</w:t>
            </w:r>
          </w:p>
        </w:tc>
        <w:tc>
          <w:tcPr>
            <w:tcW w:w="10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1,166</w:t>
            </w:r>
          </w:p>
        </w:tc>
        <w:tc>
          <w:tcPr>
            <w:tcW w:w="100" w:type="dxa"/>
            <w:vAlign w:val="bottom"/>
          </w:tcPr>
          <w:p>
            <w:pPr>
              <w:spacing w:after="0"/>
              <w:rPr>
                <w:sz w:val="15"/>
                <w:szCs w:val="15"/>
                <w:color w:val="auto"/>
              </w:rPr>
            </w:pPr>
          </w:p>
        </w:tc>
        <w:tc>
          <w:tcPr>
            <w:tcW w:w="240" w:type="dxa"/>
            <w:vAlign w:val="bottom"/>
            <w:tcBorders>
              <w:top w:val="single" w:sz="8" w:color="2C6937"/>
            </w:tcBorders>
          </w:tcPr>
          <w:p>
            <w:pPr>
              <w:spacing w:after="0"/>
              <w:rPr>
                <w:sz w:val="15"/>
                <w:szCs w:val="15"/>
                <w:color w:val="auto"/>
              </w:rPr>
            </w:pPr>
          </w:p>
        </w:tc>
        <w:tc>
          <w:tcPr>
            <w:tcW w:w="8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7,095</w:t>
            </w:r>
          </w:p>
        </w:tc>
      </w:tr>
      <w:tr>
        <w:trPr>
          <w:trHeight w:val="253"/>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r>
              <w:rPr>
                <w:rFonts w:ascii="Arial" w:cs="Arial" w:eastAsia="Arial" w:hAnsi="Arial"/>
                <w:sz w:val="18"/>
                <w:szCs w:val="18"/>
                <w:color w:val="auto"/>
                <w:vertAlign w:val="superscript"/>
              </w:rPr>
              <w:t>(2)</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335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180</w:t>
            </w:r>
          </w:p>
        </w:tc>
      </w:tr>
      <w:tr>
        <w:trPr>
          <w:trHeight w:val="284"/>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(3)</w:t>
            </w:r>
          </w:p>
        </w:tc>
        <w:tc>
          <w:tcPr>
            <w:tcW w:w="34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b w:val="1"/>
                <w:bCs w:val="1"/>
                <w:color w:val="auto"/>
              </w:rPr>
              <w:t>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484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480</w:t>
            </w:r>
          </w:p>
        </w:tc>
      </w:tr>
      <w:tr>
        <w:trPr>
          <w:trHeight w:val="275"/>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(4)</w:t>
            </w:r>
          </w:p>
        </w:tc>
        <w:tc>
          <w:tcPr>
            <w:tcW w:w="340" w:type="dxa"/>
            <w:vAlign w:val="bottom"/>
          </w:tcPr>
          <w:p>
            <w:pPr>
              <w:spacing w:after="0"/>
              <w:rPr>
                <w:sz w:val="23"/>
                <w:szCs w:val="23"/>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23"/>
                <w:szCs w:val="23"/>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22</w:t>
            </w:r>
          </w:p>
        </w:tc>
      </w:tr>
      <w:tr>
        <w:trPr>
          <w:trHeight w:val="192"/>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3880" w:type="dxa"/>
            <w:vAlign w:val="bottom"/>
            <w:gridSpan w:val="2"/>
          </w:tcPr>
          <w:p>
            <w:pPr>
              <w:ind w:left="12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(5)</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(992)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(889)</w:t>
            </w:r>
          </w:p>
        </w:tc>
      </w:tr>
      <w:tr>
        <w:trPr>
          <w:trHeight w:val="284"/>
        </w:trPr>
        <w:tc>
          <w:tcPr>
            <w:tcW w:w="3880" w:type="dxa"/>
            <w:vAlign w:val="bottom"/>
            <w:gridSpan w:val="2"/>
          </w:tcPr>
          <w:p>
            <w:pPr>
              <w:ind w:left="12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(6)</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(931)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(930)</w:t>
            </w:r>
          </w:p>
        </w:tc>
      </w:tr>
      <w:tr>
        <w:trPr>
          <w:trHeight w:val="309"/>
        </w:trPr>
        <w:tc>
          <w:tcPr>
            <w:tcW w:w="3880" w:type="dxa"/>
            <w:vAlign w:val="bottom"/>
            <w:gridSpan w:val="2"/>
          </w:tcPr>
          <w:p>
            <w:pPr>
              <w:ind w:left="1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(72)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(479)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(419)</w:t>
            </w:r>
          </w:p>
        </w:tc>
      </w:tr>
      <w:tr>
        <w:trPr>
          <w:trHeight w:val="275"/>
        </w:trPr>
        <w:tc>
          <w:tcPr>
            <w:tcW w:w="3880" w:type="dxa"/>
            <w:vAlign w:val="bottom"/>
            <w:gridSpan w:val="2"/>
          </w:tcPr>
          <w:p>
            <w:pPr>
              <w:ind w:left="1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63</w:t>
            </w:r>
          </w:p>
        </w:tc>
      </w:tr>
      <w:tr>
        <w:trPr>
          <w:trHeight w:val="198"/>
        </w:trPr>
        <w:tc>
          <w:tcPr>
            <w:tcW w:w="3880" w:type="dxa"/>
            <w:vAlign w:val="bottom"/>
            <w:gridSpan w:val="2"/>
          </w:tcPr>
          <w:p>
            <w:pPr>
              <w:ind w:left="12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(9)</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(169)</w:t>
            </w:r>
          </w:p>
        </w:tc>
      </w:tr>
      <w:tr>
        <w:trPr>
          <w:trHeight w:val="186"/>
        </w:trPr>
        <w:tc>
          <w:tcPr>
            <w:tcW w:w="3780" w:type="dxa"/>
            <w:vAlign w:val="bottom"/>
            <w:tcBorders>
              <w:top w:val="single" w:sz="8" w:color="2C6937"/>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(2,313)</w:t>
            </w:r>
          </w:p>
        </w:tc>
        <w:tc>
          <w:tcPr>
            <w:tcW w:w="10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(287)</w:t>
            </w: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(2,600)</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(2,208)</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(2,344)</w:t>
            </w:r>
          </w:p>
        </w:tc>
      </w:tr>
      <w:tr>
        <w:trPr>
          <w:trHeight w:val="182"/>
        </w:trPr>
        <w:tc>
          <w:tcPr>
            <w:tcW w:w="3780" w:type="dxa"/>
            <w:vAlign w:val="bottom"/>
          </w:tcPr>
          <w:p>
            <w:pPr>
              <w:ind w:left="20"/>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3,678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b w:val="1"/>
                <w:bCs w:val="1"/>
                <w:color w:val="auto"/>
              </w:rPr>
              <w:t>906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4,584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4,553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5,433</w:t>
            </w:r>
          </w:p>
        </w:tc>
      </w:tr>
      <w:tr>
        <w:trPr>
          <w:trHeight w:val="198"/>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Provision for federal income taxes</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(923)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(1,113)</w:t>
            </w:r>
          </w:p>
        </w:tc>
      </w:tr>
      <w:tr>
        <w:trPr>
          <w:trHeight w:val="186"/>
        </w:trPr>
        <w:tc>
          <w:tcPr>
            <w:tcW w:w="3780" w:type="dxa"/>
            <w:vAlign w:val="bottom"/>
            <w:tcBorders>
              <w:top w:val="single" w:sz="8" w:color="2C6937"/>
              <w:bottom w:val="single" w:sz="8" w:color="2C6937"/>
            </w:tcBorders>
          </w:tcPr>
          <w:p>
            <w:pPr>
              <w:ind w:left="18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2,918</w:t>
            </w:r>
          </w:p>
        </w:tc>
        <w:tc>
          <w:tcPr>
            <w:tcW w:w="10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743</w:t>
            </w: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3,661</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3,607</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713</w:t>
            </w: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4,320</w:t>
            </w:r>
          </w:p>
        </w:tc>
      </w:tr>
      <w:tr>
        <w:trPr>
          <w:trHeight w:val="20"/>
        </w:trPr>
        <w:tc>
          <w:tcPr>
            <w:tcW w:w="3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hanging="237"/>
        <w:spacing w:after="0" w:line="236" w:lineRule="auto"/>
        <w:tabs>
          <w:tab w:leader="none" w:pos="233"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Net interest income primarily consists of guaranty fees received as compensation for assuming the credit risk on loans underlying Fannie Mae MBS held by third parties for the respective business segment, and the difference between the interest income earned on the respective business segment’s assets in our retained mortgage portfolio and our corporate liquidity portfolio and the interest expense associated with the debt funding those assets. Revenues from single-family guaranty fees include revenues generated by the 10 basis point increase in guaranty fees pursuant to the TCCA, the incremental revenue from which is paid to Treasury and not retained by us. Also includes yield maintenance revenue we recognized on the prepayment of multifamily loans.</w:t>
      </w:r>
    </w:p>
    <w:p>
      <w:pPr>
        <w:spacing w:after="0" w:line="13" w:lineRule="exact"/>
        <w:rPr>
          <w:rFonts w:ascii="Arial" w:cs="Arial" w:eastAsia="Arial" w:hAnsi="Arial"/>
          <w:sz w:val="18"/>
          <w:szCs w:val="18"/>
          <w:color w:val="auto"/>
          <w:vertAlign w:val="superscript"/>
        </w:rPr>
      </w:pPr>
    </w:p>
    <w:p>
      <w:pPr>
        <w:ind w:left="220" w:hanging="178"/>
        <w:spacing w:after="0"/>
        <w:tabs>
          <w:tab w:leader="none" w:pos="220" w:val="left"/>
        </w:tabs>
        <w:numPr>
          <w:ilvl w:val="1"/>
          <w:numId w:val="78"/>
        </w:numPr>
        <w:rPr>
          <w:rFonts w:ascii="Arial" w:cs="Arial" w:eastAsia="Arial" w:hAnsi="Arial"/>
          <w:sz w:val="18"/>
          <w:szCs w:val="18"/>
          <w:color w:val="auto"/>
          <w:vertAlign w:val="superscript"/>
        </w:rPr>
      </w:pPr>
      <w:r>
        <w:rPr>
          <w:rFonts w:ascii="Arial" w:cs="Arial" w:eastAsia="Arial" w:hAnsi="Arial"/>
          <w:sz w:val="14"/>
          <w:szCs w:val="14"/>
          <w:color w:val="auto"/>
        </w:rPr>
        <w:t>(Provision) benefit for credit losses is based on loans underlying the segment’s guaranty book of business.</w:t>
      </w:r>
    </w:p>
    <w:p>
      <w:pPr>
        <w:spacing w:after="0" w:line="50" w:lineRule="exact"/>
        <w:rPr>
          <w:rFonts w:ascii="Arial" w:cs="Arial" w:eastAsia="Arial" w:hAnsi="Arial"/>
          <w:sz w:val="18"/>
          <w:szCs w:val="18"/>
          <w:color w:val="auto"/>
          <w:vertAlign w:val="superscript"/>
        </w:rPr>
      </w:pPr>
    </w:p>
    <w:p>
      <w:pPr>
        <w:jc w:val="both"/>
        <w:ind w:left="240" w:right="80" w:hanging="198"/>
        <w:spacing w:after="0" w:line="222" w:lineRule="auto"/>
        <w:tabs>
          <w:tab w:leader="none" w:pos="233" w:val="left"/>
        </w:tabs>
        <w:numPr>
          <w:ilvl w:val="1"/>
          <w:numId w:val="78"/>
        </w:numPr>
        <w:rPr>
          <w:rFonts w:ascii="Arial" w:cs="Arial" w:eastAsia="Arial" w:hAnsi="Arial"/>
          <w:sz w:val="18"/>
          <w:szCs w:val="18"/>
          <w:color w:val="auto"/>
          <w:vertAlign w:val="superscript"/>
        </w:rPr>
      </w:pPr>
      <w:r>
        <w:rPr>
          <w:rFonts w:ascii="Arial" w:cs="Arial" w:eastAsia="Arial" w:hAnsi="Arial"/>
          <w:sz w:val="14"/>
          <w:szCs w:val="14"/>
          <w:color w:val="auto"/>
        </w:rPr>
        <w:t>Single-family fair value gains (losses) primarily consist of fair value gains and losses on risk management and mortgage commitment derivatives, trading securities, fair value option debt, and other financial instruments associated with our single-family guaranty book of business. Multifamily fair value gains (losses) primarily consist of fair value gains and losses on MBS commitment derivatives, trading securities and other financial instruments associated with our multifamily guaranty book of business.</w:t>
      </w:r>
    </w:p>
    <w:p>
      <w:pPr>
        <w:spacing w:after="0" w:line="40" w:lineRule="exact"/>
        <w:rPr>
          <w:rFonts w:ascii="Arial" w:cs="Arial" w:eastAsia="Arial" w:hAnsi="Arial"/>
          <w:sz w:val="18"/>
          <w:szCs w:val="18"/>
          <w:color w:val="auto"/>
          <w:vertAlign w:val="superscript"/>
        </w:rPr>
      </w:pPr>
    </w:p>
    <w:p>
      <w:pPr>
        <w:ind w:left="240" w:right="340" w:hanging="198"/>
        <w:spacing w:after="0" w:line="226" w:lineRule="auto"/>
        <w:tabs>
          <w:tab w:leader="none" w:pos="233" w:val="left"/>
        </w:tabs>
        <w:numPr>
          <w:ilvl w:val="1"/>
          <w:numId w:val="78"/>
        </w:numPr>
        <w:rPr>
          <w:rFonts w:ascii="Arial" w:cs="Arial" w:eastAsia="Arial" w:hAnsi="Arial"/>
          <w:sz w:val="18"/>
          <w:szCs w:val="18"/>
          <w:color w:val="auto"/>
          <w:vertAlign w:val="superscript"/>
        </w:rPr>
      </w:pPr>
      <w:r>
        <w:rPr>
          <w:rFonts w:ascii="Arial" w:cs="Arial" w:eastAsia="Arial" w:hAnsi="Arial"/>
          <w:sz w:val="14"/>
          <w:szCs w:val="14"/>
          <w:color w:val="auto"/>
        </w:rPr>
        <w:t>Single-family investment gains (losses) primarily consist of gains and losses on the sale of mortgage assets. Multifamily investment gains (losses) primarily consist of gains and losses on resecuritization activity.</w:t>
      </w:r>
    </w:p>
    <w:p>
      <w:pPr>
        <w:spacing w:after="0" w:line="13" w:lineRule="exact"/>
        <w:rPr>
          <w:rFonts w:ascii="Arial" w:cs="Arial" w:eastAsia="Arial" w:hAnsi="Arial"/>
          <w:sz w:val="18"/>
          <w:szCs w:val="18"/>
          <w:color w:val="auto"/>
          <w:vertAlign w:val="superscript"/>
        </w:rPr>
      </w:pPr>
    </w:p>
    <w:p>
      <w:pPr>
        <w:ind w:left="220" w:hanging="178"/>
        <w:spacing w:after="0"/>
        <w:tabs>
          <w:tab w:leader="none" w:pos="220" w:val="left"/>
        </w:tabs>
        <w:numPr>
          <w:ilvl w:val="1"/>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37" w:lineRule="exact"/>
        <w:rPr>
          <w:rFonts w:ascii="Arial" w:cs="Arial" w:eastAsia="Arial" w:hAnsi="Arial"/>
          <w:sz w:val="18"/>
          <w:szCs w:val="18"/>
          <w:color w:val="auto"/>
          <w:vertAlign w:val="superscript"/>
        </w:rPr>
      </w:pPr>
    </w:p>
    <w:p>
      <w:pPr>
        <w:ind w:left="240" w:right="60" w:hanging="198"/>
        <w:spacing w:after="0" w:line="260" w:lineRule="auto"/>
        <w:tabs>
          <w:tab w:leader="none" w:pos="233" w:val="left"/>
        </w:tabs>
        <w:numPr>
          <w:ilvl w:val="1"/>
          <w:numId w:val="78"/>
        </w:numPr>
        <w:rPr>
          <w:rFonts w:ascii="Arial" w:cs="Arial" w:eastAsia="Arial" w:hAnsi="Arial"/>
          <w:sz w:val="9"/>
          <w:szCs w:val="9"/>
          <w:color w:val="auto"/>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the affordable housing allocations and FHFA assessments.</w:t>
      </w:r>
    </w:p>
    <w:p>
      <w:pPr>
        <w:spacing w:after="0" w:line="25" w:lineRule="exact"/>
        <w:rPr>
          <w:rFonts w:ascii="Arial" w:cs="Arial" w:eastAsia="Arial" w:hAnsi="Arial"/>
          <w:sz w:val="9"/>
          <w:szCs w:val="9"/>
          <w:color w:val="auto"/>
        </w:rPr>
      </w:pPr>
    </w:p>
    <w:p>
      <w:pPr>
        <w:ind w:left="240" w:right="60" w:hanging="198"/>
        <w:spacing w:after="0" w:line="211" w:lineRule="auto"/>
        <w:tabs>
          <w:tab w:leader="none" w:pos="233" w:val="left"/>
        </w:tabs>
        <w:numPr>
          <w:ilvl w:val="1"/>
          <w:numId w:val="78"/>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include primarily costs associated with our Credit Insurance Risk Transfer</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enterprise-paid mortgage insurance (“EPMI”) programs. Multifamily credit enhancement expense 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CAS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41" w:lineRule="exact"/>
        <w:rPr>
          <w:rFonts w:ascii="Arial" w:cs="Arial" w:eastAsia="Arial" w:hAnsi="Arial"/>
          <w:sz w:val="18"/>
          <w:szCs w:val="18"/>
          <w:color w:val="auto"/>
          <w:vertAlign w:val="superscript"/>
        </w:rPr>
      </w:pPr>
    </w:p>
    <w:p>
      <w:pPr>
        <w:ind w:left="240" w:right="780" w:hanging="198"/>
        <w:spacing w:after="0" w:line="268" w:lineRule="auto"/>
        <w:tabs>
          <w:tab w:leader="none" w:pos="233" w:val="left"/>
        </w:tabs>
        <w:numPr>
          <w:ilvl w:val="1"/>
          <w:numId w:val="78"/>
        </w:numPr>
        <w:rPr>
          <w:rFonts w:ascii="Arial" w:cs="Arial" w:eastAsia="Arial" w:hAnsi="Arial"/>
          <w:sz w:val="9"/>
          <w:szCs w:val="9"/>
          <w:color w:val="auto"/>
        </w:rPr>
      </w:pPr>
      <w:r>
        <w:rPr>
          <w:rFonts w:ascii="Arial" w:cs="Arial" w:eastAsia="Arial" w:hAnsi="Arial"/>
          <w:sz w:val="14"/>
          <w:szCs w:val="14"/>
          <w:color w:val="auto"/>
        </w:rPr>
        <w:t>Consists of change in benefits recognized from our freestanding credit enhancements, primarily from our CAS and CIRT programs, as well as certain lender risk-sharing arrangements, including our multifamily Delegated Underwriting and Servicing (“DUS</w:t>
      </w:r>
      <w:r>
        <w:rPr>
          <w:rFonts w:ascii="Arial" w:cs="Arial" w:eastAsia="Arial" w:hAnsi="Arial"/>
          <w:sz w:val="17"/>
          <w:szCs w:val="17"/>
          <w:color w:val="auto"/>
          <w:vertAlign w:val="superscript"/>
        </w:rPr>
        <w:t>®”</w:t>
      </w:r>
      <w:r>
        <w:rPr>
          <w:rFonts w:ascii="Arial" w:cs="Arial" w:eastAsia="Arial" w:hAnsi="Arial"/>
          <w:sz w:val="14"/>
          <w:szCs w:val="14"/>
          <w:color w:val="auto"/>
        </w:rPr>
        <w:t>) program.</w:t>
      </w:r>
    </w:p>
    <w:p>
      <w:pPr>
        <w:ind w:left="220" w:hanging="178"/>
        <w:spacing w:after="0" w:line="195" w:lineRule="auto"/>
        <w:tabs>
          <w:tab w:leader="none" w:pos="220" w:val="left"/>
        </w:tabs>
        <w:numPr>
          <w:ilvl w:val="1"/>
          <w:numId w:val="78"/>
        </w:numPr>
        <w:rPr>
          <w:rFonts w:ascii="Arial" w:cs="Arial" w:eastAsia="Arial" w:hAnsi="Arial"/>
          <w:sz w:val="18"/>
          <w:szCs w:val="18"/>
          <w:color w:val="auto"/>
          <w:vertAlign w:val="superscript"/>
        </w:rPr>
      </w:pPr>
      <w:r>
        <w:rPr>
          <w:rFonts w:ascii="Arial" w:cs="Arial" w:eastAsia="Arial" w:hAnsi="Arial"/>
          <w:sz w:val="14"/>
          <w:szCs w:val="14"/>
          <w:color w:val="auto"/>
        </w:rPr>
        <w:t>Primarily consists of foreclosed property income (expense) and gains (losses) from partnership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91" w:name="page92"/>
    <w:bookmarkEnd w:id="91"/>
    <w:p>
      <w:pPr>
        <w:ind w:left="5820"/>
        <w:spacing w:after="0"/>
        <w:rPr>
          <w:sz w:val="20"/>
          <w:szCs w:val="20"/>
          <w:color w:val="auto"/>
        </w:rPr>
      </w:pPr>
      <w:r>
        <w:rPr>
          <w:rFonts w:ascii="Arial" w:cs="Arial" w:eastAsia="Arial" w:hAnsi="Arial"/>
          <w:sz w:val="13"/>
          <w:szCs w:val="13"/>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11. Concentrations of Credit Risk</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Risk Characteristics of our Guaranty Book of Business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One of the measures by which management gauges our credit risk is the delinquency status of the mortgage loans in our guaranty book of business.</w:t>
      </w:r>
    </w:p>
    <w:p>
      <w:pPr>
        <w:spacing w:after="0" w:line="87"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For single-family and multifamily loans, management uses this information, in conjunction with housing market data, other economic data, our capital requirements and our mission objectives, to help inform changes to our eligibility and underwriting criteria. Management also uses this data together with other credit risk measures to identify key trends that guide the development of our loss mitigation strategies.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We report the delinquency status of our single-family and multifamily guaranty book of business below.</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Single-Family Credit Risk Characteristics</w:t>
      </w:r>
    </w:p>
    <w:p>
      <w:pPr>
        <w:spacing w:after="0" w:line="6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For single-family loans, management monitors the serious delinquency rate, which is the percentage of single-family loans, based on number of loans, that are 90 days or more past due or in the foreclosure process, and loans that have higher risk characteristics, such as high mark-to-market LTV ratios.</w:t>
      </w:r>
    </w:p>
    <w:p>
      <w:pPr>
        <w:spacing w:after="0" w:line="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single-family conventional guaranty book of business.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hanging="154"/>
        <w:spacing w:after="0" w:line="294" w:lineRule="auto"/>
        <w:rPr>
          <w:sz w:val="20"/>
          <w:szCs w:val="20"/>
          <w:color w:val="auto"/>
        </w:rPr>
      </w:pPr>
      <w:r>
        <w:rPr>
          <w:rFonts w:ascii="Arial" w:cs="Arial" w:eastAsia="Arial" w:hAnsi="Arial"/>
          <w:sz w:val="15"/>
          <w:szCs w:val="15"/>
          <w:color w:val="auto"/>
        </w:rPr>
        <w:t>Percentage of single-family conventional guaranty book of business based on UPB</w:t>
      </w:r>
    </w:p>
    <w:p>
      <w:pPr>
        <w:spacing w:after="0" w:line="3" w:lineRule="exact"/>
        <w:rPr>
          <w:sz w:val="20"/>
          <w:szCs w:val="20"/>
          <w:color w:val="auto"/>
        </w:rPr>
      </w:pPr>
    </w:p>
    <w:p>
      <w:pPr>
        <w:ind w:left="180" w:right="220" w:hanging="154"/>
        <w:spacing w:after="0" w:line="294" w:lineRule="auto"/>
        <w:rPr>
          <w:sz w:val="20"/>
          <w:szCs w:val="20"/>
          <w:color w:val="auto"/>
        </w:rPr>
      </w:pPr>
      <w:r>
        <w:rPr>
          <w:rFonts w:ascii="Arial" w:cs="Arial" w:eastAsia="Arial" w:hAnsi="Arial"/>
          <w:sz w:val="15"/>
          <w:szCs w:val="15"/>
          <w:color w:val="auto"/>
        </w:rPr>
        <w:t>Percentage of single-family conventional loans based on loan count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48545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85457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March 31, 2025</w:t>
            </w:r>
          </w:p>
        </w:tc>
        <w:tc>
          <w:tcPr>
            <w:tcW w:w="12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w w:val="98"/>
              </w:rPr>
              <w:t>December 31, 2024</w:t>
            </w:r>
          </w:p>
        </w:tc>
        <w:tc>
          <w:tcPr>
            <w:tcW w:w="1240" w:type="dxa"/>
            <w:vAlign w:val="bottom"/>
            <w:tcBorders>
              <w:bottom w:val="single" w:sz="8" w:color="2C6937"/>
            </w:tcBorders>
          </w:tcPr>
          <w:p>
            <w:pPr>
              <w:spacing w:after="0"/>
              <w:rPr>
                <w:sz w:val="17"/>
                <w:szCs w:val="17"/>
                <w:color w:val="auto"/>
              </w:rPr>
            </w:pPr>
          </w:p>
        </w:tc>
      </w:tr>
      <w:tr>
        <w:trPr>
          <w:trHeight w:val="184"/>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Seriously</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r>
      <w:tr>
        <w:trPr>
          <w:trHeight w:val="196"/>
        </w:trPr>
        <w:tc>
          <w:tcPr>
            <w:tcW w:w="11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r>
    </w:tbl>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14"/>
        </w:trPr>
        <w:tc>
          <w:tcPr>
            <w:tcW w:w="860" w:type="dxa"/>
            <w:vAlign w:val="bottom"/>
          </w:tcPr>
          <w:p>
            <w:pPr>
              <w:spacing w:after="0"/>
              <w:rPr>
                <w:sz w:val="20"/>
                <w:szCs w:val="20"/>
                <w:color w:val="auto"/>
              </w:rPr>
            </w:pPr>
            <w:r>
              <w:rPr>
                <w:rFonts w:ascii="Arial" w:cs="Arial" w:eastAsia="Arial" w:hAnsi="Arial"/>
                <w:sz w:val="15"/>
                <w:szCs w:val="15"/>
                <w:b w:val="1"/>
                <w:bCs w:val="1"/>
                <w:color w:val="auto"/>
              </w:rPr>
              <w:t>0.84 %</w:t>
            </w:r>
          </w:p>
        </w:tc>
        <w:tc>
          <w:tcPr>
            <w:tcW w:w="1320" w:type="dxa"/>
            <w:vAlign w:val="bottom"/>
          </w:tcPr>
          <w:p>
            <w:pPr>
              <w:ind w:left="400"/>
              <w:spacing w:after="0"/>
              <w:rPr>
                <w:sz w:val="20"/>
                <w:szCs w:val="20"/>
                <w:color w:val="auto"/>
              </w:rPr>
            </w:pPr>
            <w:r>
              <w:rPr>
                <w:rFonts w:ascii="Arial" w:cs="Arial" w:eastAsia="Arial" w:hAnsi="Arial"/>
                <w:sz w:val="15"/>
                <w:szCs w:val="15"/>
                <w:b w:val="1"/>
                <w:bCs w:val="1"/>
                <w:color w:val="auto"/>
              </w:rPr>
              <w:t>0.24 %</w:t>
            </w:r>
          </w:p>
        </w:tc>
        <w:tc>
          <w:tcPr>
            <w:tcW w:w="1020" w:type="dxa"/>
            <w:vAlign w:val="bottom"/>
          </w:tcPr>
          <w:p>
            <w:pPr>
              <w:ind w:left="420"/>
              <w:spacing w:after="0"/>
              <w:rPr>
                <w:sz w:val="20"/>
                <w:szCs w:val="20"/>
                <w:color w:val="auto"/>
              </w:rPr>
            </w:pPr>
            <w:r>
              <w:rPr>
                <w:rFonts w:ascii="Arial" w:cs="Arial" w:eastAsia="Arial" w:hAnsi="Arial"/>
                <w:sz w:val="15"/>
                <w:szCs w:val="15"/>
                <w:b w:val="1"/>
                <w:bCs w:val="1"/>
                <w:color w:val="auto"/>
              </w:rPr>
              <w:t>0.60 %</w:t>
            </w:r>
          </w:p>
        </w:tc>
        <w:tc>
          <w:tcPr>
            <w:tcW w:w="1540" w:type="dxa"/>
            <w:vAlign w:val="bottom"/>
          </w:tcPr>
          <w:p>
            <w:pPr>
              <w:ind w:left="680"/>
              <w:spacing w:after="0"/>
              <w:rPr>
                <w:sz w:val="20"/>
                <w:szCs w:val="20"/>
                <w:color w:val="auto"/>
              </w:rPr>
            </w:pPr>
            <w:r>
              <w:rPr>
                <w:rFonts w:ascii="Arial" w:cs="Arial" w:eastAsia="Arial" w:hAnsi="Arial"/>
                <w:sz w:val="15"/>
                <w:szCs w:val="15"/>
                <w:color w:val="auto"/>
              </w:rPr>
              <w:t>1.00 %</w:t>
            </w:r>
          </w:p>
        </w:tc>
        <w:tc>
          <w:tcPr>
            <w:tcW w:w="1320" w:type="dxa"/>
            <w:vAlign w:val="bottom"/>
          </w:tcPr>
          <w:p>
            <w:pPr>
              <w:ind w:left="400"/>
              <w:spacing w:after="0"/>
              <w:rPr>
                <w:sz w:val="20"/>
                <w:szCs w:val="20"/>
                <w:color w:val="auto"/>
              </w:rPr>
            </w:pPr>
            <w:r>
              <w:rPr>
                <w:rFonts w:ascii="Arial" w:cs="Arial" w:eastAsia="Arial" w:hAnsi="Arial"/>
                <w:sz w:val="15"/>
                <w:szCs w:val="15"/>
                <w:color w:val="auto"/>
              </w:rPr>
              <w:t>0.28 %</w:t>
            </w:r>
          </w:p>
        </w:tc>
        <w:tc>
          <w:tcPr>
            <w:tcW w:w="900" w:type="dxa"/>
            <w:vAlign w:val="bottom"/>
          </w:tcPr>
          <w:p>
            <w:pPr>
              <w:ind w:left="420"/>
              <w:spacing w:after="0"/>
              <w:rPr>
                <w:sz w:val="20"/>
                <w:szCs w:val="20"/>
                <w:color w:val="auto"/>
              </w:rPr>
            </w:pPr>
            <w:r>
              <w:rPr>
                <w:rFonts w:ascii="Arial" w:cs="Arial" w:eastAsia="Arial" w:hAnsi="Arial"/>
                <w:sz w:val="15"/>
                <w:szCs w:val="15"/>
                <w:color w:val="auto"/>
                <w:w w:val="98"/>
              </w:rPr>
              <w:t>0.60 %</w:t>
            </w:r>
          </w:p>
        </w:tc>
      </w:tr>
      <w:tr>
        <w:trPr>
          <w:trHeight w:val="425"/>
        </w:trPr>
        <w:tc>
          <w:tcPr>
            <w:tcW w:w="860" w:type="dxa"/>
            <w:vAlign w:val="bottom"/>
          </w:tcPr>
          <w:p>
            <w:pPr>
              <w:spacing w:after="0"/>
              <w:rPr>
                <w:sz w:val="20"/>
                <w:szCs w:val="20"/>
                <w:color w:val="auto"/>
              </w:rPr>
            </w:pPr>
            <w:r>
              <w:rPr>
                <w:rFonts w:ascii="Arial" w:cs="Arial" w:eastAsia="Arial" w:hAnsi="Arial"/>
                <w:sz w:val="15"/>
                <w:szCs w:val="15"/>
                <w:b w:val="1"/>
                <w:bCs w:val="1"/>
                <w:color w:val="auto"/>
              </w:rPr>
              <w:t>0.90</w:t>
            </w:r>
          </w:p>
        </w:tc>
        <w:tc>
          <w:tcPr>
            <w:tcW w:w="1320" w:type="dxa"/>
            <w:vAlign w:val="bottom"/>
          </w:tcPr>
          <w:p>
            <w:pPr>
              <w:ind w:left="400"/>
              <w:spacing w:after="0"/>
              <w:rPr>
                <w:sz w:val="20"/>
                <w:szCs w:val="20"/>
                <w:color w:val="auto"/>
              </w:rPr>
            </w:pPr>
            <w:r>
              <w:rPr>
                <w:rFonts w:ascii="Arial" w:cs="Arial" w:eastAsia="Arial" w:hAnsi="Arial"/>
                <w:sz w:val="15"/>
                <w:szCs w:val="15"/>
                <w:b w:val="1"/>
                <w:bCs w:val="1"/>
                <w:color w:val="auto"/>
              </w:rPr>
              <w:t>0.24</w:t>
            </w:r>
          </w:p>
        </w:tc>
        <w:tc>
          <w:tcPr>
            <w:tcW w:w="1020" w:type="dxa"/>
            <w:vAlign w:val="bottom"/>
          </w:tcPr>
          <w:p>
            <w:pPr>
              <w:ind w:left="420"/>
              <w:spacing w:after="0"/>
              <w:rPr>
                <w:sz w:val="20"/>
                <w:szCs w:val="20"/>
                <w:color w:val="auto"/>
              </w:rPr>
            </w:pPr>
            <w:r>
              <w:rPr>
                <w:rFonts w:ascii="Arial" w:cs="Arial" w:eastAsia="Arial" w:hAnsi="Arial"/>
                <w:sz w:val="15"/>
                <w:szCs w:val="15"/>
                <w:b w:val="1"/>
                <w:bCs w:val="1"/>
                <w:color w:val="auto"/>
              </w:rPr>
              <w:t>0.56</w:t>
            </w:r>
          </w:p>
        </w:tc>
        <w:tc>
          <w:tcPr>
            <w:tcW w:w="1540" w:type="dxa"/>
            <w:vAlign w:val="bottom"/>
          </w:tcPr>
          <w:p>
            <w:pPr>
              <w:ind w:left="680"/>
              <w:spacing w:after="0"/>
              <w:rPr>
                <w:sz w:val="20"/>
                <w:szCs w:val="20"/>
                <w:color w:val="auto"/>
              </w:rPr>
            </w:pPr>
            <w:r>
              <w:rPr>
                <w:rFonts w:ascii="Arial" w:cs="Arial" w:eastAsia="Arial" w:hAnsi="Arial"/>
                <w:sz w:val="15"/>
                <w:szCs w:val="15"/>
                <w:color w:val="auto"/>
              </w:rPr>
              <w:t>1.05</w:t>
            </w:r>
          </w:p>
        </w:tc>
        <w:tc>
          <w:tcPr>
            <w:tcW w:w="1320" w:type="dxa"/>
            <w:vAlign w:val="bottom"/>
          </w:tcPr>
          <w:p>
            <w:pPr>
              <w:ind w:left="400"/>
              <w:spacing w:after="0"/>
              <w:rPr>
                <w:sz w:val="20"/>
                <w:szCs w:val="20"/>
                <w:color w:val="auto"/>
              </w:rPr>
            </w:pPr>
            <w:r>
              <w:rPr>
                <w:rFonts w:ascii="Arial" w:cs="Arial" w:eastAsia="Arial" w:hAnsi="Arial"/>
                <w:sz w:val="15"/>
                <w:szCs w:val="15"/>
                <w:color w:val="auto"/>
              </w:rPr>
              <w:t>0.29</w:t>
            </w:r>
          </w:p>
        </w:tc>
        <w:tc>
          <w:tcPr>
            <w:tcW w:w="900" w:type="dxa"/>
            <w:vAlign w:val="bottom"/>
          </w:tcPr>
          <w:p>
            <w:pPr>
              <w:ind w:left="420"/>
              <w:spacing w:after="0"/>
              <w:rPr>
                <w:sz w:val="20"/>
                <w:szCs w:val="20"/>
                <w:color w:val="auto"/>
              </w:rPr>
            </w:pPr>
            <w:r>
              <w:rPr>
                <w:rFonts w:ascii="Arial" w:cs="Arial" w:eastAsia="Arial" w:hAnsi="Arial"/>
                <w:sz w:val="15"/>
                <w:szCs w:val="15"/>
                <w:color w:val="auto"/>
              </w:rPr>
              <w:t>0.56</w:t>
            </w:r>
          </w:p>
        </w:tc>
      </w:tr>
      <w:tr>
        <w:trPr>
          <w:trHeight w:val="32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8890</wp:posOffset>
            </wp:positionV>
            <wp:extent cx="450278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3440" w:space="120"/>
            <w:col w:w="7680"/>
          </w:cols>
          <w:pgMar w:left="320" w:top="248" w:right="33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3580" w:type="dxa"/>
            <w:vAlign w:val="bottom"/>
            <w:gridSpan w:val="4"/>
          </w:tcPr>
          <w:p>
            <w:pPr>
              <w:ind w:left="1240"/>
              <w:spacing w:after="0"/>
              <w:rPr>
                <w:sz w:val="20"/>
                <w:szCs w:val="20"/>
                <w:color w:val="auto"/>
              </w:rPr>
            </w:pPr>
            <w:r>
              <w:rPr>
                <w:rFonts w:ascii="Arial" w:cs="Arial" w:eastAsia="Arial" w:hAnsi="Arial"/>
                <w:sz w:val="14"/>
                <w:szCs w:val="14"/>
                <w:b w:val="1"/>
                <w:bCs w:val="1"/>
                <w:color w:val="auto"/>
              </w:rPr>
              <w:t>March 31, 2025</w:t>
            </w:r>
          </w:p>
        </w:tc>
        <w:tc>
          <w:tcPr>
            <w:tcW w:w="35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940" w:type="dxa"/>
            <w:vAlign w:val="bottom"/>
            <w:tcBorders>
              <w:top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w:t>
            </w:r>
          </w:p>
        </w:tc>
        <w:tc>
          <w:tcPr>
            <w:tcW w:w="154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top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7"/>
              </w:rPr>
              <w:t>Percentage of</w:t>
            </w:r>
          </w:p>
        </w:tc>
        <w:tc>
          <w:tcPr>
            <w:tcW w:w="154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2"/>
                <w:szCs w:val="12"/>
                <w:color w:val="auto"/>
              </w:rPr>
            </w:pPr>
          </w:p>
        </w:tc>
        <w:tc>
          <w:tcPr>
            <w:tcW w:w="19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9"/>
              </w:rPr>
              <w:t>Conventional</w:t>
            </w: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Serious Delinquency</w:t>
            </w:r>
          </w:p>
        </w:tc>
        <w:tc>
          <w:tcPr>
            <w:tcW w:w="19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Conventional</w:t>
            </w: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Serious Delinquency</w:t>
            </w:r>
          </w:p>
        </w:tc>
        <w:tc>
          <w:tcPr>
            <w:tcW w:w="0" w:type="dxa"/>
            <w:vAlign w:val="bottom"/>
          </w:tcPr>
          <w:p>
            <w:pPr>
              <w:spacing w:after="0"/>
              <w:rPr>
                <w:sz w:val="1"/>
                <w:szCs w:val="1"/>
                <w:color w:val="auto"/>
              </w:rPr>
            </w:pPr>
          </w:p>
        </w:tc>
      </w:tr>
      <w:tr>
        <w:trPr>
          <w:trHeight w:val="145"/>
        </w:trPr>
        <w:tc>
          <w:tcPr>
            <w:tcW w:w="4140" w:type="dxa"/>
            <w:vAlign w:val="bottom"/>
          </w:tcPr>
          <w:p>
            <w:pPr>
              <w:spacing w:after="0"/>
              <w:rPr>
                <w:sz w:val="12"/>
                <w:szCs w:val="12"/>
                <w:color w:val="auto"/>
              </w:rPr>
            </w:pPr>
          </w:p>
        </w:tc>
        <w:tc>
          <w:tcPr>
            <w:tcW w:w="19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8"/>
              </w:rPr>
              <w:t>Guaranty Book of Business</w:t>
            </w:r>
          </w:p>
        </w:tc>
        <w:tc>
          <w:tcPr>
            <w:tcW w:w="1640" w:type="dxa"/>
            <w:vAlign w:val="bottom"/>
            <w:gridSpan w:val="2"/>
            <w:vMerge w:val="continue"/>
          </w:tcPr>
          <w:p>
            <w:pPr>
              <w:spacing w:after="0"/>
              <w:rPr>
                <w:sz w:val="12"/>
                <w:szCs w:val="12"/>
                <w:color w:val="auto"/>
              </w:rPr>
            </w:pPr>
          </w:p>
        </w:tc>
        <w:tc>
          <w:tcPr>
            <w:tcW w:w="19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8"/>
              </w:rPr>
              <w:t>Guaranty Book of Business</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640" w:type="dxa"/>
            <w:vAlign w:val="bottom"/>
            <w:gridSpan w:val="2"/>
          </w:tcPr>
          <w:p>
            <w:pPr>
              <w:ind w:left="620"/>
              <w:spacing w:after="0"/>
              <w:rPr>
                <w:sz w:val="20"/>
                <w:szCs w:val="20"/>
                <w:color w:val="auto"/>
              </w:rPr>
            </w:pPr>
            <w:r>
              <w:rPr>
                <w:rFonts w:ascii="Arial" w:cs="Arial" w:eastAsia="Arial" w:hAnsi="Arial"/>
                <w:sz w:val="14"/>
                <w:szCs w:val="14"/>
                <w:b w:val="1"/>
                <w:bCs w:val="1"/>
                <w:color w:val="auto"/>
              </w:rPr>
              <w:t>Rate</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Based on UPB</w:t>
            </w:r>
          </w:p>
        </w:tc>
        <w:tc>
          <w:tcPr>
            <w:tcW w:w="1540" w:type="dxa"/>
            <w:vAlign w:val="bottom"/>
          </w:tcPr>
          <w:p>
            <w:pPr>
              <w:ind w:left="62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5"/>
                <w:szCs w:val="15"/>
                <w:b w:val="1"/>
                <w:bCs w:val="1"/>
                <w:color w:val="auto"/>
              </w:rPr>
              <w:t>Estimated mark-to-market LTV ratio:</w:t>
            </w:r>
          </w:p>
        </w:tc>
        <w:tc>
          <w:tcPr>
            <w:tcW w:w="184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40" w:type="dxa"/>
            <w:vAlign w:val="bottom"/>
          </w:tcPr>
          <w:p>
            <w:pPr>
              <w:ind w:left="160"/>
              <w:spacing w:after="0"/>
              <w:rPr>
                <w:sz w:val="20"/>
                <w:szCs w:val="20"/>
                <w:color w:val="auto"/>
              </w:rPr>
            </w:pPr>
            <w:r>
              <w:rPr>
                <w:rFonts w:ascii="Arial" w:cs="Arial" w:eastAsia="Arial" w:hAnsi="Arial"/>
                <w:sz w:val="15"/>
                <w:szCs w:val="15"/>
                <w:color w:val="auto"/>
              </w:rPr>
              <w:t>80.01% to 90%</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6 %</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1.00 %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6 %</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0.97 %</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90.01% to 100%</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0.83</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0.77</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Greater than 100%</w:t>
            </w:r>
          </w:p>
        </w:tc>
        <w:tc>
          <w:tcPr>
            <w:tcW w:w="184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3.26</w:t>
            </w:r>
          </w:p>
        </w:tc>
        <w:tc>
          <w:tcPr>
            <w:tcW w:w="100" w:type="dxa"/>
            <w:vAlign w:val="bottom"/>
          </w:tcPr>
          <w:p>
            <w:pPr>
              <w:spacing w:after="0"/>
              <w:rPr>
                <w:sz w:val="20"/>
                <w:szCs w:val="20"/>
                <w:color w:val="auto"/>
              </w:rPr>
            </w:pPr>
          </w:p>
        </w:tc>
        <w:tc>
          <w:tcPr>
            <w:tcW w:w="18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19"/>
        </w:trPr>
        <w:tc>
          <w:tcPr>
            <w:tcW w:w="4140" w:type="dxa"/>
            <w:vAlign w:val="bottom"/>
          </w:tcPr>
          <w:p>
            <w:pPr>
              <w:spacing w:after="0"/>
              <w:rPr>
                <w:sz w:val="20"/>
                <w:szCs w:val="20"/>
                <w:color w:val="auto"/>
              </w:rPr>
            </w:pPr>
            <w:r>
              <w:rPr>
                <w:rFonts w:ascii="Arial" w:cs="Arial" w:eastAsia="Arial" w:hAnsi="Arial"/>
                <w:sz w:val="15"/>
                <w:szCs w:val="15"/>
                <w:b w:val="1"/>
                <w:bCs w:val="1"/>
                <w:color w:val="auto"/>
              </w:rPr>
              <w:t>Geographical distribution:</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40" w:type="dxa"/>
            <w:vAlign w:val="bottom"/>
          </w:tcPr>
          <w:p>
            <w:pPr>
              <w:ind w:left="160"/>
              <w:spacing w:after="0"/>
              <w:rPr>
                <w:sz w:val="20"/>
                <w:szCs w:val="20"/>
                <w:color w:val="auto"/>
              </w:rPr>
            </w:pPr>
            <w:r>
              <w:rPr>
                <w:rFonts w:ascii="Arial" w:cs="Arial" w:eastAsia="Arial" w:hAnsi="Arial"/>
                <w:sz w:val="15"/>
                <w:szCs w:val="15"/>
                <w:color w:val="auto"/>
              </w:rPr>
              <w:t>California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0.43</w:t>
            </w:r>
          </w:p>
        </w:tc>
        <w:tc>
          <w:tcPr>
            <w:tcW w:w="100" w:type="dxa"/>
            <w:vAlign w:val="bottom"/>
          </w:tcPr>
          <w:p>
            <w:pPr>
              <w:spacing w:after="0"/>
              <w:rPr>
                <w:sz w:val="21"/>
                <w:szCs w:val="21"/>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0.41</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Florida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0.96</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0.96</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Illinois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0.69</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0.69</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New York</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0.77</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0.79</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Texas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0.69</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0.73</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All other states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60</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0.50</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00" w:hanging="197"/>
        <w:spacing w:after="0"/>
        <w:tabs>
          <w:tab w:leader="none" w:pos="2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116"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Multifamily Credit Risk Characteristics</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For multifamily loans, management monitors the serious delinquency rate, which is the percentage of multifamily loans, based on unpaid principal balance, that are 60 days or more past due, and loans with other higher risk characteristics to determine the overall credit quality of our multifamily book of business. Higher risk characteristics include, but are not limited to, current debt service coverage ratio (“DSCR”) below 1.0 and original LTV ratio greater than 80%. We stratify multifamily loans into different internal risk categories based on the credit risk inherent in each individual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363855</wp:posOffset>
            </wp:positionV>
            <wp:extent cx="680593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92" w:name="page93"/>
    <w:bookmarkEnd w:id="92"/>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multifamily guaranty book of business.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Percentage of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Original LTV ratio:</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Greater than 80%</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Less than or equal to 80%</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DSCR below 1.0</w:t>
      </w:r>
      <w:r>
        <w:rPr>
          <w:rFonts w:ascii="Arial" w:cs="Arial" w:eastAsia="Arial" w:hAnsi="Arial"/>
          <w:sz w:val="20"/>
          <w:szCs w:val="20"/>
          <w:b w:val="1"/>
          <w:bCs w:val="1"/>
          <w:color w:val="auto"/>
          <w:vertAlign w:val="superscript"/>
        </w:rPr>
        <w:t>(4)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120"/>
        <w:spacing w:after="0"/>
        <w:rPr>
          <w:sz w:val="20"/>
          <w:szCs w:val="20"/>
          <w:color w:val="auto"/>
        </w:rPr>
      </w:pPr>
      <w:r>
        <w:rPr>
          <w:rFonts w:ascii="Arial" w:cs="Arial" w:eastAsia="Arial" w:hAnsi="Arial"/>
          <w:sz w:val="14"/>
          <w:szCs w:val="14"/>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40" w:type="dxa"/>
            <w:vAlign w:val="bottom"/>
            <w:tcBorders>
              <w:top w:val="single" w:sz="8" w:color="2C6937"/>
              <w:bottom w:val="single" w:sz="8" w:color="2C6937"/>
            </w:tcBorders>
            <w:gridSpan w:val="4"/>
          </w:tcPr>
          <w:p>
            <w:pPr>
              <w:jc w:val="right"/>
              <w:ind w:right="990"/>
              <w:spacing w:after="0"/>
              <w:rPr>
                <w:sz w:val="20"/>
                <w:szCs w:val="20"/>
                <w:color w:val="auto"/>
              </w:rPr>
            </w:pPr>
            <w:r>
              <w:rPr>
                <w:rFonts w:ascii="Arial" w:cs="Arial" w:eastAsia="Arial" w:hAnsi="Arial"/>
                <w:sz w:val="14"/>
                <w:szCs w:val="14"/>
                <w:b w:val="1"/>
                <w:bCs w:val="1"/>
                <w:color w:val="auto"/>
              </w:rPr>
              <w:t>March 31, 2025</w:t>
            </w:r>
            <w:r>
              <w:rPr>
                <w:rFonts w:ascii="Arial" w:cs="Arial" w:eastAsia="Arial" w:hAnsi="Arial"/>
                <w:sz w:val="17"/>
                <w:szCs w:val="17"/>
                <w:b w:val="1"/>
                <w:bCs w:val="1"/>
                <w:color w:val="auto"/>
                <w:vertAlign w:val="superscript"/>
              </w:rPr>
              <w:t>(1)</w:t>
            </w:r>
          </w:p>
        </w:tc>
        <w:tc>
          <w:tcPr>
            <w:tcW w:w="100" w:type="dxa"/>
            <w:vAlign w:val="bottom"/>
            <w:tcBorders>
              <w:top w:val="single" w:sz="8" w:color="2C6937"/>
            </w:tcBorders>
          </w:tcPr>
          <w:p>
            <w:pPr>
              <w:spacing w:after="0"/>
              <w:rPr>
                <w:sz w:val="17"/>
                <w:szCs w:val="17"/>
                <w:color w:val="auto"/>
              </w:rPr>
            </w:pPr>
          </w:p>
        </w:tc>
        <w:tc>
          <w:tcPr>
            <w:tcW w:w="3240" w:type="dxa"/>
            <w:vAlign w:val="bottom"/>
            <w:tcBorders>
              <w:top w:val="single" w:sz="8" w:color="2C6937"/>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5"/>
              </w:rPr>
              <w:t>December 31, 2024</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2"/>
        </w:trPr>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18"/>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0.17 %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0.63 %</w:t>
            </w:r>
          </w:p>
        </w:tc>
        <w:tc>
          <w:tcPr>
            <w:tcW w:w="100" w:type="dxa"/>
            <w:vAlign w:val="bottom"/>
          </w:tcPr>
          <w:p>
            <w:pPr>
              <w:spacing w:after="0"/>
              <w:rPr>
                <w:sz w:val="19"/>
                <w:szCs w:val="19"/>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0.10 %</w:t>
            </w:r>
          </w:p>
        </w:tc>
        <w:tc>
          <w:tcPr>
            <w:tcW w:w="120" w:type="dxa"/>
            <w:vAlign w:val="bottom"/>
          </w:tcPr>
          <w:p>
            <w:pPr>
              <w:spacing w:after="0"/>
              <w:rPr>
                <w:sz w:val="19"/>
                <w:szCs w:val="19"/>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0.57 %</w:t>
            </w:r>
          </w:p>
        </w:tc>
        <w:tc>
          <w:tcPr>
            <w:tcW w:w="0" w:type="dxa"/>
            <w:vAlign w:val="bottom"/>
          </w:tcPr>
          <w:p>
            <w:pPr>
              <w:spacing w:after="0"/>
              <w:rPr>
                <w:sz w:val="1"/>
                <w:szCs w:val="1"/>
                <w:color w:val="auto"/>
              </w:rPr>
            </w:pPr>
          </w:p>
        </w:tc>
      </w:tr>
      <w:tr>
        <w:trPr>
          <w:trHeight w:val="399"/>
        </w:trPr>
        <w:tc>
          <w:tcPr>
            <w:tcW w:w="15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3340" w:type="dxa"/>
            <w:vAlign w:val="bottom"/>
            <w:tcBorders>
              <w:bottom w:val="single" w:sz="8" w:color="2C6937"/>
            </w:tcBorders>
            <w:gridSpan w:val="4"/>
          </w:tcPr>
          <w:p>
            <w:pPr>
              <w:ind w:left="14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40" w:type="dxa"/>
            <w:vAlign w:val="bottom"/>
            <w:tcBorders>
              <w:bottom w:val="single" w:sz="8" w:color="2C6937"/>
            </w:tcBorders>
            <w:gridSpan w:val="4"/>
          </w:tcPr>
          <w:p>
            <w:pPr>
              <w:jc w:val="right"/>
              <w:ind w:right="1070"/>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6"/>
                <w:szCs w:val="16"/>
                <w:color w:val="auto"/>
              </w:rPr>
            </w:pPr>
          </w:p>
        </w:tc>
        <w:tc>
          <w:tcPr>
            <w:tcW w:w="324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December 31, 2024</w:t>
            </w:r>
          </w:p>
        </w:tc>
        <w:tc>
          <w:tcPr>
            <w:tcW w:w="0" w:type="dxa"/>
            <w:vAlign w:val="bottom"/>
          </w:tcPr>
          <w:p>
            <w:pPr>
              <w:spacing w:after="0"/>
              <w:rPr>
                <w:sz w:val="1"/>
                <w:szCs w:val="1"/>
                <w:color w:val="auto"/>
              </w:rPr>
            </w:pPr>
          </w:p>
        </w:tc>
      </w:tr>
      <w:tr>
        <w:trPr>
          <w:trHeight w:val="178"/>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Serious Delinquency</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0" w:type="dxa"/>
            <w:vAlign w:val="bottom"/>
          </w:tcPr>
          <w:p>
            <w:pPr>
              <w:spacing w:after="0"/>
              <w:rPr>
                <w:sz w:val="1"/>
                <w:szCs w:val="1"/>
                <w:color w:val="auto"/>
              </w:rPr>
            </w:pPr>
          </w:p>
        </w:tc>
      </w:tr>
      <w:tr>
        <w:trPr>
          <w:trHeight w:val="153"/>
        </w:trPr>
        <w:tc>
          <w:tcPr>
            <w:tcW w:w="16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Multifamily Guaranty</w:t>
            </w:r>
          </w:p>
        </w:tc>
        <w:tc>
          <w:tcPr>
            <w:tcW w:w="1660" w:type="dxa"/>
            <w:vAlign w:val="bottom"/>
            <w:gridSpan w:val="2"/>
            <w:vMerge w:val="continue"/>
          </w:tcPr>
          <w:p>
            <w:pPr>
              <w:spacing w:after="0"/>
              <w:rPr>
                <w:sz w:val="13"/>
                <w:szCs w:val="13"/>
                <w:color w:val="auto"/>
              </w:rPr>
            </w:pPr>
          </w:p>
        </w:tc>
        <w:tc>
          <w:tcPr>
            <w:tcW w:w="16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Multifamily Guaranty</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Book of Business</w:t>
            </w:r>
            <w:r>
              <w:rPr>
                <w:rFonts w:ascii="Arial" w:cs="Arial" w:eastAsia="Arial" w:hAnsi="Arial"/>
                <w:sz w:val="8"/>
                <w:szCs w:val="8"/>
                <w:b w:val="1"/>
                <w:bCs w:val="1"/>
                <w:color w:val="auto"/>
                <w:w w:val="99"/>
              </w:rPr>
              <w:t>(1)</w:t>
            </w:r>
          </w:p>
        </w:tc>
        <w:tc>
          <w:tcPr>
            <w:tcW w:w="1660" w:type="dxa"/>
            <w:vAlign w:val="bottom"/>
            <w:gridSpan w:val="2"/>
          </w:tcPr>
          <w:p>
            <w:pPr>
              <w:jc w:val="center"/>
              <w:ind w:right="140"/>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Book of Business</w:t>
            </w:r>
            <w:r>
              <w:rPr>
                <w:rFonts w:ascii="Arial" w:cs="Arial" w:eastAsia="Arial" w:hAnsi="Arial"/>
                <w:sz w:val="8"/>
                <w:szCs w:val="8"/>
                <w:b w:val="1"/>
                <w:bCs w:val="1"/>
                <w:color w:val="auto"/>
                <w:w w:val="99"/>
              </w:rPr>
              <w:t>(1)</w:t>
            </w:r>
          </w:p>
        </w:tc>
        <w:tc>
          <w:tcPr>
            <w:tcW w:w="1560" w:type="dxa"/>
            <w:vAlign w:val="bottom"/>
          </w:tcPr>
          <w:p>
            <w:pPr>
              <w:jc w:val="center"/>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0" w:type="dxa"/>
            <w:vAlign w:val="bottom"/>
          </w:tcPr>
          <w:p>
            <w:pPr>
              <w:spacing w:after="0"/>
              <w:rPr>
                <w:sz w:val="1"/>
                <w:szCs w:val="1"/>
                <w:color w:val="auto"/>
              </w:rPr>
            </w:pPr>
          </w:p>
        </w:tc>
      </w:tr>
      <w:tr>
        <w:trPr>
          <w:trHeight w:val="451"/>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1 %</w:t>
            </w:r>
          </w:p>
        </w:tc>
        <w:tc>
          <w:tcPr>
            <w:tcW w:w="100" w:type="dxa"/>
            <w:vAlign w:val="bottom"/>
          </w:tcPr>
          <w:p>
            <w:pPr>
              <w:spacing w:after="0"/>
              <w:rPr>
                <w:sz w:val="24"/>
                <w:szCs w:val="24"/>
                <w:color w:val="auto"/>
              </w:rPr>
            </w:pPr>
          </w:p>
        </w:tc>
        <w:tc>
          <w:tcPr>
            <w:tcW w:w="20" w:type="dxa"/>
            <w:vAlign w:val="bottom"/>
            <w:tcBorders>
              <w:top w:val="single" w:sz="8" w:color="2C6937"/>
            </w:tcBorders>
          </w:tcPr>
          <w:p>
            <w:pPr>
              <w:spacing w:after="0"/>
              <w:rPr>
                <w:sz w:val="24"/>
                <w:szCs w:val="24"/>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0.11 %</w:t>
            </w:r>
          </w:p>
        </w:tc>
        <w:tc>
          <w:tcPr>
            <w:tcW w:w="100" w:type="dxa"/>
            <w:vAlign w:val="bottom"/>
          </w:tcPr>
          <w:p>
            <w:pPr>
              <w:spacing w:after="0"/>
              <w:rPr>
                <w:sz w:val="24"/>
                <w:szCs w:val="24"/>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1 %</w:t>
            </w:r>
          </w:p>
        </w:tc>
        <w:tc>
          <w:tcPr>
            <w:tcW w:w="120" w:type="dxa"/>
            <w:vAlign w:val="bottom"/>
          </w:tcPr>
          <w:p>
            <w:pPr>
              <w:spacing w:after="0"/>
              <w:rPr>
                <w:sz w:val="24"/>
                <w:szCs w:val="24"/>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0.12 %</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5"/>
                <w:szCs w:val="15"/>
                <w:b w:val="1"/>
                <w:bCs w:val="1"/>
                <w:color w:val="auto"/>
              </w:rPr>
              <w:t>0.63</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5"/>
                <w:szCs w:val="15"/>
                <w:b w:val="1"/>
                <w:bCs w:val="1"/>
                <w:color w:val="auto"/>
              </w:rPr>
              <w:t>5.38</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2">
            <w:col w:w="3940" w:space="720"/>
            <w:col w:w="6580"/>
          </w:cols>
          <w:pgMar w:left="320" w:top="248" w:right="339" w:bottom="1440" w:gutter="0" w:footer="0" w:header="0"/>
          <w:type w:val="continuous"/>
        </w:sectPr>
      </w:pPr>
    </w:p>
    <w:p>
      <w:pPr>
        <w:ind w:left="240" w:right="400" w:hanging="237"/>
        <w:spacing w:after="0" w:line="218" w:lineRule="auto"/>
        <w:tabs>
          <w:tab w:leader="none" w:pos="233"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multifamily loans for each category divided by the aggregate unpaid principal balance of loans in our multifamily guaranty book of business.</w:t>
      </w:r>
    </w:p>
    <w:p>
      <w:pPr>
        <w:ind w:left="220" w:hanging="217"/>
        <w:spacing w:after="0"/>
        <w:tabs>
          <w:tab w:leader="none" w:pos="2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Consists of multifamily loans that were 60 days or more past due as of the dates indicated.</w:t>
      </w:r>
    </w:p>
    <w:p>
      <w:pPr>
        <w:spacing w:after="0" w:line="37" w:lineRule="exact"/>
        <w:rPr>
          <w:rFonts w:ascii="Arial" w:cs="Arial" w:eastAsia="Arial" w:hAnsi="Arial"/>
          <w:sz w:val="18"/>
          <w:szCs w:val="18"/>
          <w:color w:val="auto"/>
          <w:vertAlign w:val="superscript"/>
        </w:rPr>
      </w:pPr>
    </w:p>
    <w:p>
      <w:pPr>
        <w:ind w:left="240" w:right="140" w:hanging="237"/>
        <w:spacing w:after="0" w:line="219" w:lineRule="auto"/>
        <w:tabs>
          <w:tab w:leader="none" w:pos="233"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that were seriously delinquent divided by the aggregate unpaid principal balance of multifamily loans for each category included in our multifamily guaranty book of business.</w:t>
      </w:r>
    </w:p>
    <w:p>
      <w:pPr>
        <w:spacing w:after="0" w:line="26" w:lineRule="exact"/>
        <w:rPr>
          <w:rFonts w:ascii="Arial" w:cs="Arial" w:eastAsia="Arial" w:hAnsi="Arial"/>
          <w:sz w:val="18"/>
          <w:szCs w:val="18"/>
          <w:color w:val="auto"/>
          <w:vertAlign w:val="superscript"/>
        </w:rPr>
      </w:pPr>
    </w:p>
    <w:p>
      <w:pPr>
        <w:ind w:left="240" w:right="420" w:hanging="237"/>
        <w:spacing w:after="0" w:line="218" w:lineRule="auto"/>
        <w:tabs>
          <w:tab w:leader="none" w:pos="233"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Our estimates of current DSCRs are based on the latest available income information including the related debt service covering a 12-month period, from quarterly and annual statements for these properties.</w:t>
      </w:r>
    </w:p>
    <w:p>
      <w:pPr>
        <w:spacing w:after="0" w:line="9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Other Concentrations</w:t>
      </w:r>
    </w:p>
    <w:p>
      <w:pPr>
        <w:spacing w:after="0" w:line="81" w:lineRule="exact"/>
        <w:rPr>
          <w:sz w:val="20"/>
          <w:szCs w:val="20"/>
          <w:color w:val="auto"/>
        </w:rPr>
      </w:pPr>
    </w:p>
    <w:p>
      <w:pPr>
        <w:jc w:val="both"/>
        <w:ind w:right="280"/>
        <w:spacing w:after="0" w:line="293" w:lineRule="auto"/>
        <w:rPr>
          <w:sz w:val="20"/>
          <w:szCs w:val="20"/>
          <w:color w:val="auto"/>
        </w:rPr>
      </w:pPr>
      <w:r>
        <w:rPr>
          <w:rFonts w:ascii="Arial" w:cs="Arial" w:eastAsia="Arial" w:hAnsi="Arial"/>
          <w:sz w:val="16"/>
          <w:szCs w:val="16"/>
          <w:i w:val="1"/>
          <w:iCs w:val="1"/>
          <w:color w:val="auto"/>
        </w:rPr>
        <w:t xml:space="preserve">Mortgage Insurers. </w:t>
      </w:r>
      <w:r>
        <w:rPr>
          <w:rFonts w:ascii="Arial" w:cs="Arial" w:eastAsia="Arial" w:hAnsi="Arial"/>
          <w:sz w:val="16"/>
          <w:szCs w:val="16"/>
          <w:color w:val="auto"/>
        </w:rPr>
        <w:t>Mortgage insurance “risk in force” refers to our maximum potential loss recovery under the applicable mortgage insurance policies in</w:t>
      </w:r>
      <w:r>
        <w:rPr>
          <w:rFonts w:ascii="Arial" w:cs="Arial" w:eastAsia="Arial" w:hAnsi="Arial"/>
          <w:sz w:val="16"/>
          <w:szCs w:val="16"/>
          <w:i w:val="1"/>
          <w:iCs w:val="1"/>
          <w:color w:val="auto"/>
        </w:rPr>
        <w:t xml:space="preserve"> </w:t>
      </w:r>
      <w:r>
        <w:rPr>
          <w:rFonts w:ascii="Arial" w:cs="Arial" w:eastAsia="Arial" w:hAnsi="Arial"/>
          <w:sz w:val="16"/>
          <w:szCs w:val="16"/>
          <w:color w:val="auto"/>
        </w:rPr>
        <w:t>force and is generally based on the loan-level insurance coverage percentage and, if applicable, any aggregate pool loss limit, as specified in the policy.</w:t>
      </w:r>
    </w:p>
    <w:p>
      <w:pPr>
        <w:spacing w:after="0" w:line="1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following table displays our total mortgage insurance risk in force by primary and pool insurance, as well as the total risk-in-force mortgage insurance coverage as a percentage of the single-family conventional guaranty book of business.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tcPr>
          <w:p>
            <w:pPr>
              <w:spacing w:after="0"/>
              <w:rPr>
                <w:sz w:val="17"/>
                <w:szCs w:val="17"/>
                <w:color w:val="auto"/>
              </w:rPr>
            </w:pPr>
          </w:p>
        </w:tc>
        <w:tc>
          <w:tcPr>
            <w:tcW w:w="40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w w:val="91"/>
              </w:rPr>
              <w:t>As of</w:t>
            </w:r>
          </w:p>
        </w:tc>
        <w:tc>
          <w:tcPr>
            <w:tcW w:w="116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2"/>
          </w:tcPr>
          <w:p>
            <w:pPr>
              <w:ind w:left="760"/>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68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7"/>
              </w:rPr>
              <w:t>Percentage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8"/>
              </w:rPr>
              <w:t>Single-Family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6"/>
              </w:rPr>
              <w:t>Single-Family</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6"/>
              </w:rPr>
              <w:t>Conventional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9"/>
              </w:rPr>
              <w:t>Conventional</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7"/>
              </w:rPr>
              <w:t>Guaranty Book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vMerge w:val="continue"/>
          </w:tcPr>
          <w:p>
            <w:pPr>
              <w:spacing w:after="0"/>
              <w:rPr>
                <w:sz w:val="16"/>
                <w:szCs w:val="16"/>
                <w:color w:val="auto"/>
              </w:rPr>
            </w:pPr>
          </w:p>
        </w:tc>
        <w:tc>
          <w:tcPr>
            <w:tcW w:w="1400" w:type="dxa"/>
            <w:vAlign w:val="bottom"/>
            <w:tcBorders>
              <w:bottom w:val="single" w:sz="8" w:color="2C6937"/>
            </w:tcBorders>
          </w:tcPr>
          <w:p>
            <w:pPr>
              <w:jc w:val="center"/>
              <w:ind w:left="150"/>
              <w:spacing w:after="0"/>
              <w:rPr>
                <w:sz w:val="20"/>
                <w:szCs w:val="20"/>
                <w:color w:val="auto"/>
              </w:rPr>
            </w:pPr>
            <w:r>
              <w:rPr>
                <w:rFonts w:ascii="Arial" w:cs="Arial" w:eastAsia="Arial" w:hAnsi="Arial"/>
                <w:sz w:val="14"/>
                <w:szCs w:val="14"/>
                <w:b w:val="1"/>
                <w:bCs w:val="1"/>
                <w:color w:val="auto"/>
                <w:w w:val="99"/>
              </w:rPr>
              <w:t>Business</w:t>
            </w:r>
          </w:p>
        </w:tc>
        <w:tc>
          <w:tcPr>
            <w:tcW w:w="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vMerge w:val="continue"/>
          </w:tcPr>
          <w:p>
            <w:pPr>
              <w:spacing w:after="0"/>
              <w:rPr>
                <w:sz w:val="16"/>
                <w:szCs w:val="16"/>
                <w:color w:val="auto"/>
              </w:rPr>
            </w:pPr>
          </w:p>
        </w:tc>
        <w:tc>
          <w:tcPr>
            <w:tcW w:w="1520" w:type="dxa"/>
            <w:vAlign w:val="bottom"/>
            <w:tcBorders>
              <w:bottom w:val="single" w:sz="8" w:color="2C6937"/>
            </w:tcBorders>
          </w:tcPr>
          <w:p>
            <w:pPr>
              <w:jc w:val="center"/>
              <w:ind w:left="10"/>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98"/>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5"/>
          </w:tcPr>
          <w:p>
            <w:pPr>
              <w:jc w:val="right"/>
              <w:ind w:right="686"/>
              <w:spacing w:after="0"/>
              <w:rPr>
                <w:sz w:val="20"/>
                <w:szCs w:val="20"/>
                <w:color w:val="auto"/>
              </w:rPr>
            </w:pPr>
            <w:r>
              <w:rPr>
                <w:rFonts w:ascii="Arial" w:cs="Arial" w:eastAsia="Arial" w:hAnsi="Arial"/>
                <w:sz w:val="14"/>
                <w:szCs w:val="14"/>
                <w:b w:val="1"/>
                <w:bCs w:val="1"/>
                <w:color w:val="auto"/>
              </w:rPr>
              <w:t>(Dollars in millions)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420" w:type="dxa"/>
            <w:vAlign w:val="bottom"/>
            <w:gridSpan w:val="2"/>
          </w:tcPr>
          <w:p>
            <w:pPr>
              <w:ind w:left="20"/>
              <w:spacing w:after="0"/>
              <w:rPr>
                <w:sz w:val="20"/>
                <w:szCs w:val="20"/>
                <w:color w:val="auto"/>
              </w:rPr>
            </w:pPr>
            <w:r>
              <w:rPr>
                <w:rFonts w:ascii="Arial" w:cs="Arial" w:eastAsia="Arial" w:hAnsi="Arial"/>
                <w:sz w:val="15"/>
                <w:szCs w:val="15"/>
                <w:color w:val="auto"/>
              </w:rPr>
              <w:t>Mortgage insurance risk in force:</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420" w:type="dxa"/>
            <w:vAlign w:val="bottom"/>
            <w:gridSpan w:val="2"/>
          </w:tcPr>
          <w:p>
            <w:pPr>
              <w:ind w:left="160"/>
              <w:spacing w:after="0"/>
              <w:rPr>
                <w:sz w:val="20"/>
                <w:szCs w:val="20"/>
                <w:color w:val="auto"/>
              </w:rPr>
            </w:pPr>
            <w:r>
              <w:rPr>
                <w:rFonts w:ascii="Arial" w:cs="Arial" w:eastAsia="Arial" w:hAnsi="Arial"/>
                <w:sz w:val="15"/>
                <w:szCs w:val="15"/>
                <w:color w:val="auto"/>
              </w:rPr>
              <w:t>Primary mortgage insurance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b w:val="1"/>
                <w:bCs w:val="1"/>
                <w:color w:val="auto"/>
              </w:rPr>
              <w:t>201,699</w:t>
            </w:r>
          </w:p>
        </w:tc>
        <w:tc>
          <w:tcPr>
            <w:tcW w:w="1400" w:type="dxa"/>
            <w:vAlign w:val="bottom"/>
          </w:tcPr>
          <w:p>
            <w:pPr>
              <w:spacing w:after="0"/>
              <w:rPr>
                <w:sz w:val="21"/>
                <w:szCs w:val="21"/>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202,277</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300" w:type="dxa"/>
            <w:vAlign w:val="bottom"/>
            <w:tcBorders>
              <w:bottom w:val="single" w:sz="8" w:color="2C6937"/>
            </w:tcBorders>
          </w:tcPr>
          <w:p>
            <w:pPr>
              <w:ind w:left="160"/>
              <w:spacing w:after="0"/>
              <w:rPr>
                <w:sz w:val="20"/>
                <w:szCs w:val="20"/>
                <w:color w:val="auto"/>
              </w:rPr>
            </w:pPr>
            <w:r>
              <w:rPr>
                <w:rFonts w:ascii="Arial" w:cs="Arial" w:eastAsia="Arial" w:hAnsi="Arial"/>
                <w:sz w:val="15"/>
                <w:szCs w:val="15"/>
                <w:color w:val="auto"/>
              </w:rPr>
              <w:t>Pool mortgage insurance</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52</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53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gridSpan w:val="2"/>
          </w:tcPr>
          <w:p>
            <w:pPr>
              <w:ind w:left="320"/>
              <w:spacing w:after="0"/>
              <w:rPr>
                <w:sz w:val="20"/>
                <w:szCs w:val="20"/>
                <w:color w:val="auto"/>
              </w:rPr>
            </w:pPr>
            <w:r>
              <w:rPr>
                <w:rFonts w:ascii="Arial" w:cs="Arial" w:eastAsia="Arial" w:hAnsi="Arial"/>
                <w:sz w:val="15"/>
                <w:szCs w:val="15"/>
                <w:color w:val="auto"/>
              </w:rPr>
              <w:t>Total mortgage insurance risk in force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b w:val="1"/>
                <w:bCs w:val="1"/>
                <w:color w:val="auto"/>
              </w:rPr>
              <w:t>201,751</w:t>
            </w:r>
          </w:p>
        </w:tc>
        <w:tc>
          <w:tcPr>
            <w:tcW w:w="1400" w:type="dxa"/>
            <w:vAlign w:val="bottom"/>
          </w:tcPr>
          <w:p>
            <w:pPr>
              <w:jc w:val="center"/>
              <w:ind w:left="150"/>
              <w:spacing w:after="0"/>
              <w:rPr>
                <w:sz w:val="20"/>
                <w:szCs w:val="20"/>
                <w:color w:val="auto"/>
              </w:rPr>
            </w:pPr>
            <w:r>
              <w:rPr>
                <w:rFonts w:ascii="Arial" w:cs="Arial" w:eastAsia="Arial" w:hAnsi="Arial"/>
                <w:sz w:val="15"/>
                <w:szCs w:val="15"/>
                <w:b w:val="1"/>
                <w:bCs w:val="1"/>
                <w:color w:val="auto"/>
              </w:rPr>
              <w:t>6%</w:t>
            </w:r>
          </w:p>
        </w:tc>
        <w:tc>
          <w:tcPr>
            <w:tcW w:w="4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202,330</w:t>
            </w:r>
          </w:p>
        </w:tc>
        <w:tc>
          <w:tcPr>
            <w:tcW w:w="1520" w:type="dxa"/>
            <w:vAlign w:val="bottom"/>
          </w:tcPr>
          <w:p>
            <w:pPr>
              <w:jc w:val="center"/>
              <w:ind w:left="3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53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93" w:name="page94"/>
    <w:bookmarkEnd w:id="93"/>
    <w:p>
      <w:pPr>
        <w:ind w:left="5820"/>
        <w:spacing w:after="0"/>
        <w:rPr>
          <w:sz w:val="20"/>
          <w:szCs w:val="20"/>
          <w:color w:val="auto"/>
        </w:rPr>
      </w:pPr>
      <w:r>
        <w:rPr>
          <w:rFonts w:ascii="Arial" w:cs="Arial" w:eastAsia="Arial" w:hAnsi="Arial"/>
          <w:sz w:val="13"/>
          <w:szCs w:val="13"/>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The table below displays our mortgage insurer counterparties that provided 10% or more of the risk in force mortgage insurance coverage on mortgage loans in our single-family conventional guaranty book of business.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gridSpan w:val="4"/>
          </w:tcPr>
          <w:p>
            <w:pPr>
              <w:jc w:val="center"/>
              <w:ind w:left="671"/>
              <w:spacing w:after="0"/>
              <w:rPr>
                <w:sz w:val="20"/>
                <w:szCs w:val="20"/>
                <w:color w:val="auto"/>
              </w:rPr>
            </w:pPr>
            <w:r>
              <w:rPr>
                <w:rFonts w:ascii="Arial" w:cs="Arial" w:eastAsia="Arial" w:hAnsi="Arial"/>
                <w:sz w:val="14"/>
                <w:szCs w:val="14"/>
                <w:b w:val="1"/>
                <w:bCs w:val="1"/>
                <w:color w:val="auto"/>
                <w:w w:val="98"/>
              </w:rPr>
              <w:t>Percentage of Risk in Force</w:t>
            </w:r>
          </w:p>
        </w:tc>
        <w:tc>
          <w:tcPr>
            <w:tcW w:w="740" w:type="dxa"/>
            <w:vAlign w:val="bottom"/>
          </w:tcPr>
          <w:p>
            <w:pPr>
              <w:spacing w:after="0"/>
              <w:rPr>
                <w:sz w:val="14"/>
                <w:szCs w:val="14"/>
                <w:color w:val="auto"/>
              </w:rPr>
            </w:pPr>
          </w:p>
        </w:tc>
      </w:tr>
      <w:tr>
        <w:trPr>
          <w:trHeight w:val="177"/>
        </w:trPr>
        <w:tc>
          <w:tcPr>
            <w:tcW w:w="7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Borders>
              <w:bottom w:val="single" w:sz="8" w:color="2C6937"/>
            </w:tcBorders>
            <w:gridSpan w:val="4"/>
          </w:tcPr>
          <w:p>
            <w:pPr>
              <w:jc w:val="center"/>
              <w:ind w:left="671"/>
              <w:spacing w:after="0"/>
              <w:rPr>
                <w:sz w:val="20"/>
                <w:szCs w:val="20"/>
                <w:color w:val="auto"/>
              </w:rPr>
            </w:pPr>
            <w:r>
              <w:rPr>
                <w:rFonts w:ascii="Arial" w:cs="Arial" w:eastAsia="Arial" w:hAnsi="Arial"/>
                <w:sz w:val="14"/>
                <w:szCs w:val="14"/>
                <w:b w:val="1"/>
                <w:bCs w:val="1"/>
                <w:color w:val="auto"/>
                <w:w w:val="97"/>
              </w:rPr>
              <w:t>Coverage by Mortgage Insurer</w:t>
            </w:r>
          </w:p>
        </w:tc>
        <w:tc>
          <w:tcPr>
            <w:tcW w:w="740" w:type="dxa"/>
            <w:vAlign w:val="bottom"/>
            <w:tcBorders>
              <w:bottom w:val="single" w:sz="8" w:color="2C6937"/>
            </w:tcBorders>
          </w:tcPr>
          <w:p>
            <w:pPr>
              <w:spacing w:after="0"/>
              <w:rPr>
                <w:sz w:val="15"/>
                <w:szCs w:val="15"/>
                <w:color w:val="auto"/>
              </w:rPr>
            </w:pPr>
          </w:p>
        </w:tc>
      </w:tr>
      <w:tr>
        <w:trPr>
          <w:trHeight w:val="205"/>
        </w:trPr>
        <w:tc>
          <w:tcPr>
            <w:tcW w:w="7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gridSpan w:val="3"/>
          </w:tcPr>
          <w:p>
            <w:pPr>
              <w:jc w:val="center"/>
              <w:ind w:right="671"/>
              <w:spacing w:after="0"/>
              <w:rPr>
                <w:sz w:val="20"/>
                <w:szCs w:val="20"/>
                <w:color w:val="auto"/>
              </w:rPr>
            </w:pPr>
            <w:r>
              <w:rPr>
                <w:rFonts w:ascii="Arial" w:cs="Arial" w:eastAsia="Arial" w:hAnsi="Arial"/>
                <w:sz w:val="14"/>
                <w:szCs w:val="14"/>
                <w:b w:val="1"/>
                <w:bCs w:val="1"/>
                <w:color w:val="auto"/>
                <w:w w:val="97"/>
              </w:rPr>
              <w:t>As of</w:t>
            </w:r>
          </w:p>
        </w:tc>
        <w:tc>
          <w:tcPr>
            <w:tcW w:w="740" w:type="dxa"/>
            <w:vAlign w:val="bottom"/>
            <w:tcBorders>
              <w:bottom w:val="single" w:sz="8" w:color="2C6937"/>
            </w:tcBorders>
          </w:tcPr>
          <w:p>
            <w:pPr>
              <w:spacing w:after="0"/>
              <w:rPr>
                <w:sz w:val="17"/>
                <w:szCs w:val="17"/>
                <w:color w:val="auto"/>
              </w:rPr>
            </w:pPr>
          </w:p>
        </w:tc>
      </w:tr>
      <w:tr>
        <w:trPr>
          <w:trHeight w:val="193"/>
        </w:trPr>
        <w:tc>
          <w:tcPr>
            <w:tcW w:w="7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2C6937"/>
            </w:tcBorders>
          </w:tcPr>
          <w:p>
            <w:pPr>
              <w:ind w:left="480"/>
              <w:spacing w:after="0"/>
              <w:rPr>
                <w:sz w:val="20"/>
                <w:szCs w:val="20"/>
                <w:color w:val="auto"/>
              </w:rPr>
            </w:pPr>
            <w:r>
              <w:rPr>
                <w:rFonts w:ascii="Arial" w:cs="Arial" w:eastAsia="Arial" w:hAnsi="Arial"/>
                <w:sz w:val="14"/>
                <w:szCs w:val="14"/>
                <w:b w:val="1"/>
                <w:bCs w:val="1"/>
                <w:color w:val="auto"/>
                <w:w w:val="98"/>
              </w:rPr>
              <w:t>March 31, 2025</w:t>
            </w:r>
          </w:p>
        </w:tc>
        <w:tc>
          <w:tcPr>
            <w:tcW w:w="4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000" w:type="dxa"/>
            <w:vAlign w:val="bottom"/>
            <w:tcBorders>
              <w:bottom w:val="single" w:sz="8" w:color="2C6937"/>
            </w:tcBorders>
            <w:gridSpan w:val="2"/>
          </w:tcPr>
          <w:p>
            <w:pPr>
              <w:jc w:val="right"/>
              <w:ind w:right="303"/>
              <w:spacing w:after="0"/>
              <w:rPr>
                <w:sz w:val="20"/>
                <w:szCs w:val="20"/>
                <w:color w:val="auto"/>
              </w:rPr>
            </w:pPr>
            <w:r>
              <w:rPr>
                <w:rFonts w:ascii="Arial" w:cs="Arial" w:eastAsia="Arial" w:hAnsi="Arial"/>
                <w:sz w:val="14"/>
                <w:szCs w:val="14"/>
                <w:b w:val="1"/>
                <w:bCs w:val="1"/>
                <w:color w:val="auto"/>
              </w:rPr>
              <w:t>December 31, 2024</w:t>
            </w:r>
          </w:p>
        </w:tc>
      </w:tr>
      <w:tr>
        <w:trPr>
          <w:trHeight w:val="226"/>
        </w:trPr>
        <w:tc>
          <w:tcPr>
            <w:tcW w:w="8620" w:type="dxa"/>
            <w:vAlign w:val="bottom"/>
            <w:gridSpan w:val="3"/>
          </w:tcPr>
          <w:p>
            <w:pPr>
              <w:ind w:left="20"/>
              <w:spacing w:after="0" w:line="227" w:lineRule="exact"/>
              <w:rPr>
                <w:sz w:val="20"/>
                <w:szCs w:val="20"/>
                <w:color w:val="auto"/>
              </w:rPr>
            </w:pPr>
            <w:r>
              <w:rPr>
                <w:rFonts w:ascii="Arial" w:cs="Arial" w:eastAsia="Arial" w:hAnsi="Arial"/>
                <w:sz w:val="15"/>
                <w:szCs w:val="15"/>
                <w:color w:val="auto"/>
              </w:rPr>
              <w:t>Counterparty:</w:t>
            </w:r>
            <w:r>
              <w:rPr>
                <w:rFonts w:ascii="Arial" w:cs="Arial" w:eastAsia="Arial" w:hAnsi="Arial"/>
                <w:sz w:val="20"/>
                <w:szCs w:val="20"/>
                <w:color w:val="auto"/>
                <w:vertAlign w:val="superscript"/>
              </w:rPr>
              <w:t>(1)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5"/>
        </w:trPr>
        <w:tc>
          <w:tcPr>
            <w:tcW w:w="8620" w:type="dxa"/>
            <w:vAlign w:val="bottom"/>
            <w:gridSpan w:val="3"/>
          </w:tcPr>
          <w:p>
            <w:pPr>
              <w:ind w:left="180"/>
              <w:spacing w:after="0"/>
              <w:rPr>
                <w:sz w:val="20"/>
                <w:szCs w:val="20"/>
                <w:color w:val="auto"/>
              </w:rPr>
            </w:pPr>
            <w:r>
              <w:rPr>
                <w:rFonts w:ascii="Arial" w:cs="Arial" w:eastAsia="Arial" w:hAnsi="Arial"/>
                <w:sz w:val="15"/>
                <w:szCs w:val="15"/>
                <w:color w:val="auto"/>
              </w:rPr>
              <w:t>Mortgage Guaranty Insurance Corp.</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19 %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19 %</w:t>
            </w:r>
          </w:p>
        </w:tc>
      </w:tr>
      <w:tr>
        <w:trPr>
          <w:trHeight w:val="232"/>
        </w:trPr>
        <w:tc>
          <w:tcPr>
            <w:tcW w:w="8620" w:type="dxa"/>
            <w:vAlign w:val="bottom"/>
            <w:gridSpan w:val="3"/>
          </w:tcPr>
          <w:p>
            <w:pPr>
              <w:ind w:left="180"/>
              <w:spacing w:after="0"/>
              <w:rPr>
                <w:sz w:val="20"/>
                <w:szCs w:val="20"/>
                <w:color w:val="auto"/>
              </w:rPr>
            </w:pPr>
            <w:r>
              <w:rPr>
                <w:rFonts w:ascii="Arial" w:cs="Arial" w:eastAsia="Arial" w:hAnsi="Arial"/>
                <w:sz w:val="15"/>
                <w:szCs w:val="15"/>
                <w:color w:val="auto"/>
              </w:rPr>
              <w:t>Radian Guaranty, Inc.</w:t>
            </w:r>
          </w:p>
        </w:tc>
        <w:tc>
          <w:tcPr>
            <w:tcW w:w="480" w:type="dxa"/>
            <w:vAlign w:val="bottom"/>
          </w:tcPr>
          <w:p>
            <w:pPr>
              <w:jc w:val="right"/>
              <w:ind w:right="124"/>
              <w:spacing w:after="0"/>
              <w:rPr>
                <w:sz w:val="20"/>
                <w:szCs w:val="20"/>
                <w:color w:val="auto"/>
              </w:rPr>
            </w:pPr>
            <w:r>
              <w:rPr>
                <w:rFonts w:ascii="Arial" w:cs="Arial" w:eastAsia="Arial" w:hAnsi="Arial"/>
                <w:sz w:val="15"/>
                <w:szCs w:val="15"/>
                <w:b w:val="1"/>
                <w:bCs w:val="1"/>
                <w:color w:val="auto"/>
              </w:rPr>
              <w:t>18</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jc w:val="right"/>
              <w:ind w:right="123"/>
              <w:spacing w:after="0"/>
              <w:rPr>
                <w:sz w:val="20"/>
                <w:szCs w:val="20"/>
                <w:color w:val="auto"/>
              </w:rPr>
            </w:pPr>
            <w:r>
              <w:rPr>
                <w:rFonts w:ascii="Arial" w:cs="Arial" w:eastAsia="Arial" w:hAnsi="Arial"/>
                <w:sz w:val="15"/>
                <w:szCs w:val="15"/>
                <w:color w:val="auto"/>
              </w:rPr>
              <w:t>18</w:t>
            </w:r>
          </w:p>
        </w:tc>
      </w:tr>
      <w:tr>
        <w:trPr>
          <w:trHeight w:val="232"/>
        </w:trPr>
        <w:tc>
          <w:tcPr>
            <w:tcW w:w="8620" w:type="dxa"/>
            <w:vAlign w:val="bottom"/>
            <w:gridSpan w:val="3"/>
          </w:tcPr>
          <w:p>
            <w:pPr>
              <w:ind w:left="180"/>
              <w:spacing w:after="0"/>
              <w:rPr>
                <w:sz w:val="20"/>
                <w:szCs w:val="20"/>
                <w:color w:val="auto"/>
              </w:rPr>
            </w:pPr>
            <w:r>
              <w:rPr>
                <w:rFonts w:ascii="Arial" w:cs="Arial" w:eastAsia="Arial" w:hAnsi="Arial"/>
                <w:sz w:val="15"/>
                <w:szCs w:val="15"/>
                <w:color w:val="auto"/>
              </w:rPr>
              <w:t>Arch Capital Group Ltd.</w:t>
            </w:r>
          </w:p>
        </w:tc>
        <w:tc>
          <w:tcPr>
            <w:tcW w:w="480" w:type="dxa"/>
            <w:vAlign w:val="bottom"/>
          </w:tcPr>
          <w:p>
            <w:pPr>
              <w:jc w:val="right"/>
              <w:ind w:right="124"/>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jc w:val="right"/>
              <w:ind w:right="123"/>
              <w:spacing w:after="0"/>
              <w:rPr>
                <w:sz w:val="20"/>
                <w:szCs w:val="20"/>
                <w:color w:val="auto"/>
              </w:rPr>
            </w:pPr>
            <w:r>
              <w:rPr>
                <w:rFonts w:ascii="Arial" w:cs="Arial" w:eastAsia="Arial" w:hAnsi="Arial"/>
                <w:sz w:val="15"/>
                <w:szCs w:val="15"/>
                <w:color w:val="auto"/>
              </w:rPr>
              <w:t>17</w:t>
            </w:r>
          </w:p>
        </w:tc>
      </w:tr>
      <w:tr>
        <w:trPr>
          <w:trHeight w:val="232"/>
        </w:trPr>
        <w:tc>
          <w:tcPr>
            <w:tcW w:w="8620" w:type="dxa"/>
            <w:vAlign w:val="bottom"/>
            <w:gridSpan w:val="3"/>
          </w:tcPr>
          <w:p>
            <w:pPr>
              <w:ind w:left="180"/>
              <w:spacing w:after="0"/>
              <w:rPr>
                <w:sz w:val="20"/>
                <w:szCs w:val="20"/>
                <w:color w:val="auto"/>
              </w:rPr>
            </w:pPr>
            <w:r>
              <w:rPr>
                <w:rFonts w:ascii="Arial" w:cs="Arial" w:eastAsia="Arial" w:hAnsi="Arial"/>
                <w:sz w:val="15"/>
                <w:szCs w:val="15"/>
                <w:color w:val="auto"/>
              </w:rPr>
              <w:t>Enact Mortgage Insurance Corp.</w:t>
            </w:r>
          </w:p>
        </w:tc>
        <w:tc>
          <w:tcPr>
            <w:tcW w:w="480" w:type="dxa"/>
            <w:vAlign w:val="bottom"/>
          </w:tcPr>
          <w:p>
            <w:pPr>
              <w:jc w:val="right"/>
              <w:ind w:right="124"/>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jc w:val="right"/>
              <w:ind w:right="123"/>
              <w:spacing w:after="0"/>
              <w:rPr>
                <w:sz w:val="20"/>
                <w:szCs w:val="20"/>
                <w:color w:val="auto"/>
              </w:rPr>
            </w:pPr>
            <w:r>
              <w:rPr>
                <w:rFonts w:ascii="Arial" w:cs="Arial" w:eastAsia="Arial" w:hAnsi="Arial"/>
                <w:sz w:val="15"/>
                <w:szCs w:val="15"/>
                <w:color w:val="auto"/>
              </w:rPr>
              <w:t>17</w:t>
            </w:r>
          </w:p>
        </w:tc>
      </w:tr>
      <w:tr>
        <w:trPr>
          <w:trHeight w:val="232"/>
        </w:trPr>
        <w:tc>
          <w:tcPr>
            <w:tcW w:w="8620" w:type="dxa"/>
            <w:vAlign w:val="bottom"/>
            <w:gridSpan w:val="3"/>
          </w:tcPr>
          <w:p>
            <w:pPr>
              <w:ind w:left="180"/>
              <w:spacing w:after="0"/>
              <w:rPr>
                <w:sz w:val="20"/>
                <w:szCs w:val="20"/>
                <w:color w:val="auto"/>
              </w:rPr>
            </w:pPr>
            <w:r>
              <w:rPr>
                <w:rFonts w:ascii="Arial" w:cs="Arial" w:eastAsia="Arial" w:hAnsi="Arial"/>
                <w:sz w:val="15"/>
                <w:szCs w:val="15"/>
                <w:color w:val="auto"/>
              </w:rPr>
              <w:t>Essent Guaranty, Inc.</w:t>
            </w:r>
          </w:p>
        </w:tc>
        <w:tc>
          <w:tcPr>
            <w:tcW w:w="480" w:type="dxa"/>
            <w:vAlign w:val="bottom"/>
          </w:tcPr>
          <w:p>
            <w:pPr>
              <w:jc w:val="right"/>
              <w:ind w:right="124"/>
              <w:spacing w:after="0"/>
              <w:rPr>
                <w:sz w:val="20"/>
                <w:szCs w:val="20"/>
                <w:color w:val="auto"/>
              </w:rPr>
            </w:pPr>
            <w:r>
              <w:rPr>
                <w:rFonts w:ascii="Arial" w:cs="Arial" w:eastAsia="Arial" w:hAnsi="Arial"/>
                <w:sz w:val="15"/>
                <w:szCs w:val="15"/>
                <w:b w:val="1"/>
                <w:bCs w:val="1"/>
                <w:color w:val="auto"/>
              </w:rPr>
              <w:t>16</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jc w:val="right"/>
              <w:ind w:right="123"/>
              <w:spacing w:after="0"/>
              <w:rPr>
                <w:sz w:val="20"/>
                <w:szCs w:val="20"/>
                <w:color w:val="auto"/>
              </w:rPr>
            </w:pPr>
            <w:r>
              <w:rPr>
                <w:rFonts w:ascii="Arial" w:cs="Arial" w:eastAsia="Arial" w:hAnsi="Arial"/>
                <w:sz w:val="15"/>
                <w:szCs w:val="15"/>
                <w:color w:val="auto"/>
              </w:rPr>
              <w:t>16</w:t>
            </w:r>
          </w:p>
        </w:tc>
      </w:tr>
      <w:tr>
        <w:trPr>
          <w:trHeight w:val="226"/>
        </w:trPr>
        <w:tc>
          <w:tcPr>
            <w:tcW w:w="70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National Mortgage Insurance Corp.</w:t>
            </w:r>
          </w:p>
        </w:tc>
        <w:tc>
          <w:tcPr>
            <w:tcW w:w="120" w:type="dxa"/>
            <w:vAlign w:val="bottom"/>
          </w:tcPr>
          <w:p>
            <w:pPr>
              <w:spacing w:after="0"/>
              <w:rPr>
                <w:sz w:val="19"/>
                <w:szCs w:val="19"/>
                <w:color w:val="auto"/>
              </w:rPr>
            </w:pPr>
          </w:p>
        </w:tc>
        <w:tc>
          <w:tcPr>
            <w:tcW w:w="1480" w:type="dxa"/>
            <w:vAlign w:val="bottom"/>
            <w:tcBorders>
              <w:bottom w:val="single" w:sz="8" w:color="2C6937"/>
            </w:tcBorders>
          </w:tcPr>
          <w:p>
            <w:pPr>
              <w:spacing w:after="0"/>
              <w:rPr>
                <w:sz w:val="19"/>
                <w:szCs w:val="19"/>
                <w:color w:val="auto"/>
              </w:rPr>
            </w:pPr>
          </w:p>
        </w:tc>
        <w:tc>
          <w:tcPr>
            <w:tcW w:w="480" w:type="dxa"/>
            <w:vAlign w:val="bottom"/>
            <w:tcBorders>
              <w:bottom w:val="single" w:sz="8" w:color="2C6937"/>
            </w:tcBorders>
          </w:tcPr>
          <w:p>
            <w:pPr>
              <w:jc w:val="right"/>
              <w:ind w:right="124"/>
              <w:spacing w:after="0"/>
              <w:rPr>
                <w:sz w:val="20"/>
                <w:szCs w:val="20"/>
                <w:color w:val="auto"/>
              </w:rPr>
            </w:pPr>
            <w:r>
              <w:rPr>
                <w:rFonts w:ascii="Arial" w:cs="Arial" w:eastAsia="Arial" w:hAnsi="Arial"/>
                <w:sz w:val="15"/>
                <w:szCs w:val="15"/>
                <w:b w:val="1"/>
                <w:bCs w:val="1"/>
                <w:color w:val="auto"/>
              </w:rPr>
              <w:t>13</w:t>
            </w:r>
          </w:p>
        </w:tc>
        <w:tc>
          <w:tcPr>
            <w:tcW w:w="100" w:type="dxa"/>
            <w:vAlign w:val="bottom"/>
          </w:tcPr>
          <w:p>
            <w:pPr>
              <w:spacing w:after="0"/>
              <w:rPr>
                <w:sz w:val="19"/>
                <w:szCs w:val="19"/>
                <w:color w:val="auto"/>
              </w:rPr>
            </w:pPr>
          </w:p>
        </w:tc>
        <w:tc>
          <w:tcPr>
            <w:tcW w:w="126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color w:val="auto"/>
              </w:rPr>
              <w:t>13</w:t>
            </w:r>
          </w:p>
        </w:tc>
      </w:tr>
      <w:tr>
        <w:trPr>
          <w:trHeight w:val="225"/>
        </w:trPr>
        <w:tc>
          <w:tcPr>
            <w:tcW w:w="8620" w:type="dxa"/>
            <w:vAlign w:val="bottom"/>
            <w:gridSpan w:val="3"/>
          </w:tcPr>
          <w:p>
            <w:pPr>
              <w:ind w:left="320"/>
              <w:spacing w:after="0"/>
              <w:rPr>
                <w:sz w:val="20"/>
                <w:szCs w:val="20"/>
                <w:color w:val="auto"/>
              </w:rPr>
            </w:pPr>
            <w:r>
              <w:rPr>
                <w:rFonts w:ascii="Arial" w:cs="Arial" w:eastAsia="Arial" w:hAnsi="Arial"/>
                <w:sz w:val="15"/>
                <w:szCs w:val="15"/>
                <w:color w:val="auto"/>
              </w:rPr>
              <w:t>Total</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100 %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70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Insurance coverage amounts provided for each counterparty may include coverage provided by affiliates and subsidiaries of the counterparty.</w:t>
      </w:r>
    </w:p>
    <w:p>
      <w:pPr>
        <w:spacing w:after="0" w:line="5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have counterparty credit risk relating to the potential insolvency of, or non-performance by, monoline mortgage insurers that insure single-family loans we purchase or guarantee. There is risk that these counterparties may fail to fulfill their obligations to pay our claims under insurance policies. On at least a quarterly basis, we assess our mortgage insurer counterparties’ respective abilities to fulfill their obligations to us. Our assessment includes financial reviews and analyses of the insurers’ portfolios and capital adequacy. If we determine that it is probable that we will not collect all of our claims from one or more of our mortgage insurer counterparties, it could increase our loss reserves, which could adversely affect our results of operations, liquidity, financial condition and net worth.</w:t>
      </w:r>
    </w:p>
    <w:p>
      <w:pPr>
        <w:spacing w:after="0" w:line="4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When we estimate the credit losses that are inherent in our mortgage loans and under the terms of our guaranty obligations, we also consider the recoveries that we expect to receive from primary mortgage insurance, as mortgage insurance recoveries reduce the severity of the loss associated with defaulted loans if the borrower defaults and title to the property is subsequently transferred. Mortgage insurance does not cover credit losses that result from a reduction in mortgage interest paid by the borrower in connection with a loan modification, forbearance of principal, or forbearance of scheduled loan payments. We evaluate the financial condition of our mortgage insurer counterparties and adjust the contractually due recovery amounts to ensure that expected credit losses as of the balance sheet date are included in our loss reserve estimate. As a result, if our assessment of one or more of our mortgage insurer counterparties’ ability to fulfill their respective obligations to us worsens, it could increase our loss reserves. As of March 31, 2025 and December 31, 2024, our estimated benefit from mortgage insurance, which is based on estimated credit losses as of period end, reduced our loss reserves by $886 million and $1.0 billion, respectively.</w:t>
      </w:r>
    </w:p>
    <w:p>
      <w:pPr>
        <w:spacing w:after="0" w:line="43"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As of March 31, 2025 and December 31, 2024, we had outstanding receivables of $476 million and $472 million, respectively, recorded in “Other assets” in our condensed consolidated balance sheets related to amounts claimed on insured, defaulted loans excluding government-insured loans. As of March 31, 2025 and December 31, 2024, we assessed these outstanding receivables for collectability, and established a valuation allowance of $403 million.</w:t>
      </w:r>
    </w:p>
    <w:p>
      <w:pPr>
        <w:spacing w:after="0" w:line="32"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i w:val="1"/>
          <w:iCs w:val="1"/>
          <w:color w:val="auto"/>
        </w:rPr>
        <w:t xml:space="preserve">Mortgage Servicers and Sellers. </w:t>
      </w:r>
      <w:r>
        <w:rPr>
          <w:rFonts w:ascii="Arial" w:cs="Arial" w:eastAsia="Arial" w:hAnsi="Arial"/>
          <w:sz w:val="16"/>
          <w:szCs w:val="16"/>
          <w:color w:val="auto"/>
        </w:rPr>
        <w:t>Mortgage servicers collect mortgage and escrow payments from borrowers, pay taxes and insurance costs from escrow</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monitor and report delinquencies, and perform other required activities, including loss mitigation, on our behalf. Our mortgage servicers and sellers may also be obligated to repurchase loans or foreclosed properties, reimburse us for losses or provide other remedies under certain circumstances, such as if it is determined that the mortgage loan did not meet our underwriting or eligibility requirements, if certain loan representations and warranties are violated or if mortgage insurers rescind coverage. Our representation and warranty framework does not require repurchase for loans that have breaches of certain selling representations and warranties if they have met specified criteria for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367030</wp:posOffset>
            </wp:positionV>
            <wp:extent cx="68059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94" w:name="page95"/>
    <w:bookmarkEnd w:id="94"/>
    <w:p>
      <w:pPr>
        <w:ind w:left="5820"/>
        <w:spacing w:after="0"/>
        <w:rPr>
          <w:sz w:val="20"/>
          <w:szCs w:val="20"/>
          <w:color w:val="auto"/>
        </w:rPr>
      </w:pPr>
      <w:r>
        <w:rPr>
          <w:rFonts w:ascii="Arial" w:cs="Arial" w:eastAsia="Arial" w:hAnsi="Arial"/>
          <w:sz w:val="13"/>
          <w:szCs w:val="13"/>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business with mortgage servicers is concentrated. The table below displays the percentage of our single-family conventional guaranty book of business serviced by our top five depository single-family mortgage servicers and top five non-depository single-family mortgage servicers (i.e., servicers that are not insured depository institutions) based on unpaid principal balance. These concentrations are based on loans for which the servicer is contractually responsible directly to us and exclude loans serviced by the counterparty on behalf of another servicer. On this basis, there were no servicers that serviced 10% or more of our single-family guaranty book of business as of March 31, 2025 or December 31, 2024.</w:t>
      </w:r>
    </w:p>
    <w:p>
      <w:pPr>
        <w:spacing w:after="0" w:line="127"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Percentage of Single-Family</w:t>
      </w:r>
    </w:p>
    <w:p>
      <w:pPr>
        <w:spacing w:after="0" w:line="21"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Conventional</w:t>
      </w:r>
    </w:p>
    <w:p>
      <w:pPr>
        <w:spacing w:after="0" w:line="7"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9525</wp:posOffset>
            </wp:positionV>
            <wp:extent cx="24968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24"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26670</wp:posOffset>
            </wp:positionV>
            <wp:extent cx="24968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8" w:lineRule="exact"/>
        <w:rPr>
          <w:sz w:val="20"/>
          <w:szCs w:val="20"/>
          <w:color w:val="auto"/>
        </w:rPr>
      </w:pPr>
    </w:p>
    <w:p>
      <w:pPr>
        <w:ind w:left="7780"/>
        <w:spacing w:after="0"/>
        <w:tabs>
          <w:tab w:leader="none" w:pos="9640" w:val="left"/>
        </w:tabs>
        <w:rPr>
          <w:sz w:val="20"/>
          <w:szCs w:val="20"/>
          <w:color w:val="auto"/>
        </w:rPr>
      </w:pPr>
      <w:r>
        <w:rPr>
          <w:rFonts w:ascii="Arial" w:cs="Arial" w:eastAsia="Arial" w:hAnsi="Arial"/>
          <w:sz w:val="14"/>
          <w:szCs w:val="14"/>
          <w:b w:val="1"/>
          <w:bCs w:val="1"/>
          <w:color w:val="auto"/>
        </w:rPr>
        <w:t>March 31, 2025</w:t>
      </w:r>
      <w:r>
        <w:rPr>
          <w:sz w:val="20"/>
          <w:szCs w:val="20"/>
          <w:color w:val="auto"/>
        </w:rPr>
        <w:tab/>
      </w:r>
      <w:r>
        <w:rPr>
          <w:rFonts w:ascii="Arial" w:cs="Arial" w:eastAsia="Arial" w:hAnsi="Arial"/>
          <w:sz w:val="13"/>
          <w:szCs w:val="13"/>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18415</wp:posOffset>
            </wp:positionV>
            <wp:extent cx="24968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457644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9" w:hanging="209"/>
        <w:spacing w:after="0"/>
        <w:tabs>
          <w:tab w:leader="none" w:pos="209"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83"/>
        </w:numPr>
        <w:rPr>
          <w:rFonts w:ascii="Arial" w:cs="Arial" w:eastAsia="Arial" w:hAnsi="Arial"/>
          <w:sz w:val="15"/>
          <w:szCs w:val="15"/>
          <w:b w:val="1"/>
          <w:bCs w:val="1"/>
          <w:color w:val="auto"/>
        </w:rPr>
      </w:pPr>
    </w:p>
    <w:p>
      <w:pPr>
        <w:spacing w:after="0" w:line="72" w:lineRule="exact"/>
        <w:rPr>
          <w:rFonts w:ascii="Arial" w:cs="Arial" w:eastAsia="Arial" w:hAnsi="Arial"/>
          <w:sz w:val="15"/>
          <w:szCs w:val="15"/>
          <w:b w:val="1"/>
          <w:bCs w:val="1"/>
          <w:color w:val="auto"/>
        </w:rPr>
      </w:pPr>
    </w:p>
    <w:p>
      <w:pPr>
        <w:ind w:left="209" w:hanging="209"/>
        <w:spacing w:after="0"/>
        <w:tabs>
          <w:tab w:leader="none" w:pos="209"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22225</wp:posOffset>
            </wp:positionV>
            <wp:extent cx="1211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46990</wp:posOffset>
            </wp:positionV>
            <wp:extent cx="1211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-132715</wp:posOffset>
            </wp:positionV>
            <wp:extent cx="1211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225" w:hanging="225"/>
        <w:spacing w:after="0"/>
        <w:tabs>
          <w:tab w:leader="none" w:pos="225" w:val="left"/>
        </w:tabs>
        <w:numPr>
          <w:ilvl w:val="0"/>
          <w:numId w:val="85"/>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86"/>
        </w:numPr>
        <w:rPr>
          <w:rFonts w:ascii="Arial" w:cs="Arial" w:eastAsia="Arial" w:hAnsi="Arial"/>
          <w:sz w:val="15"/>
          <w:szCs w:val="15"/>
          <w:color w:val="auto"/>
        </w:rPr>
      </w:pPr>
    </w:p>
    <w:p>
      <w:pPr>
        <w:spacing w:after="0" w:line="72" w:lineRule="exact"/>
        <w:rPr>
          <w:rFonts w:ascii="Arial" w:cs="Arial" w:eastAsia="Arial" w:hAnsi="Arial"/>
          <w:sz w:val="15"/>
          <w:szCs w:val="15"/>
          <w:color w:val="auto"/>
        </w:rPr>
      </w:pPr>
    </w:p>
    <w:p>
      <w:pPr>
        <w:ind w:left="225" w:hanging="225"/>
        <w:spacing w:after="0"/>
        <w:tabs>
          <w:tab w:leader="none" w:pos="225" w:val="left"/>
        </w:tabs>
        <w:numPr>
          <w:ilvl w:val="0"/>
          <w:numId w:val="87"/>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35560</wp:posOffset>
            </wp:positionV>
            <wp:extent cx="1219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60325</wp:posOffset>
            </wp:positionV>
            <wp:extent cx="1219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-119380</wp:posOffset>
            </wp:positionV>
            <wp:extent cx="1219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8131" w:space="720"/>
            <w:col w:w="1304" w:space="720"/>
            <w:col w:w="365"/>
          </w:cols>
          <w:pgMar w:left="320" w:top="248" w:right="339" w:bottom="1440" w:gutter="0" w:footer="0" w:header="0"/>
          <w:type w:val="continuous"/>
        </w:sectPr>
      </w:pPr>
    </w:p>
    <w:p>
      <w:pPr>
        <w:spacing w:after="0" w:line="3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of March 31, 2025 and December 31, 2024, 42% of our single-family conventional guaranty book of business was serviced by depository servicers, and 58% of our single-family conventional guaranty book of business was serviced by non-depository servicers.</w:t>
      </w:r>
    </w:p>
    <w:p>
      <w:pPr>
        <w:spacing w:after="0" w:line="1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table below displays the percentage of our multifamily guaranty book of business serviced by our top five depository multifamily mortgage servicers and top five non-depository multifamily mortgage servicers. As of March 31, 2025, one servicer serviced 10% or more of our multifamily guaranty book of business, Walker &amp; Dunlop, Inc. As of March 31, 2025 and December 31, 2024, Walker &amp; Dunlop, Inc. serviced 14% of our multifamily guaranty book of business based on unpaid principal balance. Walker &amp; Dunlop, Inc. is a non-depository servicer.</w:t>
      </w:r>
    </w:p>
    <w:p>
      <w:pPr>
        <w:spacing w:after="0" w:line="22"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Percentage of Multifamily</w:t>
      </w:r>
    </w:p>
    <w:p>
      <w:pPr>
        <w:spacing w:after="0" w:line="2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17780</wp:posOffset>
            </wp:positionV>
            <wp:extent cx="24968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7"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26670</wp:posOffset>
            </wp:positionV>
            <wp:extent cx="24968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8" w:lineRule="exact"/>
        <w:rPr>
          <w:sz w:val="20"/>
          <w:szCs w:val="20"/>
          <w:color w:val="auto"/>
        </w:rPr>
      </w:pPr>
    </w:p>
    <w:p>
      <w:pPr>
        <w:ind w:left="7780"/>
        <w:spacing w:after="0"/>
        <w:tabs>
          <w:tab w:leader="none" w:pos="9640" w:val="left"/>
        </w:tabs>
        <w:rPr>
          <w:sz w:val="20"/>
          <w:szCs w:val="20"/>
          <w:color w:val="auto"/>
        </w:rPr>
      </w:pPr>
      <w:r>
        <w:rPr>
          <w:rFonts w:ascii="Arial" w:cs="Arial" w:eastAsia="Arial" w:hAnsi="Arial"/>
          <w:sz w:val="14"/>
          <w:szCs w:val="14"/>
          <w:b w:val="1"/>
          <w:bCs w:val="1"/>
          <w:color w:val="auto"/>
        </w:rPr>
        <w:t>March 31, 2025</w:t>
      </w:r>
      <w:r>
        <w:rPr>
          <w:sz w:val="20"/>
          <w:szCs w:val="20"/>
          <w:color w:val="auto"/>
        </w:rPr>
        <w:tab/>
      </w:r>
      <w:r>
        <w:rPr>
          <w:rFonts w:ascii="Arial" w:cs="Arial" w:eastAsia="Arial" w:hAnsi="Arial"/>
          <w:sz w:val="13"/>
          <w:szCs w:val="13"/>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18415</wp:posOffset>
            </wp:positionV>
            <wp:extent cx="24968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457644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9" w:hanging="209"/>
        <w:spacing w:after="0"/>
        <w:tabs>
          <w:tab w:leader="none" w:pos="209"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89"/>
        </w:numPr>
        <w:rPr>
          <w:rFonts w:ascii="Arial" w:cs="Arial" w:eastAsia="Arial" w:hAnsi="Arial"/>
          <w:sz w:val="15"/>
          <w:szCs w:val="15"/>
          <w:b w:val="1"/>
          <w:bCs w:val="1"/>
          <w:color w:val="auto"/>
        </w:rPr>
      </w:pPr>
    </w:p>
    <w:p>
      <w:pPr>
        <w:spacing w:after="0" w:line="72" w:lineRule="exact"/>
        <w:rPr>
          <w:rFonts w:ascii="Arial" w:cs="Arial" w:eastAsia="Arial" w:hAnsi="Arial"/>
          <w:sz w:val="15"/>
          <w:szCs w:val="15"/>
          <w:b w:val="1"/>
          <w:bCs w:val="1"/>
          <w:color w:val="auto"/>
        </w:rPr>
      </w:pPr>
    </w:p>
    <w:p>
      <w:pPr>
        <w:ind w:left="209" w:hanging="209"/>
        <w:spacing w:after="0"/>
        <w:tabs>
          <w:tab w:leader="none" w:pos="209"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22225</wp:posOffset>
            </wp:positionV>
            <wp:extent cx="1211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46990</wp:posOffset>
            </wp:positionV>
            <wp:extent cx="1211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-132715</wp:posOffset>
            </wp:positionV>
            <wp:extent cx="1211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225" w:hanging="225"/>
        <w:spacing w:after="0"/>
        <w:tabs>
          <w:tab w:leader="none" w:pos="225" w:val="left"/>
        </w:tabs>
        <w:numPr>
          <w:ilvl w:val="0"/>
          <w:numId w:val="91"/>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92"/>
        </w:numPr>
        <w:rPr>
          <w:rFonts w:ascii="Arial" w:cs="Arial" w:eastAsia="Arial" w:hAnsi="Arial"/>
          <w:sz w:val="15"/>
          <w:szCs w:val="15"/>
          <w:color w:val="auto"/>
        </w:rPr>
      </w:pPr>
    </w:p>
    <w:p>
      <w:pPr>
        <w:spacing w:after="0" w:line="72" w:lineRule="exact"/>
        <w:rPr>
          <w:rFonts w:ascii="Arial" w:cs="Arial" w:eastAsia="Arial" w:hAnsi="Arial"/>
          <w:sz w:val="15"/>
          <w:szCs w:val="15"/>
          <w:color w:val="auto"/>
        </w:rPr>
      </w:pPr>
    </w:p>
    <w:p>
      <w:pPr>
        <w:ind w:left="225" w:hanging="225"/>
        <w:spacing w:after="0"/>
        <w:tabs>
          <w:tab w:leader="none" w:pos="225" w:val="left"/>
        </w:tabs>
        <w:numPr>
          <w:ilvl w:val="0"/>
          <w:numId w:val="93"/>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35560</wp:posOffset>
            </wp:positionV>
            <wp:extent cx="1219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60325</wp:posOffset>
            </wp:positionV>
            <wp:extent cx="1219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-119380</wp:posOffset>
            </wp:positionV>
            <wp:extent cx="1219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8131" w:space="720"/>
            <w:col w:w="1304" w:space="720"/>
            <w:col w:w="365"/>
          </w:cols>
          <w:pgMar w:left="320" w:top="248" w:right="339" w:bottom="1440" w:gutter="0" w:footer="0" w:header="0"/>
          <w:type w:val="continuous"/>
        </w:sectPr>
      </w:pPr>
    </w:p>
    <w:p>
      <w:pPr>
        <w:spacing w:after="0" w:line="32"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As of March 31, 2025, 30% of our multifamily guaranty book of business was serviced by depository servicers and 70% of our multifamily guaranty book of business was serviced by non-depository servicers. As of December 31, 2024, 31% of our multifamily guaranty book of business was serviced by depository servicers and 69% of our multifamily guaranty book of business was serviced by non-depository servicers.</w:t>
      </w:r>
    </w:p>
    <w:p>
      <w:pPr>
        <w:spacing w:after="0" w:line="3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Compared with depository financial institutions, our non-depository servicers pose additional risks because they may not have the same financial strength or operational capacity, or be subject to the same level of regulatory oversight as depository financial institutions.</w:t>
      </w:r>
    </w:p>
    <w:p>
      <w:pPr>
        <w:spacing w:after="0" w:line="1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i w:val="1"/>
          <w:iCs w:val="1"/>
          <w:color w:val="auto"/>
        </w:rPr>
        <w:t xml:space="preserve">Derivatives Counterparties. </w:t>
      </w:r>
      <w:r>
        <w:rPr>
          <w:rFonts w:ascii="Arial" w:cs="Arial" w:eastAsia="Arial" w:hAnsi="Arial"/>
          <w:sz w:val="16"/>
          <w:szCs w:val="16"/>
          <w:color w:val="auto"/>
        </w:rPr>
        <w:t>For information on credit risk associated with our derivative transactions and repurchase agreements see “Note 9,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“Note 12,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95" w:name="page96"/>
    <w:bookmarkEnd w:id="95"/>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12. Netting Arrangements</w:t>
      </w:r>
    </w:p>
    <w:p>
      <w:pPr>
        <w:spacing w:after="0" w:line="8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use master netting arrangements, which allow us to offset certain financial instruments and collateral with the same counterparty, to minimize counterparty credit exposure. The tables below display information related to derivatives, securities purchased under agreements to resell, and securities sold under agreements to repurchase, which are subject to an enforceable master netting arrangement or similar agreement that are either offset or not offset in our condensed consolidated balance sheets.</w:t>
      </w:r>
    </w:p>
    <w:p>
      <w:pPr>
        <w:spacing w:after="0" w:line="99"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900" w:type="dxa"/>
            <w:vAlign w:val="bottom"/>
            <w:tcBorders>
              <w:bottom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As of March 31, 2025</w:t>
            </w:r>
          </w:p>
        </w:tc>
        <w:tc>
          <w:tcPr>
            <w:tcW w:w="1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19"/>
                <w:szCs w:val="19"/>
                <w:color w:val="auto"/>
              </w:rPr>
            </w:pPr>
          </w:p>
        </w:tc>
        <w:tc>
          <w:tcPr>
            <w:tcW w:w="2760" w:type="dxa"/>
            <w:vAlign w:val="bottom"/>
            <w:gridSpan w:val="12"/>
            <w:vMerge w:val="restart"/>
          </w:tcPr>
          <w:p>
            <w:pPr>
              <w:jc w:val="center"/>
              <w:ind w:right="10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6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240"/>
              <w:spacing w:after="0" w:line="131"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vMerge w:val="restart"/>
          </w:tcPr>
          <w:p>
            <w:pPr>
              <w:jc w:val="center"/>
              <w:ind w:right="330"/>
              <w:spacing w:after="0" w:line="131" w:lineRule="exact"/>
              <w:rPr>
                <w:sz w:val="20"/>
                <w:szCs w:val="20"/>
                <w:color w:val="auto"/>
              </w:rPr>
            </w:pPr>
            <w:r>
              <w:rPr>
                <w:rFonts w:ascii="Arial" w:cs="Arial" w:eastAsia="Arial" w:hAnsi="Arial"/>
                <w:sz w:val="14"/>
                <w:szCs w:val="14"/>
                <w:b w:val="1"/>
                <w:bCs w:val="1"/>
                <w:color w:val="auto"/>
                <w:w w:val="97"/>
              </w:rPr>
              <w:t>Condensed</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Offset</w:t>
            </w:r>
            <w:r>
              <w:rPr>
                <w:rFonts w:ascii="Arial" w:cs="Arial" w:eastAsia="Arial" w:hAnsi="Arial"/>
                <w:sz w:val="17"/>
                <w:szCs w:val="17"/>
                <w:b w:val="1"/>
                <w:bCs w:val="1"/>
                <w:color w:val="auto"/>
                <w:w w:val="99"/>
                <w:vertAlign w:val="superscript"/>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8"/>
              </w:rPr>
              <w:t>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7"/>
              </w:rPr>
              <w:t>Instruments</w:t>
            </w:r>
            <w:r>
              <w:rPr>
                <w:rFonts w:ascii="Arial" w:cs="Arial" w:eastAsia="Arial" w:hAnsi="Arial"/>
                <w:sz w:val="8"/>
                <w:szCs w:val="8"/>
                <w:b w:val="1"/>
                <w:bCs w:val="1"/>
                <w:color w:val="auto"/>
                <w:w w:val="97"/>
              </w:rPr>
              <w:t>(2)</w:t>
            </w:r>
          </w:p>
        </w:tc>
        <w:tc>
          <w:tcPr>
            <w:tcW w:w="1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900" w:type="dxa"/>
            <w:vAlign w:val="bottom"/>
            <w:tcBorders>
              <w:top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380" w:type="dxa"/>
            <w:vAlign w:val="bottom"/>
            <w:tcBorders>
              <w:top w:val="single" w:sz="8" w:color="2C6937"/>
            </w:tcBorders>
          </w:tcPr>
          <w:p>
            <w:pPr>
              <w:spacing w:after="0"/>
              <w:rPr>
                <w:sz w:val="16"/>
                <w:szCs w:val="16"/>
                <w:color w:val="auto"/>
              </w:rPr>
            </w:pPr>
          </w:p>
        </w:tc>
        <w:tc>
          <w:tcPr>
            <w:tcW w:w="52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450</w:t>
            </w:r>
          </w:p>
        </w:tc>
        <w:tc>
          <w:tcPr>
            <w:tcW w:w="40" w:type="dxa"/>
            <w:vAlign w:val="bottom"/>
          </w:tcPr>
          <w:p>
            <w:pPr>
              <w:spacing w:after="0"/>
              <w:rPr>
                <w:sz w:val="21"/>
                <w:szCs w:val="21"/>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(407)</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43</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48"/>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52</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24"/>
              <w:spacing w:after="0"/>
              <w:rPr>
                <w:sz w:val="20"/>
                <w:szCs w:val="20"/>
                <w:color w:val="auto"/>
              </w:rPr>
            </w:pPr>
            <w:r>
              <w:rPr>
                <w:rFonts w:ascii="Arial" w:cs="Arial" w:eastAsia="Arial" w:hAnsi="Arial"/>
                <w:sz w:val="15"/>
                <w:szCs w:val="15"/>
                <w:color w:val="auto"/>
                <w:w w:val="97"/>
              </w:rPr>
              <w:t>(19)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60" w:type="dxa"/>
            <w:vAlign w:val="bottom"/>
            <w:gridSpan w:val="2"/>
          </w:tcPr>
          <w:p>
            <w:pPr>
              <w:ind w:left="32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103</w:t>
            </w: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(19)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71,494</w:t>
            </w:r>
          </w:p>
        </w:tc>
        <w:tc>
          <w:tcPr>
            <w:tcW w:w="4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71,494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(71,494)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71,996</w:t>
            </w:r>
          </w:p>
        </w:tc>
        <w:tc>
          <w:tcPr>
            <w:tcW w:w="4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(399)</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71,597</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(19)</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(71,495)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ind w:right="248"/>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(1,920)</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1,920</w:t>
            </w:r>
          </w:p>
        </w:tc>
        <w:tc>
          <w:tcPr>
            <w:tcW w:w="40" w:type="dxa"/>
            <w:vAlign w:val="bottom"/>
          </w:tcPr>
          <w:p>
            <w:pPr>
              <w:spacing w:after="0"/>
              <w:rPr>
                <w:sz w:val="21"/>
                <w:szCs w:val="21"/>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1280" w:type="dxa"/>
            <w:vAlign w:val="bottom"/>
            <w:gridSpan w:val="3"/>
          </w:tcPr>
          <w:p>
            <w:pPr>
              <w:jc w:val="right"/>
              <w:ind w:right="470"/>
              <w:spacing w:after="0"/>
              <w:rPr>
                <w:sz w:val="20"/>
                <w:szCs w:val="20"/>
                <w:color w:val="auto"/>
              </w:rPr>
            </w:pPr>
            <w:r>
              <w:rPr>
                <w:rFonts w:ascii="Arial" w:cs="Arial" w:eastAsia="Arial" w:hAnsi="Arial"/>
                <w:sz w:val="15"/>
                <w:szCs w:val="15"/>
                <w:color w:val="auto"/>
              </w:rPr>
              <w:t>—</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48"/>
              <w:spacing w:after="0"/>
              <w:rPr>
                <w:sz w:val="20"/>
                <w:szCs w:val="20"/>
                <w:color w:val="auto"/>
              </w:rPr>
            </w:pPr>
            <w:r>
              <w:rPr>
                <w:rFonts w:ascii="Arial" w:cs="Arial" w:eastAsia="Arial" w:hAnsi="Arial"/>
                <w:sz w:val="15"/>
                <w:szCs w:val="15"/>
                <w:color w:val="auto"/>
                <w:w w:val="95"/>
              </w:rPr>
              <w:t>$</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(27)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(111)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(111)</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44"/>
              <w:spacing w:after="0"/>
              <w:rPr>
                <w:sz w:val="20"/>
                <w:szCs w:val="20"/>
                <w:color w:val="auto"/>
              </w:rPr>
            </w:pPr>
            <w:r>
              <w:rPr>
                <w:rFonts w:ascii="Arial" w:cs="Arial" w:eastAsia="Arial" w:hAnsi="Arial"/>
                <w:sz w:val="15"/>
                <w:szCs w:val="15"/>
                <w:color w:val="auto"/>
                <w:w w:val="95"/>
              </w:rPr>
              <w:t>19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(2,031)</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1,893</w:t>
            </w:r>
          </w:p>
        </w:tc>
        <w:tc>
          <w:tcPr>
            <w:tcW w:w="40" w:type="dxa"/>
            <w:vAlign w:val="bottom"/>
          </w:tcPr>
          <w:p>
            <w:pPr>
              <w:spacing w:after="0"/>
              <w:rPr>
                <w:sz w:val="17"/>
                <w:szCs w:val="17"/>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(138)</w:t>
            </w:r>
          </w:p>
        </w:tc>
        <w:tc>
          <w:tcPr>
            <w:tcW w:w="440" w:type="dxa"/>
            <w:vAlign w:val="bottom"/>
            <w:gridSpan w:val="2"/>
            <w:vMerge w:val="continue"/>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44"/>
              <w:spacing w:after="0"/>
              <w:rPr>
                <w:sz w:val="20"/>
                <w:szCs w:val="20"/>
                <w:color w:val="auto"/>
              </w:rPr>
            </w:pPr>
            <w:r>
              <w:rPr>
                <w:rFonts w:ascii="Arial" w:cs="Arial" w:eastAsia="Arial" w:hAnsi="Arial"/>
                <w:sz w:val="15"/>
                <w:szCs w:val="15"/>
                <w:color w:val="auto"/>
                <w:w w:val="95"/>
              </w:rPr>
              <w:t>19</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ind w:right="248"/>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8"/>
              </w:rPr>
              <w:t>As of December 31, 2024</w:t>
            </w:r>
          </w:p>
        </w:tc>
        <w:tc>
          <w:tcPr>
            <w:tcW w:w="1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5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jc w:val="center"/>
              <w:ind w:right="370"/>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21"/>
                <w:szCs w:val="21"/>
                <w:color w:val="auto"/>
              </w:rPr>
            </w:pPr>
          </w:p>
        </w:tc>
        <w:tc>
          <w:tcPr>
            <w:tcW w:w="2760" w:type="dxa"/>
            <w:vAlign w:val="bottom"/>
            <w:gridSpan w:val="12"/>
            <w:vMerge w:val="restart"/>
          </w:tcPr>
          <w:p>
            <w:pPr>
              <w:jc w:val="center"/>
              <w:ind w:right="6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00"/>
              <w:spacing w:after="0"/>
              <w:rPr>
                <w:sz w:val="20"/>
                <w:szCs w:val="20"/>
                <w:color w:val="auto"/>
              </w:rPr>
            </w:pPr>
            <w:r>
              <w:rPr>
                <w:rFonts w:ascii="Arial" w:cs="Arial" w:eastAsia="Arial" w:hAnsi="Arial"/>
                <w:sz w:val="14"/>
                <w:szCs w:val="14"/>
                <w:b w:val="1"/>
                <w:bCs w:val="1"/>
                <w:color w:val="auto"/>
                <w:w w:val="98"/>
              </w:rPr>
              <w:t>Consolidated Balance Sheets</w:t>
            </w: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350"/>
              <w:spacing w:after="0" w:line="119" w:lineRule="exact"/>
              <w:rPr>
                <w:sz w:val="20"/>
                <w:szCs w:val="20"/>
                <w:color w:val="auto"/>
              </w:rPr>
            </w:pPr>
            <w:r>
              <w:rPr>
                <w:rFonts w:ascii="Arial" w:cs="Arial" w:eastAsia="Arial" w:hAnsi="Arial"/>
                <w:sz w:val="13"/>
                <w:szCs w:val="13"/>
                <w:b w:val="1"/>
                <w:bCs w:val="1"/>
                <w:color w:val="auto"/>
              </w:rPr>
              <w:t>Condensed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gridSpan w:val="9"/>
            <w:vMerge w:val="continue"/>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8"/>
              </w:rPr>
              <w:t>Consolidated Balance</w:t>
            </w:r>
          </w:p>
        </w:tc>
        <w:tc>
          <w:tcPr>
            <w:tcW w:w="2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1260" w:type="dxa"/>
            <w:vAlign w:val="bottom"/>
            <w:tcBorders>
              <w:top w:val="single" w:sz="8" w:color="2C6937"/>
            </w:tcBorders>
            <w:gridSpan w:val="3"/>
          </w:tcPr>
          <w:p>
            <w:pPr>
              <w:jc w:val="center"/>
              <w:ind w:right="54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Borders>
              <w:top w:val="single" w:sz="8" w:color="2C6937"/>
            </w:tcBorders>
          </w:tcPr>
          <w:p>
            <w:pPr>
              <w:spacing w:after="0"/>
              <w:rPr>
                <w:sz w:val="15"/>
                <w:szCs w:val="15"/>
                <w:color w:val="auto"/>
              </w:rPr>
            </w:pPr>
          </w:p>
        </w:tc>
        <w:tc>
          <w:tcPr>
            <w:tcW w:w="86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Offset</w:t>
            </w:r>
            <w:r>
              <w:rPr>
                <w:rFonts w:ascii="Arial" w:cs="Arial" w:eastAsia="Arial" w:hAnsi="Arial"/>
                <w:sz w:val="17"/>
                <w:szCs w:val="17"/>
                <w:b w:val="1"/>
                <w:bCs w:val="1"/>
                <w:color w:val="auto"/>
                <w:w w:val="91"/>
                <w:vertAlign w:val="superscript"/>
              </w:rPr>
              <w:t>(1)</w:t>
            </w:r>
          </w:p>
        </w:tc>
        <w:tc>
          <w:tcPr>
            <w:tcW w:w="2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3"/>
          </w:tcPr>
          <w:p>
            <w:pPr>
              <w:jc w:val="center"/>
              <w:ind w:right="350"/>
              <w:spacing w:after="0"/>
              <w:rPr>
                <w:sz w:val="20"/>
                <w:szCs w:val="20"/>
                <w:color w:val="auto"/>
              </w:rPr>
            </w:pPr>
            <w:r>
              <w:rPr>
                <w:rFonts w:ascii="Arial" w:cs="Arial" w:eastAsia="Arial" w:hAnsi="Arial"/>
                <w:sz w:val="14"/>
                <w:szCs w:val="14"/>
                <w:b w:val="1"/>
                <w:bCs w:val="1"/>
                <w:color w:val="auto"/>
                <w:w w:val="95"/>
              </w:rPr>
              <w:t>Sheets</w:t>
            </w: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4"/>
          </w:tcPr>
          <w:p>
            <w:pPr>
              <w:jc w:val="center"/>
              <w:ind w:right="400"/>
              <w:spacing w:after="0"/>
              <w:rPr>
                <w:sz w:val="20"/>
                <w:szCs w:val="20"/>
                <w:color w:val="auto"/>
              </w:rPr>
            </w:pPr>
            <w:r>
              <w:rPr>
                <w:rFonts w:ascii="Arial" w:cs="Arial" w:eastAsia="Arial" w:hAnsi="Arial"/>
                <w:sz w:val="14"/>
                <w:szCs w:val="14"/>
                <w:b w:val="1"/>
                <w:bCs w:val="1"/>
                <w:color w:val="auto"/>
                <w:w w:val="93"/>
              </w:rPr>
              <w:t>Instruments</w:t>
            </w:r>
            <w:r>
              <w:rPr>
                <w:rFonts w:ascii="Arial" w:cs="Arial" w:eastAsia="Arial" w:hAnsi="Arial"/>
                <w:sz w:val="17"/>
                <w:szCs w:val="17"/>
                <w:b w:val="1"/>
                <w:bCs w:val="1"/>
                <w:color w:val="auto"/>
                <w:w w:val="93"/>
                <w:vertAlign w:val="superscript"/>
              </w:rPr>
              <w:t>(2)</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5"/>
          </w:tcPr>
          <w:p>
            <w:pPr>
              <w:ind w:left="20"/>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401</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(383)</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6937"/>
            </w:tcBorders>
          </w:tcPr>
          <w:p>
            <w:pPr>
              <w:spacing w:after="0"/>
              <w:rPr>
                <w:sz w:val="18"/>
                <w:szCs w:val="18"/>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112</w:t>
            </w:r>
          </w:p>
        </w:tc>
        <w:tc>
          <w:tcPr>
            <w:tcW w:w="20" w:type="dxa"/>
            <w:vAlign w:val="bottom"/>
            <w:tcBorders>
              <w:bottom w:val="single" w:sz="8" w:color="2C6937"/>
            </w:tcBorders>
          </w:tcPr>
          <w:p>
            <w:pPr>
              <w:spacing w:after="0"/>
              <w:rPr>
                <w:sz w:val="18"/>
                <w:szCs w:val="18"/>
                <w:color w:val="auto"/>
              </w:rPr>
            </w:pPr>
          </w:p>
        </w:tc>
        <w:tc>
          <w:tcPr>
            <w:tcW w:w="420" w:type="dxa"/>
            <w:vAlign w:val="bottom"/>
            <w:vMerge w:val="restart"/>
          </w:tcPr>
          <w:p>
            <w:pPr>
              <w:jc w:val="right"/>
              <w:ind w:right="25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(91)</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4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60" w:type="dxa"/>
            <w:vAlign w:val="bottom"/>
            <w:gridSpan w:val="2"/>
          </w:tcPr>
          <w:p>
            <w:pPr>
              <w:ind w:left="26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513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(362)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5"/>
                <w:szCs w:val="15"/>
                <w:color w:val="auto"/>
              </w:rPr>
              <w:t>151</w:t>
            </w:r>
          </w:p>
        </w:tc>
        <w:tc>
          <w:tcPr>
            <w:tcW w:w="4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64"/>
              <w:spacing w:after="0"/>
              <w:rPr>
                <w:sz w:val="20"/>
                <w:szCs w:val="20"/>
                <w:color w:val="auto"/>
              </w:rPr>
            </w:pPr>
            <w:r>
              <w:rPr>
                <w:rFonts w:ascii="Arial" w:cs="Arial" w:eastAsia="Arial" w:hAnsi="Arial"/>
                <w:sz w:val="15"/>
                <w:szCs w:val="15"/>
                <w:color w:val="auto"/>
                <w:w w:val="97"/>
              </w:rPr>
              <w:t>(91)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Borders>
              <w:bottom w:val="single" w:sz="8" w:color="2C6937"/>
            </w:tcBorders>
          </w:tcPr>
          <w:p>
            <w:pPr>
              <w:spacing w:after="0"/>
              <w:rPr>
                <w:sz w:val="20"/>
                <w:szCs w:val="20"/>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56,250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56,250</w:t>
            </w:r>
          </w:p>
        </w:tc>
        <w:tc>
          <w:tcPr>
            <w:tcW w:w="20" w:type="dxa"/>
            <w:vAlign w:val="bottom"/>
            <w:tcBorders>
              <w:bottom w:val="single" w:sz="8" w:color="2C6937"/>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(56,250)</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5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368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Total assets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56,763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(362)</w:t>
            </w: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56,401</w:t>
            </w:r>
          </w:p>
        </w:tc>
        <w:tc>
          <w:tcPr>
            <w:tcW w:w="20" w:type="dxa"/>
            <w:vAlign w:val="bottom"/>
            <w:tcBorders>
              <w:bottom w:val="single" w:sz="8" w:color="2C6937"/>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gridSpan w:val="3"/>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(91)</w:t>
            </w:r>
          </w:p>
        </w:tc>
        <w:tc>
          <w:tcPr>
            <w:tcW w:w="20" w:type="dxa"/>
            <w:vAlign w:val="bottom"/>
            <w:tcBorders>
              <w:bottom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(56,264)</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w:t>
            </w:r>
          </w:p>
        </w:tc>
        <w:tc>
          <w:tcPr>
            <w:tcW w:w="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2C6937"/>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(2,368)</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2,368</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450"/>
              <w:spacing w:after="0"/>
              <w:rPr>
                <w:sz w:val="20"/>
                <w:szCs w:val="20"/>
                <w:color w:val="auto"/>
              </w:rPr>
            </w:pPr>
            <w:r>
              <w:rPr>
                <w:rFonts w:ascii="Arial" w:cs="Arial" w:eastAsia="Arial" w:hAnsi="Arial"/>
                <w:sz w:val="15"/>
                <w:szCs w:val="15"/>
                <w:color w:val="auto"/>
              </w:rPr>
              <w:t>—</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0" w:type="dxa"/>
            <w:vAlign w:val="bottom"/>
            <w:tcBorders>
              <w:bottom w:val="single" w:sz="8" w:color="2C6937"/>
            </w:tcBorders>
          </w:tcPr>
          <w:p>
            <w:pPr>
              <w:spacing w:after="0"/>
              <w:rPr>
                <w:sz w:val="18"/>
                <w:szCs w:val="18"/>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(137)</w:t>
            </w:r>
          </w:p>
        </w:tc>
        <w:tc>
          <w:tcPr>
            <w:tcW w:w="20" w:type="dxa"/>
            <w:vAlign w:val="bottom"/>
            <w:tcBorders>
              <w:bottom w:val="single" w:sz="8" w:color="2C6937"/>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0"/>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Total liabilities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(2,505)</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2,367</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50"/>
              <w:spacing w:after="0" w:line="200" w:lineRule="exact"/>
              <w:rPr>
                <w:sz w:val="20"/>
                <w:szCs w:val="20"/>
                <w:color w:val="auto"/>
              </w:rPr>
            </w:pPr>
            <w:r>
              <w:rPr>
                <w:rFonts w:ascii="Arial" w:cs="Arial" w:eastAsia="Arial" w:hAnsi="Arial"/>
                <w:sz w:val="15"/>
                <w:szCs w:val="15"/>
                <w:color w:val="auto"/>
              </w:rPr>
              <w:t xml:space="preserve">(138) </w:t>
            </w:r>
            <w:r>
              <w:rPr>
                <w:rFonts w:ascii="Arial" w:cs="Arial" w:eastAsia="Arial" w:hAnsi="Arial"/>
                <w:sz w:val="20"/>
                <w:szCs w:val="20"/>
                <w:color w:val="auto"/>
                <w:vertAlign w:val="superscript"/>
              </w:rPr>
              <w:t>(4)</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91</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60" w:type="dxa"/>
            <w:vAlign w:val="bottom"/>
            <w:tcBorders>
              <w:top w:val="single" w:sz="8" w:color="2C6937"/>
              <w:bottom w:val="single" w:sz="8" w:color="2C6937"/>
            </w:tcBorders>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240" w:hanging="237"/>
        <w:spacing w:after="0" w:line="226" w:lineRule="auto"/>
        <w:tabs>
          <w:tab w:leader="none" w:pos="233"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Represents the effect of the right to offset under legally enforceable master netting arrangements to settle with the same counterparty on a net basis, including cash collateral posted and received and accrued interest.</w:t>
      </w:r>
    </w:p>
    <w:p>
      <w:pPr>
        <w:spacing w:after="0" w:line="27" w:lineRule="exact"/>
        <w:rPr>
          <w:rFonts w:ascii="Arial" w:cs="Arial" w:eastAsia="Arial" w:hAnsi="Arial"/>
          <w:sz w:val="18"/>
          <w:szCs w:val="18"/>
          <w:color w:val="auto"/>
          <w:vertAlign w:val="superscript"/>
        </w:rPr>
      </w:pPr>
    </w:p>
    <w:p>
      <w:pPr>
        <w:ind w:left="240" w:right="700" w:hanging="237"/>
        <w:spacing w:after="0" w:line="226" w:lineRule="auto"/>
        <w:tabs>
          <w:tab w:leader="none" w:pos="233"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Mortgage commitment derivative amounts reflect where we have recognized both an asset and a liability with the same counterparty under an enforceable master netting arrangement but we have not elected to offset the related amounts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96" w:name="page97"/>
    <w:bookmarkEnd w:id="96"/>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380" w:hanging="237"/>
        <w:spacing w:after="0" w:line="226" w:lineRule="auto"/>
        <w:tabs>
          <w:tab w:leader="none" w:pos="233"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Represents collateral received that has not been recognized and has not been offset in our condensed consolidated balance sheets, as well as collateral posted that has been recognized but not offset in our condensed consolidated balance sheets. Does not include collateral held or posted in excess of our exposure.</w:t>
      </w:r>
    </w:p>
    <w:p>
      <w:pPr>
        <w:spacing w:after="0" w:line="27" w:lineRule="exact"/>
        <w:rPr>
          <w:rFonts w:ascii="Arial" w:cs="Arial" w:eastAsia="Arial" w:hAnsi="Arial"/>
          <w:sz w:val="18"/>
          <w:szCs w:val="18"/>
          <w:color w:val="auto"/>
          <w:vertAlign w:val="superscript"/>
        </w:rPr>
      </w:pPr>
    </w:p>
    <w:p>
      <w:pPr>
        <w:ind w:left="240" w:hanging="237"/>
        <w:spacing w:after="0" w:line="233" w:lineRule="auto"/>
        <w:tabs>
          <w:tab w:leader="none" w:pos="233" w:val="left"/>
        </w:tabs>
        <w:numPr>
          <w:ilvl w:val="0"/>
          <w:numId w:val="95"/>
        </w:numPr>
        <w:rPr>
          <w:rFonts w:ascii="Arial" w:cs="Arial" w:eastAsia="Arial" w:hAnsi="Arial"/>
          <w:sz w:val="17"/>
          <w:szCs w:val="17"/>
          <w:color w:val="auto"/>
          <w:vertAlign w:val="superscript"/>
        </w:rPr>
      </w:pPr>
      <w:r>
        <w:rPr>
          <w:rFonts w:ascii="Arial" w:cs="Arial" w:eastAsia="Arial" w:hAnsi="Arial"/>
          <w:sz w:val="13"/>
          <w:szCs w:val="13"/>
          <w:color w:val="auto"/>
        </w:rPr>
        <w:t>Excludes derivative assets of $24 million and $28 million as of March 31, 2025 and December 31, 2024, respectively, and derivative liabilities of $19 million and $16 million as of March 31, 2025 and December 31, 2024, respectively, recognized in our condensed consolidated balance sheets, that were not subject to enforceable master netting arrangements.</w:t>
      </w:r>
    </w:p>
    <w:p>
      <w:pPr>
        <w:spacing w:after="0" w:line="26" w:lineRule="exact"/>
        <w:rPr>
          <w:rFonts w:ascii="Arial" w:cs="Arial" w:eastAsia="Arial" w:hAnsi="Arial"/>
          <w:sz w:val="17"/>
          <w:szCs w:val="17"/>
          <w:color w:val="auto"/>
          <w:vertAlign w:val="superscript"/>
        </w:rPr>
      </w:pPr>
    </w:p>
    <w:p>
      <w:pPr>
        <w:ind w:left="240" w:right="40" w:hanging="237"/>
        <w:spacing w:after="0" w:line="264" w:lineRule="auto"/>
        <w:tabs>
          <w:tab w:leader="none" w:pos="233" w:val="left"/>
        </w:tabs>
        <w:numPr>
          <w:ilvl w:val="0"/>
          <w:numId w:val="95"/>
        </w:numPr>
        <w:rPr>
          <w:rFonts w:ascii="Arial" w:cs="Arial" w:eastAsia="Arial" w:hAnsi="Arial"/>
          <w:sz w:val="9"/>
          <w:szCs w:val="9"/>
          <w:color w:val="auto"/>
        </w:rPr>
      </w:pPr>
      <w:r>
        <w:rPr>
          <w:rFonts w:ascii="Arial" w:cs="Arial" w:eastAsia="Arial" w:hAnsi="Arial"/>
          <w:sz w:val="14"/>
          <w:szCs w:val="14"/>
          <w:color w:val="auto"/>
        </w:rPr>
        <w:t>Includes $25.9 billion and $25.4 billion in securities purchased under agreements to resell classified as “Cash and cash equivalents” in our condensed consolidated balance sheets as of March 31, 2025 and December 31, 2024, respectively. Includes $13.8 billion and $14.9 billion in securities purchased under agreements to resell classified as “Restricted cash and cash equivalents” in our condensed consolidated balance sheets as of March 31, 2025 and December 31, 2024, respectively.</w:t>
      </w:r>
    </w:p>
    <w:p>
      <w:pPr>
        <w:spacing w:after="0" w:line="34"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Derivative instruments are recorded at fair value and securities purchased under agreements to resell are recorded at amortized cost in our condensed consolidated balance sheets. For a discussion of how we determine our rights to offset the assets and liabilities presented above with the same counterparty, including collateral posted or received, see “Note 15, Netting Arrangements” in our 2024 Form 10-K.</w:t>
      </w:r>
    </w:p>
    <w:p>
      <w:pPr>
        <w:spacing w:after="0" w:line="129"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13. Fair Value</w:t>
      </w:r>
    </w:p>
    <w:p>
      <w:pPr>
        <w:spacing w:after="0" w:line="8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We use fair value measurements for the initial recording of certain assets and liabilities and periodic remeasurement of certain assets and liabilities on a recurring or nonrecurring basis.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Measurement</w:t>
      </w:r>
    </w:p>
    <w:p>
      <w:pPr>
        <w:spacing w:after="0" w:line="81" w:lineRule="exact"/>
        <w:rPr>
          <w:sz w:val="20"/>
          <w:szCs w:val="20"/>
          <w:color w:val="auto"/>
        </w:rPr>
      </w:pPr>
    </w:p>
    <w:p>
      <w:pPr>
        <w:ind w:right="520"/>
        <w:spacing w:after="0" w:line="272" w:lineRule="auto"/>
        <w:rPr>
          <w:sz w:val="20"/>
          <w:szCs w:val="20"/>
          <w:color w:val="auto"/>
        </w:rPr>
      </w:pPr>
      <w:r>
        <w:rPr>
          <w:rFonts w:ascii="Arial" w:cs="Arial" w:eastAsia="Arial" w:hAnsi="Arial"/>
          <w:sz w:val="16"/>
          <w:szCs w:val="16"/>
          <w:color w:val="auto"/>
        </w:rPr>
        <w:t>Fair value measurement guidance defines fair value, establishes a framework for measuring fair value and sets forth disclosures around fair value measurements. This guidance applies whenever other accounting guidance requires or permits assets or liabilities to be measured at fair value. The guidance establishes a three-level fair value hierarchy that prioritizes the inputs into the valuation techniques used to measure fair value as follows:</w:t>
      </w:r>
    </w:p>
    <w:p>
      <w:pPr>
        <w:spacing w:after="0" w:line="32" w:lineRule="exact"/>
        <w:rPr>
          <w:sz w:val="20"/>
          <w:szCs w:val="20"/>
          <w:color w:val="auto"/>
        </w:rPr>
      </w:pPr>
    </w:p>
    <w:p>
      <w:pPr>
        <w:ind w:left="620" w:hanging="307"/>
        <w:spacing w:after="0"/>
        <w:tabs>
          <w:tab w:leader="none" w:pos="6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for identical assets or liabilities.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6"/>
          <w:szCs w:val="16"/>
          <w:color w:val="auto"/>
        </w:rPr>
        <w:t>Level 2: Limited observable inputs or observable inputs for similar assets and liabilities.</w:t>
      </w:r>
    </w:p>
    <w:p>
      <w:pPr>
        <w:spacing w:after="0" w:line="86" w:lineRule="exact"/>
        <w:rPr>
          <w:rFonts w:ascii="Times New Roman" w:cs="Times New Roman" w:eastAsia="Times New Roman" w:hAnsi="Times New Roman"/>
          <w:sz w:val="16"/>
          <w:szCs w:val="16"/>
          <w:color w:val="auto"/>
        </w:rPr>
      </w:pPr>
    </w:p>
    <w:p>
      <w:pPr>
        <w:ind w:left="620" w:hanging="307"/>
        <w:spacing w:after="0"/>
        <w:tabs>
          <w:tab w:leader="none" w:pos="620"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6"/>
          <w:szCs w:val="16"/>
          <w:color w:val="auto"/>
        </w:rPr>
        <w:t>Level 3: Unobservable inputs.</w:t>
      </w:r>
    </w:p>
    <w:p>
      <w:pPr>
        <w:spacing w:after="0" w:line="8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See “Note 16, Fair Value” in our 2024 Form 10-K for information on the valuation control processes and the valuation techniques we use for fair value measurement and disclosure as well as our basis for classifying these measurements as Level 1, Level 2 or Level 3 of the valuation hierarchy in more specific situations. If the inputs used to measure assets or liabilities at fair value change, it may also result in a change in classification between Levels 1, 2, and 3. We made no material changes to the valuation control processes or the valuation techniques 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356870</wp:posOffset>
            </wp:positionV>
            <wp:extent cx="680593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97" w:name="page98"/>
    <w:bookmarkEnd w:id="97"/>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Recurring Changes in Fair Value</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tables display our assets and liabilities measured in our condensed consolidated balance sheets at fair value on a recurring basis subsequent to initial recognition, including instruments for which we have elected the fair value option.</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36601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36601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36601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36601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340"/>
        <w:spacing w:after="0"/>
        <w:rPr>
          <w:sz w:val="20"/>
          <w:szCs w:val="20"/>
          <w:color w:val="auto"/>
        </w:rPr>
      </w:pPr>
      <w:r>
        <w:rPr>
          <w:rFonts w:ascii="Arial" w:cs="Arial" w:eastAsia="Arial" w:hAnsi="Arial"/>
          <w:sz w:val="12"/>
          <w:szCs w:val="12"/>
          <w:b w:val="1"/>
          <w:bCs w:val="1"/>
          <w:color w:val="auto"/>
        </w:rPr>
        <w:t>Fair Value Measurements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46577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65772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Quoted Prices 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10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580" w:type="dxa"/>
            <w:vAlign w:val="bottom"/>
            <w:gridSpan w:val="4"/>
          </w:tcPr>
          <w:p>
            <w:pPr>
              <w:jc w:val="center"/>
              <w:ind w:right="200"/>
              <w:spacing w:after="0" w:line="129" w:lineRule="exact"/>
              <w:rPr>
                <w:sz w:val="20"/>
                <w:szCs w:val="20"/>
                <w:color w:val="auto"/>
              </w:rPr>
            </w:pPr>
            <w:r>
              <w:rPr>
                <w:rFonts w:ascii="Arial" w:cs="Arial" w:eastAsia="Arial" w:hAnsi="Arial"/>
                <w:sz w:val="12"/>
                <w:szCs w:val="12"/>
                <w:b w:val="1"/>
                <w:bCs w:val="1"/>
                <w:color w:val="auto"/>
              </w:rPr>
              <w:t>Identical Assets (Level</w:t>
            </w:r>
          </w:p>
        </w:tc>
        <w:tc>
          <w:tcPr>
            <w:tcW w:w="11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9"/>
              </w:rPr>
              <w:t>Observable Inputs</w:t>
            </w:r>
          </w:p>
        </w:tc>
        <w:tc>
          <w:tcPr>
            <w:tcW w:w="1640" w:type="dxa"/>
            <w:vAlign w:val="bottom"/>
            <w:gridSpan w:val="4"/>
          </w:tcPr>
          <w:p>
            <w:pPr>
              <w:jc w:val="center"/>
              <w:ind w:left="80"/>
              <w:spacing w:after="0" w:line="129"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13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42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93"/>
        </w:trPr>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center"/>
              <w:ind w:right="6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2"/>
          </w:tcPr>
          <w:p>
            <w:pPr>
              <w:jc w:val="center"/>
              <w:ind w:right="34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2C6937"/>
            </w:tcBorders>
          </w:tcPr>
          <w:p>
            <w:pPr>
              <w:spacing w:after="0"/>
              <w:rPr>
                <w:sz w:val="16"/>
                <w:szCs w:val="16"/>
                <w:color w:val="auto"/>
              </w:rPr>
            </w:pPr>
          </w:p>
        </w:tc>
        <w:tc>
          <w:tcPr>
            <w:tcW w:w="1340" w:type="dxa"/>
            <w:vAlign w:val="bottom"/>
            <w:tcBorders>
              <w:bottom w:val="single" w:sz="8" w:color="2C6937"/>
            </w:tcBorders>
            <w:gridSpan w:val="3"/>
            <w:vMerge w:val="continue"/>
          </w:tcPr>
          <w:p>
            <w:pPr>
              <w:spacing w:after="0"/>
              <w:rPr>
                <w:sz w:val="16"/>
                <w:szCs w:val="16"/>
                <w:color w:val="auto"/>
              </w:rPr>
            </w:pPr>
          </w:p>
        </w:tc>
        <w:tc>
          <w:tcPr>
            <w:tcW w:w="1420" w:type="dxa"/>
            <w:vAlign w:val="bottom"/>
            <w:tcBorders>
              <w:bottom w:val="single" w:sz="8" w:color="2C6937"/>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992</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26</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77,865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77,884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77,865</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1,011</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78,902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290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40</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405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4,120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388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4,508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472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(399)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77,865</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5,643</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873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(399)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83,982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8"/>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95</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263</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14,876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14,977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14,971</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364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15,335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2,031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(1,893)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17,002</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383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(1,893)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15,492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Borders>
              <w:bottom w:val="single" w:sz="8" w:color="2C6937"/>
            </w:tcBorders>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7"/>
        </w:trPr>
        <w:tc>
          <w:tcPr>
            <w:tcW w:w="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540" w:type="dxa"/>
            <w:vAlign w:val="bottom"/>
            <w:tcBorders>
              <w:bottom w:val="single" w:sz="8" w:color="2C6937"/>
            </w:tcBorders>
            <w:gridSpan w:val="7"/>
          </w:tcPr>
          <w:p>
            <w:pPr>
              <w:jc w:val="center"/>
              <w:ind w:left="360"/>
              <w:spacing w:after="0"/>
              <w:rPr>
                <w:sz w:val="20"/>
                <w:szCs w:val="20"/>
                <w:color w:val="auto"/>
              </w:rPr>
            </w:pPr>
            <w:r>
              <w:rPr>
                <w:rFonts w:ascii="Arial" w:cs="Arial" w:eastAsia="Arial" w:hAnsi="Arial"/>
                <w:sz w:val="12"/>
                <w:szCs w:val="12"/>
                <w:b w:val="1"/>
                <w:bCs w:val="1"/>
                <w:color w:val="auto"/>
              </w:rPr>
              <w:t>Fair Value Measurements as of December 31, 2024</w:t>
            </w:r>
          </w:p>
        </w:tc>
        <w:tc>
          <w:tcPr>
            <w:tcW w:w="5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Quoted Prices 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10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80" w:type="dxa"/>
            <w:vAlign w:val="bottom"/>
            <w:gridSpan w:val="4"/>
          </w:tcPr>
          <w:p>
            <w:pPr>
              <w:jc w:val="center"/>
              <w:ind w:right="200"/>
              <w:spacing w:after="0" w:line="137" w:lineRule="exact"/>
              <w:rPr>
                <w:sz w:val="20"/>
                <w:szCs w:val="20"/>
                <w:color w:val="auto"/>
              </w:rPr>
            </w:pPr>
            <w:r>
              <w:rPr>
                <w:rFonts w:ascii="Arial" w:cs="Arial" w:eastAsia="Arial" w:hAnsi="Arial"/>
                <w:sz w:val="12"/>
                <w:szCs w:val="12"/>
                <w:b w:val="1"/>
                <w:bCs w:val="1"/>
                <w:color w:val="auto"/>
              </w:rPr>
              <w:t>Identical Assets (Level</w:t>
            </w:r>
          </w:p>
        </w:tc>
        <w:tc>
          <w:tcPr>
            <w:tcW w:w="118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9"/>
              </w:rPr>
              <w:t>Observable Inputs</w:t>
            </w:r>
          </w:p>
        </w:tc>
        <w:tc>
          <w:tcPr>
            <w:tcW w:w="1640" w:type="dxa"/>
            <w:vAlign w:val="bottom"/>
            <w:gridSpan w:val="4"/>
          </w:tcPr>
          <w:p>
            <w:pPr>
              <w:jc w:val="center"/>
              <w:ind w:left="80"/>
              <w:spacing w:after="0" w:line="137"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center"/>
              <w:ind w:right="6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2"/>
          </w:tcPr>
          <w:p>
            <w:pPr>
              <w:jc w:val="center"/>
              <w:ind w:right="340"/>
              <w:spacing w:after="0"/>
              <w:rPr>
                <w:sz w:val="20"/>
                <w:szCs w:val="20"/>
                <w:color w:val="auto"/>
              </w:rPr>
            </w:pPr>
            <w:r>
              <w:rPr>
                <w:rFonts w:ascii="Arial" w:cs="Arial" w:eastAsia="Arial" w:hAnsi="Arial"/>
                <w:sz w:val="12"/>
                <w:szCs w:val="12"/>
                <w:b w:val="1"/>
                <w:bCs w:val="1"/>
                <w:color w:val="auto"/>
              </w:rPr>
              <w:t>(Level 3)</w:t>
            </w:r>
          </w:p>
        </w:tc>
        <w:tc>
          <w:tcPr>
            <w:tcW w:w="1500" w:type="dxa"/>
            <w:vAlign w:val="bottom"/>
            <w:tcBorders>
              <w:bottom w:val="single" w:sz="8" w:color="2C6937"/>
            </w:tcBorders>
            <w:gridSpan w:val="4"/>
          </w:tcPr>
          <w:p>
            <w:pPr>
              <w:ind w:left="14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420" w:type="dxa"/>
            <w:vAlign w:val="bottom"/>
            <w:tcBorders>
              <w:bottom w:val="single" w:sz="8" w:color="2C6937"/>
            </w:tcBorders>
            <w:gridSpan w:val="4"/>
          </w:tcPr>
          <w:p>
            <w:pPr>
              <w:ind w:left="14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1,070</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28</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77,610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77,630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77,610</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1,090</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78,728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42</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427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3,345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399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487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(362)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77,610</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4,964</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908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(362)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83,120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8"/>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136</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249</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13,188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13,292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13,324</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353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13,677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2,506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(2,367)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15,830</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368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(2,367)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13,831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441960</wp:posOffset>
            </wp:positionV>
            <wp:extent cx="680593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360"/>
          </w:cols>
          <w:pgMar w:left="320" w:top="248" w:right="37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98" w:name="page99"/>
    <w:bookmarkEnd w:id="98"/>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700" w:hanging="237"/>
        <w:spacing w:after="0" w:line="226" w:lineRule="auto"/>
        <w:tabs>
          <w:tab w:leader="none" w:pos="233" w:val="left"/>
        </w:tabs>
        <w:numPr>
          <w:ilvl w:val="0"/>
          <w:numId w:val="97"/>
        </w:numPr>
        <w:rPr>
          <w:rFonts w:ascii="Arial" w:cs="Arial" w:eastAsia="Arial" w:hAnsi="Arial"/>
          <w:sz w:val="18"/>
          <w:szCs w:val="18"/>
          <w:color w:val="auto"/>
          <w:vertAlign w:val="superscript"/>
        </w:rPr>
      </w:pPr>
      <w:r>
        <w:rPr>
          <w:rFonts w:ascii="Arial" w:cs="Arial" w:eastAsia="Arial" w:hAnsi="Arial"/>
          <w:sz w:val="14"/>
          <w:szCs w:val="14"/>
          <w:color w:val="auto"/>
        </w:rPr>
        <w:t>Derivative contracts are reported on a gross basis by level. The netting adjustment represents the effect of the legal right to offset under legally enforceable master netting arrangements to settle with the same counterparty on a net basis, including cash collateral posted and received.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97"/>
        </w:numPr>
        <w:rPr>
          <w:rFonts w:ascii="Arial" w:cs="Arial" w:eastAsia="Arial" w:hAnsi="Arial"/>
          <w:sz w:val="18"/>
          <w:szCs w:val="18"/>
          <w:color w:val="auto"/>
          <w:vertAlign w:val="superscript"/>
        </w:rPr>
      </w:pPr>
      <w:r>
        <w:rPr>
          <w:rFonts w:ascii="Arial" w:cs="Arial" w:eastAsia="Arial" w:hAnsi="Arial"/>
          <w:sz w:val="14"/>
          <w:szCs w:val="14"/>
          <w:color w:val="auto"/>
        </w:rPr>
        <w:t>Primarily includes U.S. Treasury securities.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97"/>
        </w:numPr>
        <w:rPr>
          <w:rFonts w:ascii="Arial" w:cs="Arial" w:eastAsia="Arial" w:hAnsi="Arial"/>
          <w:sz w:val="18"/>
          <w:szCs w:val="18"/>
          <w:color w:val="auto"/>
          <w:vertAlign w:val="superscript"/>
        </w:rPr>
      </w:pPr>
      <w:r>
        <w:rPr>
          <w:rFonts w:ascii="Arial" w:cs="Arial" w:eastAsia="Arial" w:hAnsi="Arial"/>
          <w:sz w:val="14"/>
          <w:szCs w:val="14"/>
          <w:color w:val="auto"/>
        </w:rPr>
        <w:t>Agency securities consist of securities issued by Fannie Mae, Freddie Mac, and Ginnie Mae.</w:t>
      </w:r>
    </w:p>
    <w:p>
      <w:pPr>
        <w:spacing w:after="0" w:line="63"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The following tables display a reconciliation of all assets and liabilities measured at fair value on a recurring basis using significant unobservable inputs (Level 3).</w:t>
      </w: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Borders>
              <w:bottom w:val="single" w:sz="8" w:color="2C6937"/>
            </w:tcBorders>
          </w:tcPr>
          <w:p>
            <w:pPr>
              <w:spacing w:after="0"/>
              <w:rPr>
                <w:sz w:val="16"/>
                <w:szCs w:val="16"/>
                <w:color w:val="auto"/>
              </w:rPr>
            </w:pPr>
          </w:p>
        </w:tc>
        <w:tc>
          <w:tcPr>
            <w:tcW w:w="6340" w:type="dxa"/>
            <w:vAlign w:val="bottom"/>
            <w:tcBorders>
              <w:bottom w:val="single" w:sz="8" w:color="2C6937"/>
            </w:tcBorders>
            <w:gridSpan w:val="13"/>
          </w:tcPr>
          <w:p>
            <w:pPr>
              <w:jc w:val="center"/>
              <w:ind w:right="511"/>
              <w:spacing w:after="0"/>
              <w:rPr>
                <w:sz w:val="20"/>
                <w:szCs w:val="20"/>
                <w:color w:val="auto"/>
              </w:rPr>
            </w:pPr>
            <w:r>
              <w:rPr>
                <w:rFonts w:ascii="Arial" w:cs="Arial" w:eastAsia="Arial" w:hAnsi="Arial"/>
                <w:sz w:val="14"/>
                <w:szCs w:val="14"/>
                <w:b w:val="1"/>
                <w:bCs w:val="1"/>
                <w:color w:val="auto"/>
                <w:w w:val="97"/>
              </w:rPr>
              <w:t>Fair Value Measurements Using Significant Unobservable Inputs (Level 3)</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Available-for-Sale</w:t>
            </w:r>
          </w:p>
        </w:tc>
        <w:tc>
          <w:tcPr>
            <w:tcW w:w="10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Mortgage Loans</w:t>
            </w:r>
          </w:p>
        </w:tc>
        <w:tc>
          <w:tcPr>
            <w:tcW w:w="12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1"/>
                <w:szCs w:val="11"/>
                <w:color w:val="auto"/>
              </w:rPr>
            </w:pPr>
          </w:p>
        </w:tc>
        <w:tc>
          <w:tcPr>
            <w:tcW w:w="11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7"/>
              </w:rPr>
              <w:t>Long-term Debt</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0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8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58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13"/>
        </w:trPr>
        <w:tc>
          <w:tcPr>
            <w:tcW w:w="4320" w:type="dxa"/>
            <w:vAlign w:val="bottom"/>
            <w:gridSpan w:val="2"/>
          </w:tcPr>
          <w:p>
            <w:pPr>
              <w:ind w:left="220"/>
              <w:spacing w:after="0"/>
              <w:rPr>
                <w:sz w:val="20"/>
                <w:szCs w:val="20"/>
                <w:color w:val="auto"/>
              </w:rPr>
            </w:pPr>
            <w:r>
              <w:rPr>
                <w:rFonts w:ascii="Arial" w:cs="Arial" w:eastAsia="Arial" w:hAnsi="Arial"/>
                <w:sz w:val="14"/>
                <w:szCs w:val="14"/>
                <w:color w:val="auto"/>
              </w:rPr>
              <w:t>Purchases</w:t>
            </w:r>
          </w:p>
        </w:tc>
        <w:tc>
          <w:tcPr>
            <w:tcW w:w="5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32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5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320" w:type="dxa"/>
            <w:vAlign w:val="bottom"/>
            <w:gridSpan w:val="2"/>
          </w:tcPr>
          <w:p>
            <w:pPr>
              <w:ind w:left="220"/>
              <w:spacing w:after="0"/>
              <w:rPr>
                <w:sz w:val="20"/>
                <w:szCs w:val="20"/>
                <w:color w:val="auto"/>
              </w:rPr>
            </w:pPr>
            <w:r>
              <w:rPr>
                <w:rFonts w:ascii="Arial" w:cs="Arial" w:eastAsia="Arial" w:hAnsi="Arial"/>
                <w:sz w:val="14"/>
                <w:szCs w:val="14"/>
                <w:color w:val="auto"/>
              </w:rPr>
              <w:t>Issuances</w:t>
            </w:r>
          </w:p>
        </w:tc>
        <w:tc>
          <w:tcPr>
            <w:tcW w:w="5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320" w:type="dxa"/>
            <w:vAlign w:val="bottom"/>
            <w:gridSpan w:val="2"/>
          </w:tcPr>
          <w:p>
            <w:pPr>
              <w:ind w:left="220"/>
              <w:spacing w:after="0"/>
              <w:rPr>
                <w:sz w:val="20"/>
                <w:szCs w:val="20"/>
                <w:color w:val="auto"/>
              </w:rPr>
            </w:pPr>
            <w:r>
              <w:rPr>
                <w:rFonts w:ascii="Arial" w:cs="Arial" w:eastAsia="Arial" w:hAnsi="Arial"/>
                <w:sz w:val="14"/>
                <w:szCs w:val="14"/>
                <w:color w:val="auto"/>
              </w:rPr>
              <w:t>Settlements</w:t>
            </w:r>
          </w:p>
        </w:tc>
        <w:tc>
          <w:tcPr>
            <w:tcW w:w="5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9"/>
        </w:trPr>
        <w:tc>
          <w:tcPr>
            <w:tcW w:w="4320" w:type="dxa"/>
            <w:vAlign w:val="bottom"/>
            <w:gridSpan w:val="2"/>
          </w:tcPr>
          <w:p>
            <w:pPr>
              <w:ind w:left="220"/>
              <w:spacing w:after="0"/>
              <w:rPr>
                <w:sz w:val="20"/>
                <w:szCs w:val="20"/>
                <w:color w:val="auto"/>
              </w:rPr>
            </w:pPr>
            <w:r>
              <w:rPr>
                <w:rFonts w:ascii="Arial" w:cs="Arial" w:eastAsia="Arial" w:hAnsi="Arial"/>
                <w:sz w:val="14"/>
                <w:szCs w:val="14"/>
                <w:color w:val="auto"/>
              </w:rPr>
              <w:t>Net transfers</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4000" w:type="dxa"/>
            <w:vAlign w:val="bottom"/>
            <w:tcBorders>
              <w:bottom w:val="single" w:sz="8" w:color="216C2B"/>
            </w:tcBorders>
          </w:tcPr>
          <w:p>
            <w:pPr>
              <w:ind w:left="220"/>
              <w:spacing w:after="0"/>
              <w:rPr>
                <w:sz w:val="20"/>
                <w:szCs w:val="20"/>
                <w:color w:val="auto"/>
              </w:rPr>
            </w:pPr>
            <w:r>
              <w:rPr>
                <w:rFonts w:ascii="Arial" w:cs="Arial" w:eastAsia="Arial" w:hAnsi="Arial"/>
                <w:sz w:val="14"/>
                <w:szCs w:val="14"/>
                <w:color w:val="auto"/>
              </w:rPr>
              <w:t>Total gains (losses) realized &amp; unrealized</w:t>
            </w:r>
            <w:r>
              <w:rPr>
                <w:rFonts w:ascii="Arial" w:cs="Arial" w:eastAsia="Arial" w:hAnsi="Arial"/>
                <w:sz w:val="17"/>
                <w:szCs w:val="17"/>
                <w:color w:val="auto"/>
                <w:vertAlign w:val="superscript"/>
              </w:rPr>
              <w:t>(1)</w:t>
            </w:r>
          </w:p>
        </w:tc>
        <w:tc>
          <w:tcPr>
            <w:tcW w:w="320" w:type="dxa"/>
            <w:vAlign w:val="bottom"/>
          </w:tcPr>
          <w:p>
            <w:pPr>
              <w:spacing w:after="0"/>
              <w:rPr>
                <w:sz w:val="19"/>
                <w:szCs w:val="19"/>
                <w:color w:val="auto"/>
              </w:rPr>
            </w:pPr>
          </w:p>
        </w:tc>
        <w:tc>
          <w:tcPr>
            <w:tcW w:w="580" w:type="dxa"/>
            <w:vAlign w:val="bottom"/>
            <w:tcBorders>
              <w:bottom w:val="single" w:sz="8" w:color="216C2B"/>
            </w:tcBorders>
          </w:tcPr>
          <w:p>
            <w:pPr>
              <w:spacing w:after="0"/>
              <w:rPr>
                <w:sz w:val="19"/>
                <w:szCs w:val="19"/>
                <w:color w:val="auto"/>
              </w:rPr>
            </w:pPr>
          </w:p>
        </w:tc>
        <w:tc>
          <w:tcPr>
            <w:tcW w:w="74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20" w:type="dxa"/>
            <w:vAlign w:val="bottom"/>
            <w:tcBorders>
              <w:bottom w:val="single" w:sz="8" w:color="216C2B"/>
            </w:tcBorders>
          </w:tcPr>
          <w:p>
            <w:pPr>
              <w:spacing w:after="0"/>
              <w:rPr>
                <w:sz w:val="19"/>
                <w:szCs w:val="19"/>
                <w:color w:val="auto"/>
              </w:rPr>
            </w:pPr>
          </w:p>
        </w:tc>
        <w:tc>
          <w:tcPr>
            <w:tcW w:w="11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10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18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5"/>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March 31, 2025</w:t>
            </w:r>
          </w:p>
        </w:tc>
        <w:tc>
          <w:tcPr>
            <w:tcW w:w="58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405</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b w:val="1"/>
                <w:bCs w:val="1"/>
                <w:color w:val="auto"/>
              </w:rPr>
              <w:t>35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(364)</w:t>
            </w:r>
          </w:p>
        </w:tc>
        <w:tc>
          <w:tcPr>
            <w:tcW w:w="0" w:type="dxa"/>
            <w:vAlign w:val="bottom"/>
          </w:tcPr>
          <w:p>
            <w:pPr>
              <w:spacing w:after="0"/>
              <w:rPr>
                <w:sz w:val="1"/>
                <w:szCs w:val="1"/>
                <w:color w:val="auto"/>
              </w:rPr>
            </w:pPr>
          </w:p>
        </w:tc>
      </w:tr>
      <w:tr>
        <w:trPr>
          <w:trHeight w:val="20"/>
        </w:trPr>
        <w:tc>
          <w:tcPr>
            <w:tcW w:w="400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2C6937"/>
            </w:tcBorders>
          </w:tcPr>
          <w:p>
            <w:pPr>
              <w:spacing w:after="0"/>
              <w:rPr>
                <w:sz w:val="16"/>
                <w:szCs w:val="16"/>
                <w:color w:val="auto"/>
              </w:rPr>
            </w:pPr>
          </w:p>
        </w:tc>
        <w:tc>
          <w:tcPr>
            <w:tcW w:w="6400" w:type="dxa"/>
            <w:vAlign w:val="bottom"/>
            <w:tcBorders>
              <w:bottom w:val="single" w:sz="8" w:color="2C6937"/>
            </w:tcBorders>
            <w:gridSpan w:val="13"/>
          </w:tcPr>
          <w:p>
            <w:pPr>
              <w:jc w:val="right"/>
              <w:ind w:right="1011"/>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tc>
        <w:tc>
          <w:tcPr>
            <w:tcW w:w="0" w:type="dxa"/>
            <w:vAlign w:val="bottom"/>
          </w:tcPr>
          <w:p>
            <w:pPr>
              <w:spacing w:after="0"/>
              <w:rPr>
                <w:sz w:val="1"/>
                <w:szCs w:val="1"/>
                <w:color w:val="auto"/>
              </w:rPr>
            </w:pPr>
          </w:p>
        </w:tc>
      </w:tr>
      <w:tr>
        <w:trPr>
          <w:trHeight w:val="13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line="139" w:lineRule="exact"/>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Loans</w:t>
            </w:r>
          </w:p>
        </w:tc>
        <w:tc>
          <w:tcPr>
            <w:tcW w:w="14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2"/>
                <w:szCs w:val="12"/>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77"/>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31, 2023</w:t>
            </w:r>
          </w:p>
        </w:tc>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514</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477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13"/>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Purchases</w:t>
            </w:r>
          </w:p>
        </w:tc>
        <w:tc>
          <w:tcPr>
            <w:tcW w:w="6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Issuances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Settlements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Net transfers</w:t>
            </w: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216C2B"/>
            </w:tcBorders>
          </w:tcPr>
          <w:p>
            <w:pPr>
              <w:ind w:left="220"/>
              <w:spacing w:after="0"/>
              <w:rPr>
                <w:sz w:val="20"/>
                <w:szCs w:val="20"/>
                <w:color w:val="auto"/>
              </w:rPr>
            </w:pPr>
            <w:r>
              <w:rPr>
                <w:rFonts w:ascii="Arial" w:cs="Arial" w:eastAsia="Arial" w:hAnsi="Arial"/>
                <w:sz w:val="14"/>
                <w:szCs w:val="14"/>
                <w:color w:val="auto"/>
              </w:rPr>
              <w:t>Total gains (losses) realized &amp; unrealized</w:t>
            </w:r>
            <w:r>
              <w:rPr>
                <w:rFonts w:ascii="Arial" w:cs="Arial" w:eastAsia="Arial" w:hAnsi="Arial"/>
                <w:sz w:val="8"/>
                <w:szCs w:val="8"/>
                <w:color w:val="auto"/>
              </w:rPr>
              <w:t>(1)</w:t>
            </w:r>
          </w:p>
        </w:tc>
        <w:tc>
          <w:tcPr>
            <w:tcW w:w="100" w:type="dxa"/>
            <w:vAlign w:val="bottom"/>
          </w:tcPr>
          <w:p>
            <w:pPr>
              <w:spacing w:after="0"/>
              <w:rPr>
                <w:sz w:val="19"/>
                <w:szCs w:val="19"/>
                <w:color w:val="auto"/>
              </w:rPr>
            </w:pPr>
          </w:p>
        </w:tc>
        <w:tc>
          <w:tcPr>
            <w:tcW w:w="600" w:type="dxa"/>
            <w:vAlign w:val="bottom"/>
            <w:tcBorders>
              <w:bottom w:val="single" w:sz="8" w:color="216C2B"/>
            </w:tcBorders>
          </w:tcPr>
          <w:p>
            <w:pPr>
              <w:spacing w:after="0"/>
              <w:rPr>
                <w:sz w:val="19"/>
                <w:szCs w:val="19"/>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20" w:type="dxa"/>
            <w:vAlign w:val="bottom"/>
            <w:tcBorders>
              <w:bottom w:val="single" w:sz="8" w:color="216C2B"/>
            </w:tcBorders>
          </w:tcPr>
          <w:p>
            <w:pPr>
              <w:spacing w:after="0"/>
              <w:rPr>
                <w:sz w:val="19"/>
                <w:szCs w:val="19"/>
                <w:color w:val="auto"/>
              </w:rPr>
            </w:pPr>
          </w:p>
        </w:tc>
        <w:tc>
          <w:tcPr>
            <w:tcW w:w="11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March 31, 2024</w:t>
            </w:r>
          </w:p>
        </w:tc>
        <w:tc>
          <w:tcPr>
            <w:tcW w:w="600" w:type="dxa"/>
            <w:vAlign w:val="bottom"/>
          </w:tcPr>
          <w:p>
            <w:pPr>
              <w:jc w:val="right"/>
              <w:ind w:right="45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487</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470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(387)</w:t>
            </w:r>
          </w:p>
        </w:tc>
        <w:tc>
          <w:tcPr>
            <w:tcW w:w="0" w:type="dxa"/>
            <w:vAlign w:val="bottom"/>
          </w:tcPr>
          <w:p>
            <w:pPr>
              <w:spacing w:after="0"/>
              <w:rPr>
                <w:sz w:val="1"/>
                <w:szCs w:val="1"/>
                <w:color w:val="auto"/>
              </w:rPr>
            </w:pPr>
          </w:p>
        </w:tc>
      </w:tr>
      <w:tr>
        <w:trPr>
          <w:trHeight w:val="20"/>
        </w:trPr>
        <w:tc>
          <w:tcPr>
            <w:tcW w:w="4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40" w:right="360" w:hanging="237"/>
        <w:spacing w:after="0" w:line="226" w:lineRule="auto"/>
        <w:tabs>
          <w:tab w:leader="none" w:pos="233"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We had no significant unrealized gains or losses related to assets and liabilities still held in either “Net income” or “Other comprehensive income (loss)” as of March 31, 2025 or March 31, 2024.</w:t>
      </w:r>
    </w:p>
    <w:p>
      <w:pPr>
        <w:spacing w:after="0" w:line="5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following tables display valuation techniques and the range and the weighted average of significant unobservable inputs for our Level 3 assets and liabilities measured at fair value on a recurring basis, excluding instruments for which we have elected the fair value option. Changes in these unobservable inputs can result in significantly higher or lower fair value measurements of these assets and liabilities as of the reporting date.</w:t>
      </w:r>
    </w:p>
    <w:p>
      <w:pPr>
        <w:spacing w:after="0" w:line="91"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spacing w:after="0"/>
              <w:rPr>
                <w:sz w:val="18"/>
                <w:szCs w:val="18"/>
                <w:color w:val="auto"/>
              </w:rPr>
            </w:pPr>
          </w:p>
        </w:tc>
        <w:tc>
          <w:tcPr>
            <w:tcW w:w="5820" w:type="dxa"/>
            <w:vAlign w:val="bottom"/>
            <w:tcBorders>
              <w:bottom w:val="single" w:sz="8" w:color="2C6937"/>
            </w:tcBorders>
          </w:tcPr>
          <w:p>
            <w:pPr>
              <w:ind w:left="520"/>
              <w:spacing w:after="0"/>
              <w:rPr>
                <w:sz w:val="20"/>
                <w:szCs w:val="20"/>
                <w:color w:val="auto"/>
              </w:rPr>
            </w:pPr>
            <w:r>
              <w:rPr>
                <w:rFonts w:ascii="Arial" w:cs="Arial" w:eastAsia="Arial" w:hAnsi="Arial"/>
                <w:sz w:val="15"/>
                <w:szCs w:val="15"/>
                <w:b w:val="1"/>
                <w:bCs w:val="1"/>
                <w:color w:val="auto"/>
              </w:rPr>
              <w:t>Fair Value Measurements as of March 31, 2025</w:t>
            </w:r>
          </w:p>
        </w:tc>
      </w:tr>
      <w:tr>
        <w:trPr>
          <w:trHeight w:val="225"/>
        </w:trPr>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Fair Value</w:t>
            </w:r>
          </w:p>
        </w:tc>
        <w:tc>
          <w:tcPr>
            <w:tcW w:w="5820" w:type="dxa"/>
            <w:vAlign w:val="bottom"/>
            <w:tcBorders>
              <w:bottom w:val="single" w:sz="8" w:color="2C6937"/>
            </w:tcBorders>
          </w:tcPr>
          <w:p>
            <w:pPr>
              <w:ind w:left="1760"/>
              <w:spacing w:after="0"/>
              <w:rPr>
                <w:sz w:val="20"/>
                <w:szCs w:val="20"/>
                <w:color w:val="auto"/>
              </w:rPr>
            </w:pPr>
            <w:r>
              <w:rPr>
                <w:rFonts w:ascii="Arial" w:cs="Arial" w:eastAsia="Arial" w:hAnsi="Arial"/>
                <w:sz w:val="15"/>
                <w:szCs w:val="15"/>
                <w:b w:val="1"/>
                <w:bCs w:val="1"/>
                <w:color w:val="auto"/>
              </w:rPr>
              <w:t>Significant Valuation Techniques</w:t>
            </w:r>
          </w:p>
        </w:tc>
      </w:tr>
      <w:tr>
        <w:trPr>
          <w:trHeight w:val="210"/>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20" w:type="dxa"/>
            <w:vAlign w:val="bottom"/>
          </w:tcPr>
          <w:p>
            <w:pPr>
              <w:ind w:left="1520"/>
              <w:spacing w:after="0"/>
              <w:rPr>
                <w:sz w:val="20"/>
                <w:szCs w:val="20"/>
                <w:color w:val="auto"/>
              </w:rPr>
            </w:pPr>
            <w:r>
              <w:rPr>
                <w:rFonts w:ascii="Arial" w:cs="Arial" w:eastAsia="Arial" w:hAnsi="Arial"/>
                <w:sz w:val="15"/>
                <w:szCs w:val="15"/>
                <w:b w:val="1"/>
                <w:bCs w:val="1"/>
                <w:color w:val="auto"/>
              </w:rPr>
              <w:t>(Dollars in millions)</w:t>
            </w:r>
          </w:p>
        </w:tc>
      </w:tr>
      <w:tr>
        <w:trPr>
          <w:trHeight w:val="218"/>
        </w:trPr>
        <w:tc>
          <w:tcPr>
            <w:tcW w:w="3580" w:type="dxa"/>
            <w:vAlign w:val="bottom"/>
            <w:gridSpan w:val="2"/>
          </w:tcPr>
          <w:p>
            <w:pPr>
              <w:ind w:left="20"/>
              <w:spacing w:after="0"/>
              <w:rPr>
                <w:sz w:val="20"/>
                <w:szCs w:val="20"/>
                <w:color w:val="auto"/>
              </w:rPr>
            </w:pPr>
            <w:r>
              <w:rPr>
                <w:rFonts w:ascii="Arial" w:cs="Arial" w:eastAsia="Arial" w:hAnsi="Arial"/>
                <w:sz w:val="15"/>
                <w:szCs w:val="15"/>
                <w:b w:val="1"/>
                <w:bCs w:val="1"/>
                <w:color w:val="auto"/>
              </w:rPr>
              <w:t>Recurring fair value measurements: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Trading securities: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Mortgage-related</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26</w:t>
            </w:r>
          </w:p>
        </w:tc>
        <w:tc>
          <w:tcPr>
            <w:tcW w:w="5820" w:type="dxa"/>
            <w:vAlign w:val="bottom"/>
          </w:tcPr>
          <w:p>
            <w:pPr>
              <w:ind w:left="120"/>
              <w:spacing w:after="0"/>
              <w:rPr>
                <w:sz w:val="20"/>
                <w:szCs w:val="20"/>
                <w:color w:val="auto"/>
              </w:rPr>
            </w:pPr>
            <w:r>
              <w:rPr>
                <w:rFonts w:ascii="Arial" w:cs="Arial" w:eastAsia="Arial" w:hAnsi="Arial"/>
                <w:sz w:val="15"/>
                <w:szCs w:val="15"/>
                <w:color w:val="auto"/>
              </w:rPr>
              <w:t>Primarily Consensus</w:t>
            </w:r>
          </w:p>
        </w:tc>
      </w:tr>
      <w:tr>
        <w:trPr>
          <w:trHeight w:val="20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Available-for-sale securities: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20" w:type="dxa"/>
            <w:vAlign w:val="bottom"/>
          </w:tcPr>
          <w:p>
            <w:pPr>
              <w:spacing w:after="0"/>
              <w:rPr>
                <w:sz w:val="17"/>
                <w:szCs w:val="17"/>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Agency</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290</w:t>
            </w:r>
          </w:p>
        </w:tc>
        <w:tc>
          <w:tcPr>
            <w:tcW w:w="5820" w:type="dxa"/>
            <w:vAlign w:val="bottom"/>
          </w:tcPr>
          <w:p>
            <w:pPr>
              <w:ind w:left="120"/>
              <w:spacing w:after="0"/>
              <w:rPr>
                <w:sz w:val="20"/>
                <w:szCs w:val="20"/>
                <w:color w:val="auto"/>
              </w:rPr>
            </w:pPr>
            <w:r>
              <w:rPr>
                <w:rFonts w:ascii="Arial" w:cs="Arial" w:eastAsia="Arial" w:hAnsi="Arial"/>
                <w:sz w:val="15"/>
                <w:szCs w:val="15"/>
                <w:color w:val="auto"/>
              </w:rPr>
              <w:t>Discounted Cash Flow, Single Vendor, and Consensus</w:t>
            </w:r>
          </w:p>
        </w:tc>
      </w:tr>
      <w:tr>
        <w:trPr>
          <w:trHeight w:val="218"/>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Other mortgage-related</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115</w:t>
            </w:r>
          </w:p>
        </w:tc>
        <w:tc>
          <w:tcPr>
            <w:tcW w:w="5820" w:type="dxa"/>
            <w:vAlign w:val="bottom"/>
          </w:tcPr>
          <w:p>
            <w:pPr>
              <w:ind w:left="120"/>
              <w:spacing w:after="0"/>
              <w:rPr>
                <w:sz w:val="20"/>
                <w:szCs w:val="20"/>
                <w:color w:val="auto"/>
              </w:rPr>
            </w:pPr>
            <w:r>
              <w:rPr>
                <w:rFonts w:ascii="Arial" w:cs="Arial" w:eastAsia="Arial" w:hAnsi="Arial"/>
                <w:sz w:val="15"/>
                <w:szCs w:val="15"/>
                <w:color w:val="auto"/>
              </w:rPr>
              <w:t>Primarily Discounted Cash Flow, Single Vendor, and Consensus</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Total available-for-sale securities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405</w:t>
            </w:r>
          </w:p>
        </w:tc>
        <w:tc>
          <w:tcPr>
            <w:tcW w:w="5820" w:type="dxa"/>
            <w:vAlign w:val="bottom"/>
          </w:tcPr>
          <w:p>
            <w:pPr>
              <w:spacing w:after="0"/>
              <w:rPr>
                <w:sz w:val="19"/>
                <w:szCs w:val="19"/>
                <w:color w:val="auto"/>
              </w:rPr>
            </w:pPr>
          </w:p>
        </w:tc>
      </w:tr>
      <w:tr>
        <w:trPr>
          <w:trHeight w:val="232"/>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Net derivatives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35</w:t>
            </w:r>
          </w:p>
        </w:tc>
        <w:tc>
          <w:tcPr>
            <w:tcW w:w="5820" w:type="dxa"/>
            <w:vAlign w:val="bottom"/>
          </w:tcPr>
          <w:p>
            <w:pPr>
              <w:ind w:left="120"/>
              <w:spacing w:after="0"/>
              <w:rPr>
                <w:sz w:val="20"/>
                <w:szCs w:val="20"/>
                <w:color w:val="auto"/>
              </w:rPr>
            </w:pPr>
            <w:r>
              <w:rPr>
                <w:rFonts w:ascii="Arial" w:cs="Arial" w:eastAsia="Arial" w:hAnsi="Arial"/>
                <w:sz w:val="15"/>
                <w:szCs w:val="15"/>
                <w:color w:val="auto"/>
              </w:rPr>
              <w:t>Dealer Mark and Discounted Cash Flow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443230</wp:posOffset>
            </wp:positionV>
            <wp:extent cx="680593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9" w:name="page100"/>
    <w:bookmarkEnd w:id="99"/>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spacing w:after="0"/>
              <w:rPr>
                <w:sz w:val="18"/>
                <w:szCs w:val="18"/>
                <w:color w:val="auto"/>
              </w:rPr>
            </w:pPr>
          </w:p>
        </w:tc>
        <w:tc>
          <w:tcPr>
            <w:tcW w:w="5820" w:type="dxa"/>
            <w:vAlign w:val="bottom"/>
            <w:tcBorders>
              <w:bottom w:val="single" w:sz="8" w:color="2C6937"/>
            </w:tcBorders>
          </w:tcPr>
          <w:p>
            <w:pPr>
              <w:ind w:left="380"/>
              <w:spacing w:after="0"/>
              <w:rPr>
                <w:sz w:val="20"/>
                <w:szCs w:val="20"/>
                <w:color w:val="auto"/>
              </w:rPr>
            </w:pPr>
            <w:r>
              <w:rPr>
                <w:rFonts w:ascii="Arial" w:cs="Arial" w:eastAsia="Arial" w:hAnsi="Arial"/>
                <w:sz w:val="15"/>
                <w:szCs w:val="15"/>
                <w:b w:val="1"/>
                <w:bCs w:val="1"/>
                <w:color w:val="auto"/>
              </w:rPr>
              <w:t>Fair Value Measurements as of December 31, 2024</w:t>
            </w:r>
          </w:p>
        </w:tc>
      </w:tr>
      <w:tr>
        <w:trPr>
          <w:trHeight w:val="225"/>
        </w:trPr>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Fair Value</w:t>
            </w:r>
          </w:p>
        </w:tc>
        <w:tc>
          <w:tcPr>
            <w:tcW w:w="5820" w:type="dxa"/>
            <w:vAlign w:val="bottom"/>
            <w:tcBorders>
              <w:bottom w:val="single" w:sz="8" w:color="2C6937"/>
            </w:tcBorders>
          </w:tcPr>
          <w:p>
            <w:pPr>
              <w:ind w:left="1760"/>
              <w:spacing w:after="0"/>
              <w:rPr>
                <w:sz w:val="20"/>
                <w:szCs w:val="20"/>
                <w:color w:val="auto"/>
              </w:rPr>
            </w:pPr>
            <w:r>
              <w:rPr>
                <w:rFonts w:ascii="Arial" w:cs="Arial" w:eastAsia="Arial" w:hAnsi="Arial"/>
                <w:sz w:val="15"/>
                <w:szCs w:val="15"/>
                <w:b w:val="1"/>
                <w:bCs w:val="1"/>
                <w:color w:val="auto"/>
              </w:rPr>
              <w:t>Significant Valuation Techniques</w:t>
            </w:r>
          </w:p>
        </w:tc>
      </w:tr>
      <w:tr>
        <w:trPr>
          <w:trHeight w:val="210"/>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20" w:type="dxa"/>
            <w:vAlign w:val="bottom"/>
          </w:tcPr>
          <w:p>
            <w:pPr>
              <w:ind w:left="1520"/>
              <w:spacing w:after="0"/>
              <w:rPr>
                <w:sz w:val="20"/>
                <w:szCs w:val="20"/>
                <w:color w:val="auto"/>
              </w:rPr>
            </w:pPr>
            <w:r>
              <w:rPr>
                <w:rFonts w:ascii="Arial" w:cs="Arial" w:eastAsia="Arial" w:hAnsi="Arial"/>
                <w:sz w:val="15"/>
                <w:szCs w:val="15"/>
                <w:b w:val="1"/>
                <w:bCs w:val="1"/>
                <w:color w:val="auto"/>
              </w:rPr>
              <w:t>(Dollars in millions)</w:t>
            </w:r>
          </w:p>
        </w:tc>
      </w:tr>
      <w:tr>
        <w:trPr>
          <w:trHeight w:val="218"/>
        </w:trPr>
        <w:tc>
          <w:tcPr>
            <w:tcW w:w="3580" w:type="dxa"/>
            <w:vAlign w:val="bottom"/>
            <w:gridSpan w:val="2"/>
          </w:tcPr>
          <w:p>
            <w:pPr>
              <w:ind w:left="20"/>
              <w:spacing w:after="0"/>
              <w:rPr>
                <w:sz w:val="20"/>
                <w:szCs w:val="20"/>
                <w:color w:val="auto"/>
              </w:rPr>
            </w:pPr>
            <w:r>
              <w:rPr>
                <w:rFonts w:ascii="Arial" w:cs="Arial" w:eastAsia="Arial" w:hAnsi="Arial"/>
                <w:sz w:val="15"/>
                <w:szCs w:val="15"/>
                <w:b w:val="1"/>
                <w:bCs w:val="1"/>
                <w:color w:val="auto"/>
              </w:rPr>
              <w:t>Recurring fair value measurements: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Trading securities: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Mortgage-related</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28</w:t>
            </w:r>
          </w:p>
        </w:tc>
        <w:tc>
          <w:tcPr>
            <w:tcW w:w="5820" w:type="dxa"/>
            <w:vAlign w:val="bottom"/>
          </w:tcPr>
          <w:p>
            <w:pPr>
              <w:ind w:left="120"/>
              <w:spacing w:after="0"/>
              <w:rPr>
                <w:sz w:val="20"/>
                <w:szCs w:val="20"/>
                <w:color w:val="auto"/>
              </w:rPr>
            </w:pPr>
            <w:r>
              <w:rPr>
                <w:rFonts w:ascii="Arial" w:cs="Arial" w:eastAsia="Arial" w:hAnsi="Arial"/>
                <w:sz w:val="15"/>
                <w:szCs w:val="15"/>
                <w:color w:val="auto"/>
              </w:rPr>
              <w:t>Primarily Consensus</w:t>
            </w:r>
          </w:p>
        </w:tc>
      </w:tr>
      <w:tr>
        <w:trPr>
          <w:trHeight w:val="20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Available-for-sale securities: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20" w:type="dxa"/>
            <w:vAlign w:val="bottom"/>
          </w:tcPr>
          <w:p>
            <w:pPr>
              <w:spacing w:after="0"/>
              <w:rPr>
                <w:sz w:val="17"/>
                <w:szCs w:val="17"/>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Agency</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301</w:t>
            </w:r>
          </w:p>
        </w:tc>
        <w:tc>
          <w:tcPr>
            <w:tcW w:w="5820" w:type="dxa"/>
            <w:vAlign w:val="bottom"/>
          </w:tcPr>
          <w:p>
            <w:pPr>
              <w:ind w:left="120"/>
              <w:spacing w:after="0"/>
              <w:rPr>
                <w:sz w:val="20"/>
                <w:szCs w:val="20"/>
                <w:color w:val="auto"/>
              </w:rPr>
            </w:pPr>
            <w:r>
              <w:rPr>
                <w:rFonts w:ascii="Arial" w:cs="Arial" w:eastAsia="Arial" w:hAnsi="Arial"/>
                <w:sz w:val="15"/>
                <w:szCs w:val="15"/>
                <w:color w:val="auto"/>
              </w:rPr>
              <w:t>Consensus</w:t>
            </w:r>
          </w:p>
        </w:tc>
      </w:tr>
      <w:tr>
        <w:trPr>
          <w:trHeight w:val="218"/>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Other mortgage-related</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126</w:t>
            </w:r>
          </w:p>
        </w:tc>
        <w:tc>
          <w:tcPr>
            <w:tcW w:w="5820" w:type="dxa"/>
            <w:vAlign w:val="bottom"/>
          </w:tcPr>
          <w:p>
            <w:pPr>
              <w:ind w:left="120"/>
              <w:spacing w:after="0"/>
              <w:rPr>
                <w:sz w:val="20"/>
                <w:szCs w:val="20"/>
                <w:color w:val="auto"/>
              </w:rPr>
            </w:pPr>
            <w:r>
              <w:rPr>
                <w:rFonts w:ascii="Arial" w:cs="Arial" w:eastAsia="Arial" w:hAnsi="Arial"/>
                <w:sz w:val="15"/>
                <w:szCs w:val="15"/>
                <w:color w:val="auto"/>
              </w:rPr>
              <w:t>Primarily Discounted Cash Flow, Single Vendor, and Consensus</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Total available-for-sale securities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427</w:t>
            </w:r>
          </w:p>
        </w:tc>
        <w:tc>
          <w:tcPr>
            <w:tcW w:w="5820" w:type="dxa"/>
            <w:vAlign w:val="bottom"/>
          </w:tcPr>
          <w:p>
            <w:pPr>
              <w:spacing w:after="0"/>
              <w:rPr>
                <w:sz w:val="19"/>
                <w:szCs w:val="19"/>
                <w:color w:val="auto"/>
              </w:rPr>
            </w:pPr>
          </w:p>
        </w:tc>
      </w:tr>
      <w:tr>
        <w:trPr>
          <w:trHeight w:val="232"/>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Net derivatives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39</w:t>
            </w:r>
          </w:p>
        </w:tc>
        <w:tc>
          <w:tcPr>
            <w:tcW w:w="5820" w:type="dxa"/>
            <w:vAlign w:val="bottom"/>
          </w:tcPr>
          <w:p>
            <w:pPr>
              <w:ind w:left="120"/>
              <w:spacing w:after="0"/>
              <w:rPr>
                <w:sz w:val="20"/>
                <w:szCs w:val="20"/>
                <w:color w:val="auto"/>
              </w:rPr>
            </w:pPr>
            <w:r>
              <w:rPr>
                <w:rFonts w:ascii="Arial" w:cs="Arial" w:eastAsia="Arial" w:hAnsi="Arial"/>
                <w:sz w:val="15"/>
                <w:szCs w:val="15"/>
                <w:color w:val="auto"/>
              </w:rPr>
              <w:t>Dealer Mark and Discounted Cash Flow</w:t>
            </w:r>
          </w:p>
        </w:tc>
      </w:tr>
    </w:tbl>
    <w:p>
      <w:pPr>
        <w:spacing w:after="0" w:line="96" w:lineRule="exact"/>
        <w:rPr>
          <w:sz w:val="20"/>
          <w:szCs w:val="20"/>
          <w:color w:val="auto"/>
        </w:rPr>
      </w:pPr>
    </w:p>
    <w:p>
      <w:pPr>
        <w:ind w:left="220" w:hanging="217"/>
        <w:spacing w:after="0"/>
        <w:tabs>
          <w:tab w:leader="none" w:pos="220" w:val="left"/>
        </w:tabs>
        <w:numPr>
          <w:ilvl w:val="0"/>
          <w:numId w:val="99"/>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Freddie Mac securities.</w:t>
      </w:r>
    </w:p>
    <w:p>
      <w:pPr>
        <w:spacing w:after="0" w:line="5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our condensed consolidated balance sheets, certain assets and liabilities are measured at fair value on a nonrecurring basis; that is, the instruments are not measured at fair value on an ongoing basis but are subject to fair value adjustments in certain circumstances (for example, when we evaluate loans for impairment).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valuation techniques for our Level 3 assets measured at fair value on a nonrecurring basis.</w:t>
      </w:r>
    </w:p>
    <w:p>
      <w:pPr>
        <w:sectPr>
          <w:pgSz w:w="11900" w:h="16838" w:orient="portrait"/>
          <w:cols w:equalWidth="0" w:num="1">
            <w:col w:w="11160"/>
          </w:cols>
          <w:pgMar w:left="320" w:top="24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Nonrecurring fair value measurements:</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Mortgage loans:</w:t>
      </w:r>
      <w:r>
        <w:rPr>
          <w:rFonts w:ascii="Arial" w:cs="Arial" w:eastAsia="Arial" w:hAnsi="Arial"/>
          <w:sz w:val="20"/>
          <w:szCs w:val="20"/>
          <w:color w:val="auto"/>
          <w:vertAlign w:val="superscript"/>
        </w:rPr>
        <w:t>(1)</w:t>
      </w:r>
    </w:p>
    <w:p>
      <w:pPr>
        <w:ind w:left="220"/>
        <w:spacing w:after="0"/>
        <w:rPr>
          <w:sz w:val="20"/>
          <w:szCs w:val="20"/>
          <w:color w:val="auto"/>
        </w:rPr>
      </w:pPr>
      <w:r>
        <w:rPr>
          <w:rFonts w:ascii="Arial" w:cs="Arial" w:eastAsia="Arial" w:hAnsi="Arial"/>
          <w:sz w:val="15"/>
          <w:szCs w:val="15"/>
          <w:color w:val="auto"/>
        </w:rPr>
        <w:t>Mortgage loans held for sale, at lower of cost or fair value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Single-family mortgage loans held for investment, at amortized cost</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Multifamily mortgage loans held for investment,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291465</wp:posOffset>
            </wp:positionV>
            <wp:extent cx="41262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12623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Total multifamily mortgage loans held for investment, at amortized cost</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Acquired property, net:</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Single-family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258445</wp:posOffset>
            </wp:positionV>
            <wp:extent cx="412623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12623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Total single-family</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29210</wp:posOffset>
            </wp:positionV>
            <wp:extent cx="412623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126230" cy="8255"/>
                    </a:xfrm>
                    <a:prstGeom prst="rect">
                      <a:avLst/>
                    </a:prstGeom>
                    <a:noFill/>
                  </pic:spPr>
                </pic:pic>
              </a:graphicData>
            </a:graphic>
          </wp:anchor>
        </w:drawing>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nonrecurring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41262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126230" cy="82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45720</wp:posOffset>
            </wp:positionV>
            <wp:extent cx="412623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126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Measurements as of</w:t>
            </w:r>
          </w:p>
        </w:tc>
        <w:tc>
          <w:tcPr>
            <w:tcW w:w="0" w:type="dxa"/>
            <w:vAlign w:val="bottom"/>
          </w:tcPr>
          <w:p>
            <w:pPr>
              <w:spacing w:after="0"/>
              <w:rPr>
                <w:sz w:val="1"/>
                <w:szCs w:val="1"/>
                <w:color w:val="auto"/>
              </w:rPr>
            </w:pPr>
          </w:p>
        </w:tc>
      </w:tr>
      <w:tr>
        <w:trPr>
          <w:trHeight w:val="145"/>
        </w:trPr>
        <w:tc>
          <w:tcPr>
            <w:tcW w:w="2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Valuation Techniques</w:t>
            </w:r>
          </w:p>
        </w:tc>
        <w:tc>
          <w:tcPr>
            <w:tcW w:w="1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2025</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7"/>
        </w:trPr>
        <w:tc>
          <w:tcPr>
            <w:tcW w:w="210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20" w:type="dxa"/>
            <w:vAlign w:val="bottom"/>
          </w:tcPr>
          <w:p>
            <w:pPr>
              <w:jc w:val="right"/>
              <w:ind w:right="3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5"/>
        </w:trPr>
        <w:tc>
          <w:tcPr>
            <w:tcW w:w="200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top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00" w:type="dxa"/>
            <w:vAlign w:val="bottom"/>
            <w:gridSpan w:val="2"/>
          </w:tcPr>
          <w:p>
            <w:pPr>
              <w:spacing w:after="0"/>
              <w:rPr>
                <w:sz w:val="20"/>
                <w:szCs w:val="20"/>
                <w:color w:val="auto"/>
              </w:rPr>
            </w:pPr>
            <w:r>
              <w:rPr>
                <w:rFonts w:ascii="Arial" w:cs="Arial" w:eastAsia="Arial" w:hAnsi="Arial"/>
                <w:sz w:val="15"/>
                <w:szCs w:val="15"/>
                <w:color w:val="auto"/>
              </w:rPr>
              <w:t>Consensus</w:t>
            </w: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112</w:t>
            </w:r>
          </w:p>
        </w:tc>
        <w:tc>
          <w:tcPr>
            <w:tcW w:w="12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5"/>
                <w:szCs w:val="15"/>
                <w:color w:val="auto"/>
              </w:rPr>
              <w:t>Internal Model</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224"/>
        </w:trPr>
        <w:tc>
          <w:tcPr>
            <w:tcW w:w="2100" w:type="dxa"/>
            <w:vAlign w:val="bottom"/>
            <w:gridSpan w:val="2"/>
          </w:tcPr>
          <w:p>
            <w:pPr>
              <w:spacing w:after="0"/>
              <w:rPr>
                <w:sz w:val="20"/>
                <w:szCs w:val="20"/>
                <w:color w:val="auto"/>
              </w:rPr>
            </w:pPr>
            <w:r>
              <w:rPr>
                <w:rFonts w:ascii="Arial" w:cs="Arial" w:eastAsia="Arial" w:hAnsi="Arial"/>
                <w:sz w:val="15"/>
                <w:szCs w:val="15"/>
                <w:color w:val="auto"/>
              </w:rPr>
              <w:t>Appraisal</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448</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Broker Price Opinion</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390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851</w:t>
            </w:r>
          </w:p>
        </w:tc>
        <w:tc>
          <w:tcPr>
            <w:tcW w:w="0" w:type="dxa"/>
            <w:vAlign w:val="bottom"/>
          </w:tcPr>
          <w:p>
            <w:pPr>
              <w:spacing w:after="0"/>
              <w:rPr>
                <w:sz w:val="1"/>
                <w:szCs w:val="1"/>
                <w:color w:val="auto"/>
              </w:rPr>
            </w:pPr>
          </w:p>
        </w:tc>
      </w:tr>
      <w:tr>
        <w:trPr>
          <w:trHeight w:val="208"/>
        </w:trPr>
        <w:tc>
          <w:tcPr>
            <w:tcW w:w="2100" w:type="dxa"/>
            <w:vAlign w:val="bottom"/>
            <w:gridSpan w:val="2"/>
          </w:tcPr>
          <w:p>
            <w:pPr>
              <w:spacing w:after="0"/>
              <w:rPr>
                <w:sz w:val="20"/>
                <w:szCs w:val="20"/>
                <w:color w:val="auto"/>
              </w:rPr>
            </w:pPr>
            <w:r>
              <w:rPr>
                <w:rFonts w:ascii="Arial" w:cs="Arial" w:eastAsia="Arial" w:hAnsi="Arial"/>
                <w:sz w:val="15"/>
                <w:szCs w:val="15"/>
                <w:color w:val="auto"/>
              </w:rPr>
              <w:t>Internal Model</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31"/>
        </w:trPr>
        <w:tc>
          <w:tcPr>
            <w:tcW w:w="2000" w:type="dxa"/>
            <w:vAlign w:val="bottom"/>
            <w:tcBorders>
              <w:top w:val="single" w:sz="8" w:color="2C6937"/>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2C6937"/>
            </w:tcBorders>
          </w:tcPr>
          <w:p>
            <w:pPr>
              <w:spacing w:after="0"/>
              <w:rPr>
                <w:sz w:val="20"/>
                <w:szCs w:val="20"/>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587</w:t>
            </w:r>
          </w:p>
        </w:tc>
        <w:tc>
          <w:tcPr>
            <w:tcW w:w="120" w:type="dxa"/>
            <w:vAlign w:val="bottom"/>
          </w:tcPr>
          <w:p>
            <w:pPr>
              <w:spacing w:after="0"/>
              <w:rPr>
                <w:sz w:val="20"/>
                <w:szCs w:val="20"/>
                <w:color w:val="auto"/>
              </w:rPr>
            </w:pPr>
          </w:p>
        </w:tc>
        <w:tc>
          <w:tcPr>
            <w:tcW w:w="360" w:type="dxa"/>
            <w:vAlign w:val="bottom"/>
            <w:tcBorders>
              <w:top w:val="single" w:sz="8" w:color="2C6937"/>
            </w:tcBorders>
          </w:tcPr>
          <w:p>
            <w:pPr>
              <w:spacing w:after="0"/>
              <w:rPr>
                <w:sz w:val="20"/>
                <w:szCs w:val="20"/>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1,471</w:t>
            </w:r>
          </w:p>
        </w:tc>
        <w:tc>
          <w:tcPr>
            <w:tcW w:w="0" w:type="dxa"/>
            <w:vAlign w:val="bottom"/>
          </w:tcPr>
          <w:p>
            <w:pPr>
              <w:spacing w:after="0"/>
              <w:rPr>
                <w:sz w:val="1"/>
                <w:szCs w:val="1"/>
                <w:color w:val="auto"/>
              </w:rPr>
            </w:pPr>
          </w:p>
        </w:tc>
      </w:tr>
      <w:tr>
        <w:trPr>
          <w:trHeight w:val="355"/>
        </w:trPr>
        <w:tc>
          <w:tcPr>
            <w:tcW w:w="2100" w:type="dxa"/>
            <w:vAlign w:val="bottom"/>
            <w:gridSpan w:val="2"/>
          </w:tcPr>
          <w:p>
            <w:pPr>
              <w:spacing w:after="0"/>
              <w:rPr>
                <w:sz w:val="20"/>
                <w:szCs w:val="20"/>
                <w:color w:val="auto"/>
              </w:rPr>
            </w:pPr>
            <w:r>
              <w:rPr>
                <w:rFonts w:ascii="Arial" w:cs="Arial" w:eastAsia="Arial" w:hAnsi="Arial"/>
                <w:sz w:val="15"/>
                <w:szCs w:val="15"/>
                <w:color w:val="auto"/>
              </w:rPr>
              <w:t>Accepted Offer and</w:t>
            </w:r>
          </w:p>
        </w:tc>
        <w:tc>
          <w:tcPr>
            <w:tcW w:w="3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Appraisal</w:t>
            </w:r>
          </w:p>
        </w:tc>
        <w:tc>
          <w:tcPr>
            <w:tcW w:w="3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100" w:type="dxa"/>
            <w:vAlign w:val="bottom"/>
            <w:gridSpan w:val="2"/>
          </w:tcPr>
          <w:p>
            <w:pPr>
              <w:spacing w:after="0" w:line="155" w:lineRule="exact"/>
              <w:rPr>
                <w:sz w:val="20"/>
                <w:szCs w:val="20"/>
                <w:color w:val="auto"/>
              </w:rPr>
            </w:pPr>
            <w:r>
              <w:rPr>
                <w:rFonts w:ascii="Arial" w:cs="Arial" w:eastAsia="Arial" w:hAnsi="Arial"/>
                <w:sz w:val="15"/>
                <w:szCs w:val="15"/>
                <w:color w:val="auto"/>
              </w:rPr>
              <w:t>Internal Model and Walk</w:t>
            </w:r>
          </w:p>
        </w:tc>
        <w:tc>
          <w:tcPr>
            <w:tcW w:w="3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306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Forward</w:t>
            </w:r>
          </w:p>
        </w:tc>
        <w:tc>
          <w:tcPr>
            <w:tcW w:w="3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2C6937"/>
            </w:tcBorders>
          </w:tcPr>
          <w:p>
            <w:pPr>
              <w:spacing w:after="0"/>
              <w:rPr>
                <w:sz w:val="17"/>
                <w:szCs w:val="17"/>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478</w:t>
            </w:r>
          </w:p>
        </w:tc>
        <w:tc>
          <w:tcPr>
            <w:tcW w:w="120" w:type="dxa"/>
            <w:vAlign w:val="bottom"/>
          </w:tcPr>
          <w:p>
            <w:pPr>
              <w:spacing w:after="0"/>
              <w:rPr>
                <w:sz w:val="17"/>
                <w:szCs w:val="17"/>
                <w:color w:val="auto"/>
              </w:rPr>
            </w:pPr>
          </w:p>
        </w:tc>
        <w:tc>
          <w:tcPr>
            <w:tcW w:w="360" w:type="dxa"/>
            <w:vAlign w:val="bottom"/>
            <w:tcBorders>
              <w:top w:val="single" w:sz="8" w:color="2C6937"/>
            </w:tcBorders>
          </w:tcPr>
          <w:p>
            <w:pPr>
              <w:spacing w:after="0"/>
              <w:rPr>
                <w:sz w:val="17"/>
                <w:szCs w:val="17"/>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250"/>
        </w:trPr>
        <w:tc>
          <w:tcPr>
            <w:tcW w:w="2100" w:type="dxa"/>
            <w:vAlign w:val="bottom"/>
            <w:gridSpan w:val="2"/>
          </w:tcPr>
          <w:p>
            <w:pPr>
              <w:spacing w:after="0"/>
              <w:rPr>
                <w:sz w:val="20"/>
                <w:szCs w:val="20"/>
                <w:color w:val="auto"/>
              </w:rPr>
            </w:pPr>
            <w:r>
              <w:rPr>
                <w:rFonts w:ascii="Arial" w:cs="Arial" w:eastAsia="Arial" w:hAnsi="Arial"/>
                <w:sz w:val="15"/>
                <w:szCs w:val="15"/>
                <w:color w:val="auto"/>
              </w:rPr>
              <w:t>Broker Price Opinion</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199"/>
        </w:trPr>
        <w:tc>
          <w:tcPr>
            <w:tcW w:w="20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2C6937"/>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1,400</w:t>
            </w:r>
          </w:p>
        </w:tc>
        <w:tc>
          <w:tcPr>
            <w:tcW w:w="120" w:type="dxa"/>
            <w:vAlign w:val="bottom"/>
          </w:tcPr>
          <w:p>
            <w:pPr>
              <w:spacing w:after="0"/>
              <w:rPr>
                <w:sz w:val="17"/>
                <w:szCs w:val="17"/>
                <w:color w:val="auto"/>
              </w:rPr>
            </w:pPr>
          </w:p>
        </w:tc>
        <w:tc>
          <w:tcPr>
            <w:tcW w:w="360" w:type="dxa"/>
            <w:vAlign w:val="bottom"/>
            <w:tcBorders>
              <w:top w:val="single" w:sz="8" w:color="2C6937"/>
              <w:bottom w:val="single" w:sz="8" w:color="2C6937"/>
            </w:tcBorders>
          </w:tcPr>
          <w:p>
            <w:pPr>
              <w:jc w:val="right"/>
              <w:ind w:right="20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2,497</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6020" w:space="720"/>
            <w:col w:w="4420"/>
          </w:cols>
          <w:pgMar w:left="320" w:top="248" w:right="419" w:bottom="1440" w:gutter="0" w:footer="0" w:header="0"/>
          <w:type w:val="continuous"/>
        </w:sectPr>
      </w:pPr>
    </w:p>
    <w:p>
      <w:pPr>
        <w:ind w:left="240" w:right="60" w:hanging="237"/>
        <w:spacing w:after="0" w:line="233" w:lineRule="auto"/>
        <w:tabs>
          <w:tab w:leader="none" w:pos="233" w:val="left"/>
        </w:tabs>
        <w:numPr>
          <w:ilvl w:val="0"/>
          <w:numId w:val="100"/>
        </w:numPr>
        <w:rPr>
          <w:rFonts w:ascii="Arial" w:cs="Arial" w:eastAsia="Arial" w:hAnsi="Arial"/>
          <w:sz w:val="18"/>
          <w:szCs w:val="18"/>
          <w:color w:val="auto"/>
          <w:vertAlign w:val="superscript"/>
        </w:rPr>
      </w:pPr>
      <w:r>
        <w:rPr>
          <w:rFonts w:ascii="Arial" w:cs="Arial" w:eastAsia="Arial" w:hAnsi="Arial"/>
          <w:sz w:val="14"/>
          <w:szCs w:val="14"/>
          <w:color w:val="auto"/>
        </w:rPr>
        <w:t>When we measure impairment, including recoveries, based on the fair value of the loan or the underlying collateral and impairment is recorded on any component of the mortgage loan, including accrued interest receivable and amounts due from the borrower for advances of taxes and insurance, we present the entire fair value measurement amount with the corresponding mortgage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366395</wp:posOffset>
            </wp:positionV>
            <wp:extent cx="680593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48" w:right="41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of Financial Instruments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displays the carrying value and estimated fair value of our financial instruments. The fair value of financial instruments we disclose includes commitments to purchase multifamily and single-family mortgage loans that we do not record in our condensed consolidated balance sheets. The fair values of these commitments are included as “Mortgage loans held for investment, net of allowance for loan losses.” The disclosure excludes all non-financial instruments; therefore, the fair value of our financial assets and liabilities does not represent the underlying fair value of our total consolidated assets and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5"/>
          </w:tcPr>
          <w:p>
            <w:pPr>
              <w:jc w:val="center"/>
              <w:ind w:right="200"/>
              <w:spacing w:after="0"/>
              <w:rPr>
                <w:sz w:val="20"/>
                <w:szCs w:val="20"/>
                <w:color w:val="auto"/>
              </w:rPr>
            </w:pPr>
            <w:r>
              <w:rPr>
                <w:rFonts w:ascii="Arial" w:cs="Arial" w:eastAsia="Arial" w:hAnsi="Arial"/>
                <w:sz w:val="14"/>
                <w:szCs w:val="14"/>
                <w:b w:val="1"/>
                <w:bCs w:val="1"/>
                <w:color w:val="auto"/>
                <w:w w:val="98"/>
              </w:rPr>
              <w:t>As of March 31, 2025</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Quoted Prices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 Active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Markets for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Unobservable</w:t>
            </w:r>
          </w:p>
        </w:tc>
        <w:tc>
          <w:tcPr>
            <w:tcW w:w="14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80" w:type="dxa"/>
            <w:vAlign w:val="bottom"/>
          </w:tcPr>
          <w:p>
            <w:pPr>
              <w:spacing w:after="0"/>
              <w:rPr>
                <w:sz w:val="14"/>
                <w:szCs w:val="14"/>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Identical Assets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Observable</w:t>
            </w:r>
          </w:p>
        </w:tc>
        <w:tc>
          <w:tcPr>
            <w:tcW w:w="140" w:type="dxa"/>
            <w:vAlign w:val="bottom"/>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Inputs (Level 2)</w:t>
            </w:r>
          </w:p>
        </w:tc>
        <w:tc>
          <w:tcPr>
            <w:tcW w:w="1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77,797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38,072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39,725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77,797</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31,769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31,769</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78,902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77,865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78,902</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4,126,401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3,562,659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132,222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3,694,881</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12"/>
        </w:trPr>
        <w:tc>
          <w:tcPr>
            <w:tcW w:w="3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4,318,125</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115,937</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3,638,009</w:t>
            </w:r>
          </w:p>
        </w:tc>
        <w:tc>
          <w:tcPr>
            <w:tcW w:w="12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133,177</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3,886,724</w:t>
            </w:r>
          </w:p>
        </w:tc>
        <w:tc>
          <w:tcPr>
            <w:tcW w:w="0" w:type="dxa"/>
            <w:vAlign w:val="bottom"/>
          </w:tcPr>
          <w:p>
            <w:pPr>
              <w:spacing w:after="0"/>
              <w:rPr>
                <w:sz w:val="1"/>
                <w:szCs w:val="1"/>
                <w:color w:val="auto"/>
              </w:rPr>
            </w:pPr>
          </w:p>
        </w:tc>
      </w:tr>
      <w:tr>
        <w:trPr>
          <w:trHeight w:val="22"/>
        </w:trPr>
        <w:tc>
          <w:tcPr>
            <w:tcW w:w="34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11,041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11,042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11,042</w:t>
            </w:r>
          </w:p>
        </w:tc>
        <w:tc>
          <w:tcPr>
            <w:tcW w:w="0" w:type="dxa"/>
            <w:vAlign w:val="bottom"/>
          </w:tcPr>
          <w:p>
            <w:pPr>
              <w:spacing w:after="0"/>
              <w:rPr>
                <w:sz w:val="1"/>
                <w:szCs w:val="1"/>
                <w:color w:val="auto"/>
              </w:rPr>
            </w:pPr>
          </w:p>
        </w:tc>
      </w:tr>
      <w:tr>
        <w:trPr>
          <w:trHeight w:val="20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125,777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127,301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127,893</w:t>
            </w:r>
          </w:p>
        </w:tc>
        <w:tc>
          <w:tcPr>
            <w:tcW w:w="0" w:type="dxa"/>
            <w:vAlign w:val="bottom"/>
          </w:tcPr>
          <w:p>
            <w:pPr>
              <w:spacing w:after="0"/>
              <w:rPr>
                <w:sz w:val="1"/>
                <w:szCs w:val="1"/>
                <w:color w:val="auto"/>
              </w:rPr>
            </w:pPr>
          </w:p>
        </w:tc>
      </w:tr>
      <w:tr>
        <w:trPr>
          <w:trHeight w:val="219"/>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4,091,840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3,635,604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3,635,869</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(1,893)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1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4,228,882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3,775,978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(1,893)</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3,775,019</w:t>
            </w:r>
          </w:p>
        </w:tc>
        <w:tc>
          <w:tcPr>
            <w:tcW w:w="0" w:type="dxa"/>
            <w:vAlign w:val="bottom"/>
          </w:tcPr>
          <w:p>
            <w:pPr>
              <w:spacing w:after="0"/>
              <w:rPr>
                <w:sz w:val="1"/>
                <w:szCs w:val="1"/>
                <w:color w:val="auto"/>
              </w:rPr>
            </w:pPr>
          </w:p>
        </w:tc>
      </w:tr>
      <w:tr>
        <w:trPr>
          <w:trHeight w:val="22"/>
        </w:trPr>
        <w:tc>
          <w:tcPr>
            <w:tcW w:w="3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671195</wp:posOffset>
            </wp:positionV>
            <wp:extent cx="680593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101" w:name="page102"/>
    <w:bookmarkEnd w:id="101"/>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660" w:type="dxa"/>
            <w:vAlign w:val="bottom"/>
            <w:tcBorders>
              <w:bottom w:val="single" w:sz="8" w:color="2C6937"/>
            </w:tcBorders>
            <w:gridSpan w:val="5"/>
          </w:tcPr>
          <w:p>
            <w:pPr>
              <w:jc w:val="center"/>
              <w:ind w:right="160"/>
              <w:spacing w:after="0"/>
              <w:rPr>
                <w:sz w:val="20"/>
                <w:szCs w:val="20"/>
                <w:color w:val="auto"/>
              </w:rPr>
            </w:pPr>
            <w:r>
              <w:rPr>
                <w:rFonts w:ascii="Arial" w:cs="Arial" w:eastAsia="Arial" w:hAnsi="Arial"/>
                <w:sz w:val="14"/>
                <w:szCs w:val="14"/>
                <w:b w:val="1"/>
                <w:bCs w:val="1"/>
                <w:color w:val="auto"/>
                <w:w w:val="98"/>
              </w:rPr>
              <w:t>As of December 31, 2024</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8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Significant</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Unobservable</w:t>
            </w:r>
          </w:p>
        </w:tc>
        <w:tc>
          <w:tcPr>
            <w:tcW w:w="14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120" w:type="dxa"/>
            <w:vAlign w:val="bottom"/>
          </w:tcPr>
          <w:p>
            <w:pPr>
              <w:spacing w:after="0"/>
              <w:rPr>
                <w:sz w:val="14"/>
                <w:szCs w:val="14"/>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for Identical</w:t>
            </w:r>
          </w:p>
        </w:tc>
        <w:tc>
          <w:tcPr>
            <w:tcW w:w="8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Observable</w:t>
            </w:r>
          </w:p>
        </w:tc>
        <w:tc>
          <w:tcPr>
            <w:tcW w:w="160" w:type="dxa"/>
            <w:vAlign w:val="bottom"/>
          </w:tcPr>
          <w:p>
            <w:pPr>
              <w:spacing w:after="0"/>
              <w:rPr>
                <w:sz w:val="13"/>
                <w:szCs w:val="13"/>
                <w:color w:val="auto"/>
              </w:rPr>
            </w:pPr>
          </w:p>
        </w:tc>
        <w:tc>
          <w:tcPr>
            <w:tcW w:w="12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Carrying Value</w:t>
            </w:r>
          </w:p>
        </w:tc>
        <w:tc>
          <w:tcPr>
            <w:tcW w:w="1240" w:type="dxa"/>
            <w:vAlign w:val="bottom"/>
            <w:tcBorders>
              <w:bottom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Assets (Level 1)</w:t>
            </w:r>
          </w:p>
        </w:tc>
        <w:tc>
          <w:tcPr>
            <w:tcW w:w="8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Inputs (Level 2)</w:t>
            </w: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78,811</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38,536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40,275</w:t>
            </w:r>
          </w:p>
        </w:tc>
        <w:tc>
          <w:tcPr>
            <w:tcW w:w="10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78,811</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15,975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15,975</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78,728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77,610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78,728</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4,137,633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3,496,803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127,763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3,624,566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4,314,057</w:t>
            </w:r>
          </w:p>
        </w:tc>
        <w:tc>
          <w:tcPr>
            <w:tcW w:w="100" w:type="dxa"/>
            <w:vAlign w:val="bottom"/>
          </w:tcPr>
          <w:p>
            <w:pPr>
              <w:spacing w:after="0"/>
              <w:rPr>
                <w:sz w:val="18"/>
                <w:szCs w:val="18"/>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116,146</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3,556,627</w:t>
            </w:r>
          </w:p>
        </w:tc>
        <w:tc>
          <w:tcPr>
            <w:tcW w:w="100" w:type="dxa"/>
            <w:vAlign w:val="bottom"/>
          </w:tcPr>
          <w:p>
            <w:pPr>
              <w:spacing w:after="0"/>
              <w:rPr>
                <w:sz w:val="18"/>
                <w:szCs w:val="18"/>
                <w:color w:val="auto"/>
              </w:rPr>
            </w:pPr>
          </w:p>
        </w:tc>
        <w:tc>
          <w:tcPr>
            <w:tcW w:w="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128,690</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8"/>
                <w:szCs w:val="18"/>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3,801,101</w:t>
            </w:r>
          </w:p>
        </w:tc>
        <w:tc>
          <w:tcPr>
            <w:tcW w:w="0" w:type="dxa"/>
            <w:vAlign w:val="bottom"/>
          </w:tcPr>
          <w:p>
            <w:pPr>
              <w:spacing w:after="0"/>
              <w:rPr>
                <w:sz w:val="1"/>
                <w:szCs w:val="1"/>
                <w:color w:val="auto"/>
              </w:rPr>
            </w:pPr>
          </w:p>
        </w:tc>
      </w:tr>
      <w:tr>
        <w:trPr>
          <w:trHeight w:val="22"/>
        </w:trPr>
        <w:tc>
          <w:tcPr>
            <w:tcW w:w="3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11,188</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11,193</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11,193</w:t>
            </w:r>
          </w:p>
        </w:tc>
        <w:tc>
          <w:tcPr>
            <w:tcW w:w="0" w:type="dxa"/>
            <w:vAlign w:val="bottom"/>
          </w:tcPr>
          <w:p>
            <w:pPr>
              <w:spacing w:after="0"/>
              <w:rPr>
                <w:sz w:val="1"/>
                <w:szCs w:val="1"/>
                <w:color w:val="auto"/>
              </w:rPr>
            </w:pPr>
          </w:p>
        </w:tc>
      </w:tr>
      <w:tr>
        <w:trPr>
          <w:trHeight w:val="20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128,234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129,152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129,719</w:t>
            </w:r>
          </w:p>
        </w:tc>
        <w:tc>
          <w:tcPr>
            <w:tcW w:w="0" w:type="dxa"/>
            <w:vAlign w:val="bottom"/>
          </w:tcPr>
          <w:p>
            <w:pPr>
              <w:spacing w:after="0"/>
              <w:rPr>
                <w:sz w:val="1"/>
                <w:szCs w:val="1"/>
                <w:color w:val="auto"/>
              </w:rPr>
            </w:pPr>
          </w:p>
        </w:tc>
      </w:tr>
      <w:tr>
        <w:trPr>
          <w:trHeight w:val="219"/>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4,088,675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3,557,237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3,557,511</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4,228,320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3,700,088</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3,698,637</w:t>
            </w:r>
          </w:p>
        </w:tc>
        <w:tc>
          <w:tcPr>
            <w:tcW w:w="0" w:type="dxa"/>
            <w:vAlign w:val="bottom"/>
          </w:tcPr>
          <w:p>
            <w:pPr>
              <w:spacing w:after="0"/>
              <w:rPr>
                <w:sz w:val="1"/>
                <w:szCs w:val="1"/>
                <w:color w:val="auto"/>
              </w:rPr>
            </w:pPr>
          </w:p>
        </w:tc>
      </w:tr>
      <w:tr>
        <w:trPr>
          <w:trHeight w:val="22"/>
        </w:trPr>
        <w:tc>
          <w:tcPr>
            <w:tcW w:w="3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For a detailed description and classification of our financial instruments, see “Note 16, Fair Value” in our 2024 Form 10-K.</w:t>
      </w:r>
    </w:p>
    <w:p>
      <w:pPr>
        <w:spacing w:after="0" w:line="14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Option</w:t>
      </w:r>
    </w:p>
    <w:p>
      <w:pPr>
        <w:spacing w:after="0" w:line="6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generally elect the fair value option on a financial instrument when the accounting guidance would otherwise require us to separately account for a derivative that is embedded in an instrument at fair value. Under the fair value option, we carry this type of instrument, in its entirety, at fair value instead of separately accounting for the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for the mortgage loans is recorded in “Interest income: Mortgage loans” and interest expense for the debt instruments is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Long-term debt”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382270</wp:posOffset>
            </wp:positionV>
            <wp:extent cx="680593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2" w:name="page103"/>
    <w:bookmarkEnd w:id="102"/>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fair value and unpaid principal balance of the financial instruments for which we have elected the fair value option.</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ind w:left="40"/>
              <w:spacing w:after="0"/>
              <w:rPr>
                <w:sz w:val="20"/>
                <w:szCs w:val="20"/>
                <w:color w:val="auto"/>
              </w:rPr>
            </w:pPr>
            <w:r>
              <w:rPr>
                <w:rFonts w:ascii="Arial" w:cs="Arial" w:eastAsia="Arial" w:hAnsi="Arial"/>
                <w:sz w:val="14"/>
                <w:szCs w:val="14"/>
                <w:b w:val="1"/>
                <w:bCs w:val="1"/>
                <w:color w:val="auto"/>
              </w:rPr>
              <w:t>March 31, 2025</w:t>
            </w:r>
          </w:p>
        </w:tc>
        <w:tc>
          <w:tcPr>
            <w:tcW w:w="5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480" w:type="dxa"/>
            <w:vAlign w:val="bottom"/>
            <w:gridSpan w:val="2"/>
          </w:tcPr>
          <w:p>
            <w:pPr>
              <w:jc w:val="right"/>
              <w:ind w:right="47"/>
              <w:spacing w:after="0" w:line="139" w:lineRule="exact"/>
              <w:rPr>
                <w:sz w:val="20"/>
                <w:szCs w:val="20"/>
                <w:color w:val="auto"/>
              </w:rPr>
            </w:pPr>
            <w:r>
              <w:rPr>
                <w:rFonts w:ascii="Arial" w:cs="Arial" w:eastAsia="Arial" w:hAnsi="Arial"/>
                <w:sz w:val="14"/>
                <w:szCs w:val="14"/>
                <w:b w:val="1"/>
                <w:bCs w:val="1"/>
                <w:color w:val="auto"/>
              </w:rPr>
              <w:t>Long-Term Debt of</w:t>
            </w:r>
          </w:p>
        </w:tc>
        <w:tc>
          <w:tcPr>
            <w:tcW w:w="144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Long-Term Debt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80" w:type="dxa"/>
            <w:vAlign w:val="bottom"/>
            <w:gridSpan w:val="2"/>
          </w:tcPr>
          <w:p>
            <w:pPr>
              <w:jc w:val="right"/>
              <w:ind w:right="126"/>
              <w:spacing w:after="0" w:line="139" w:lineRule="exact"/>
              <w:rPr>
                <w:sz w:val="20"/>
                <w:szCs w:val="20"/>
                <w:color w:val="auto"/>
              </w:rPr>
            </w:pPr>
            <w:r>
              <w:rPr>
                <w:rFonts w:ascii="Arial" w:cs="Arial" w:eastAsia="Arial" w:hAnsi="Arial"/>
                <w:sz w:val="14"/>
                <w:szCs w:val="14"/>
                <w:b w:val="1"/>
                <w:bCs w:val="1"/>
                <w:color w:val="auto"/>
              </w:rPr>
              <w:t>Long-Term Debt of</w:t>
            </w:r>
          </w:p>
        </w:tc>
        <w:tc>
          <w:tcPr>
            <w:tcW w:w="148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Long-Term Debt of</w:t>
            </w:r>
          </w:p>
        </w:tc>
        <w:tc>
          <w:tcPr>
            <w:tcW w:w="0" w:type="dxa"/>
            <w:vAlign w:val="bottom"/>
          </w:tcPr>
          <w:p>
            <w:pPr>
              <w:spacing w:after="0"/>
              <w:rPr>
                <w:sz w:val="1"/>
                <w:szCs w:val="1"/>
                <w:color w:val="auto"/>
              </w:rPr>
            </w:pPr>
          </w:p>
        </w:tc>
      </w:tr>
      <w:tr>
        <w:trPr>
          <w:trHeight w:val="177"/>
        </w:trPr>
        <w:tc>
          <w:tcPr>
            <w:tcW w:w="2480" w:type="dxa"/>
            <w:vAlign w:val="bottom"/>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40" w:type="dxa"/>
            <w:vAlign w:val="bottom"/>
            <w:tcBorders>
              <w:bottom w:val="single" w:sz="8" w:color="2C6937"/>
            </w:tcBorders>
          </w:tcPr>
          <w:p>
            <w:pPr>
              <w:spacing w:after="0"/>
              <w:rPr>
                <w:sz w:val="15"/>
                <w:szCs w:val="15"/>
                <w:color w:val="auto"/>
              </w:rPr>
            </w:pPr>
          </w:p>
        </w:tc>
        <w:tc>
          <w:tcPr>
            <w:tcW w:w="1140" w:type="dxa"/>
            <w:vAlign w:val="bottom"/>
            <w:tcBorders>
              <w:bottom w:val="single" w:sz="8" w:color="2C6937"/>
            </w:tcBorders>
          </w:tcPr>
          <w:p>
            <w:pPr>
              <w:ind w:left="40"/>
              <w:spacing w:after="0"/>
              <w:rPr>
                <w:sz w:val="20"/>
                <w:szCs w:val="20"/>
                <w:color w:val="auto"/>
              </w:rPr>
            </w:pPr>
            <w:r>
              <w:rPr>
                <w:rFonts w:ascii="Arial" w:cs="Arial" w:eastAsia="Arial" w:hAnsi="Arial"/>
                <w:sz w:val="14"/>
                <w:szCs w:val="14"/>
                <w:b w:val="1"/>
                <w:bCs w:val="1"/>
                <w:color w:val="auto"/>
              </w:rPr>
              <w:t>Fannie Mae</w:t>
            </w:r>
          </w:p>
        </w:tc>
        <w:tc>
          <w:tcPr>
            <w:tcW w:w="144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w w:val="96"/>
              </w:rPr>
              <w:t>Consolidated Trusts</w:t>
            </w: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rPr>
              <w:t>Fannie Mae</w:t>
            </w:r>
          </w:p>
        </w:tc>
        <w:tc>
          <w:tcPr>
            <w:tcW w:w="14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Consolidated Trusts</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5"/>
          </w:tcPr>
          <w:p>
            <w:pPr>
              <w:jc w:val="center"/>
              <w:ind w:right="186"/>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20"/>
                <w:szCs w:val="20"/>
                <w:color w:val="auto"/>
              </w:rPr>
            </w:pPr>
            <w:r>
              <w:rPr>
                <w:rFonts w:ascii="Arial" w:cs="Arial" w:eastAsia="Arial" w:hAnsi="Arial"/>
                <w:sz w:val="15"/>
                <w:szCs w:val="15"/>
                <w:color w:val="auto"/>
              </w:rPr>
              <w:t>Fair value</w:t>
            </w:r>
          </w:p>
        </w:tc>
        <w:tc>
          <w:tcPr>
            <w:tcW w:w="3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4,508</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87"/>
              <w:spacing w:after="0"/>
              <w:rPr>
                <w:sz w:val="20"/>
                <w:szCs w:val="20"/>
                <w:color w:val="auto"/>
              </w:rPr>
            </w:pPr>
            <w:r>
              <w:rPr>
                <w:rFonts w:ascii="Arial" w:cs="Arial" w:eastAsia="Arial" w:hAnsi="Arial"/>
                <w:sz w:val="15"/>
                <w:szCs w:val="15"/>
                <w:b w:val="1"/>
                <w:bCs w:val="1"/>
                <w:color w:val="auto"/>
              </w:rPr>
              <w:t>358</w:t>
            </w:r>
          </w:p>
        </w:tc>
        <w:tc>
          <w:tcPr>
            <w:tcW w:w="560" w:type="dxa"/>
            <w:vAlign w:val="bottom"/>
          </w:tcPr>
          <w:p>
            <w:pPr>
              <w:ind w:left="14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14,977</w:t>
            </w:r>
          </w:p>
        </w:tc>
        <w:tc>
          <w:tcPr>
            <w:tcW w:w="5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3,744</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385</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13,292</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20"/>
                <w:szCs w:val="20"/>
                <w:color w:val="auto"/>
              </w:rPr>
            </w:pPr>
            <w:r>
              <w:rPr>
                <w:rFonts w:ascii="Arial" w:cs="Arial" w:eastAsia="Arial" w:hAnsi="Arial"/>
                <w:sz w:val="15"/>
                <w:szCs w:val="15"/>
                <w:color w:val="auto"/>
              </w:rPr>
              <w:t>Unpaid principal balance</w:t>
            </w:r>
          </w:p>
        </w:tc>
        <w:tc>
          <w:tcPr>
            <w:tcW w:w="3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4,832</w:t>
            </w:r>
          </w:p>
        </w:tc>
        <w:tc>
          <w:tcPr>
            <w:tcW w:w="340" w:type="dxa"/>
            <w:vAlign w:val="bottom"/>
          </w:tcPr>
          <w:p>
            <w:pPr>
              <w:spacing w:after="0"/>
              <w:rPr>
                <w:sz w:val="18"/>
                <w:szCs w:val="18"/>
                <w:color w:val="auto"/>
              </w:rPr>
            </w:pPr>
          </w:p>
        </w:tc>
        <w:tc>
          <w:tcPr>
            <w:tcW w:w="1140" w:type="dxa"/>
            <w:vAlign w:val="bottom"/>
          </w:tcPr>
          <w:p>
            <w:pPr>
              <w:jc w:val="right"/>
              <w:ind w:right="187"/>
              <w:spacing w:after="0"/>
              <w:rPr>
                <w:sz w:val="20"/>
                <w:szCs w:val="20"/>
                <w:color w:val="auto"/>
              </w:rPr>
            </w:pPr>
            <w:r>
              <w:rPr>
                <w:rFonts w:ascii="Arial" w:cs="Arial" w:eastAsia="Arial" w:hAnsi="Arial"/>
                <w:sz w:val="15"/>
                <w:szCs w:val="15"/>
                <w:b w:val="1"/>
                <w:bCs w:val="1"/>
                <w:color w:val="auto"/>
              </w:rPr>
              <w:t>343</w:t>
            </w:r>
          </w:p>
        </w:tc>
        <w:tc>
          <w:tcPr>
            <w:tcW w:w="5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15,486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4,079</w:t>
            </w:r>
          </w:p>
        </w:tc>
        <w:tc>
          <w:tcPr>
            <w:tcW w:w="360" w:type="dxa"/>
            <w:vAlign w:val="bottom"/>
          </w:tcPr>
          <w:p>
            <w:pPr>
              <w:spacing w:after="0"/>
              <w:rPr>
                <w:sz w:val="18"/>
                <w:szCs w:val="18"/>
                <w:color w:val="auto"/>
              </w:rPr>
            </w:pP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383</w:t>
            </w:r>
          </w:p>
        </w:tc>
        <w:tc>
          <w:tcPr>
            <w:tcW w:w="500" w:type="dxa"/>
            <w:vAlign w:val="bottom"/>
          </w:tcPr>
          <w:p>
            <w:pPr>
              <w:spacing w:after="0"/>
              <w:rPr>
                <w:sz w:val="18"/>
                <w:szCs w:val="18"/>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13,766</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right="240" w:hanging="237"/>
        <w:spacing w:after="0" w:line="226" w:lineRule="auto"/>
        <w:tabs>
          <w:tab w:leader="none" w:pos="233"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 with a fair value of $31 million as of both March 31, 2025 and December 31, 2024. Includes loans that are 90 days or more past due with a fair value of $26 million and $25 million as of March 31, 2025 and December 31, 2024, respectively.</w:t>
      </w:r>
    </w:p>
    <w:p>
      <w:pPr>
        <w:spacing w:after="0" w:line="85"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Changes in Fair Value under the Fair Value Option Election</w:t>
      </w:r>
    </w:p>
    <w:p>
      <w:pPr>
        <w:spacing w:after="0" w:line="76"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recorded gains of $125 million for the three months ended March 31, 2025, and losses of $45 million for the three months ended March 31, 2024, from changes in the fair value of loans recorded at fair value in “Fair value gains (losses), net” in our condensed consolidated statements of operations and comprehensive income.</w:t>
      </w:r>
    </w:p>
    <w:p>
      <w:pPr>
        <w:spacing w:after="0" w:line="32"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We recorded losses of $311 million for the three months ended March 31, 2025, and gains of $111 million for the three months ended March 31, 2024, from changes in the fair value of long-term debt recorded at fair value in “Fair value gains (losses), net” in our condensed consolidated statements of operations and comprehensive income.</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14. Commitments and Contingencies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are party to various types of legal actions and proceedings, including actions brought on behalf of various classes of claimants. We also are subject to regulatory examinations, inquiries and investigations, and other information gathering requests. In some of the matters, indeterminate amounts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This variability in pleadings, together with our and our counsel’s actual experience in litigating or settling claims, leads us to conclude that the monetary relief that may be sought by plaintiffs bears little relevance to the merits or disposition value of claims.</w:t>
      </w:r>
    </w:p>
    <w:p>
      <w:pPr>
        <w:spacing w:after="0" w:line="4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Legal actions and proceedings of all types are subject to many uncertain factors that generally cannot be predicted with assurance. Accordingly, the outcome of any given matter and the amount or range of potential loss at particular points in time is frequently difficult to ascertain. Uncertainties can include how fact finders will evaluate documentary evidence and the credibility and effectiveness of witness testimony, and how the court will apply the law. Disposition valuations are also subject to the uncertainty of how opposing parties and their counsel may view the evidence and applicable law.</w:t>
      </w:r>
    </w:p>
    <w:p>
      <w:pPr>
        <w:spacing w:after="0" w:line="35"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On a quarterly basis, we review relevant information about pending legal actions and proceedings for the purpose of evaluating and revising our contingencies, accruals and disclosures. We establish an accrual only for matters when the likelihood of a loss is probable and we can reasonably estimate the amount of such loss. We are often unable to estimate the possible losses or ranges of losses, particularly for proceedings that are in their early stages of development, where plaintiffs seek indeterminate or unspecified damages, where there may be novel or unsettled legal questions relevant to the proceedings, or where settlement negotiations have not occurred or progressed. Given the uncertainties involved in any action or proceeding, regardless of whether we have established an accrual, the ultimate resolution of certain of these matters may be material to our operating results for a particular period, depending on, among other factors, the size of the loss or liability imposed and the level of our net income or loss for that period.</w:t>
      </w:r>
    </w:p>
    <w:p>
      <w:pPr>
        <w:spacing w:after="0" w:line="4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addition to the matters specifically described below, we are involved in a number of legal and regulatory proceedings that arise in the ordinary course of business that we do not expect will have a material impact on our business or financial condition.</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Agreements Litigation</w:t>
      </w:r>
    </w:p>
    <w:p>
      <w:pPr>
        <w:spacing w:after="0" w:line="81"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A consolidated class action (</w:t>
      </w:r>
      <w:r>
        <w:rPr>
          <w:rFonts w:ascii="Arial" w:cs="Arial" w:eastAsia="Arial" w:hAnsi="Arial"/>
          <w:sz w:val="16"/>
          <w:szCs w:val="16"/>
          <w:i w:val="1"/>
          <w:iCs w:val="1"/>
          <w:color w:val="auto"/>
        </w:rPr>
        <w:t>“In re Fannie Mae/Freddie Mac Senior Preferred Stock Purchase Agreement Class Action Litigations”</w:t>
      </w:r>
      <w:r>
        <w:rPr>
          <w:rFonts w:ascii="Arial" w:cs="Arial" w:eastAsia="Arial" w:hAnsi="Arial"/>
          <w:sz w:val="16"/>
          <w:szCs w:val="16"/>
          <w:color w:val="auto"/>
        </w:rPr>
        <w:t xml:space="preserve">) and a non-class action lawsuit, </w:t>
      </w:r>
      <w:r>
        <w:rPr>
          <w:rFonts w:ascii="Arial" w:cs="Arial" w:eastAsia="Arial" w:hAnsi="Arial"/>
          <w:sz w:val="16"/>
          <w:szCs w:val="16"/>
          <w:i w:val="1"/>
          <w:iCs w:val="1"/>
          <w:color w:val="auto"/>
        </w:rPr>
        <w:t>Fairholme Funds v. FHFA</w:t>
      </w:r>
      <w:r>
        <w:rPr>
          <w:rFonts w:ascii="Arial" w:cs="Arial" w:eastAsia="Arial" w:hAnsi="Arial"/>
          <w:sz w:val="16"/>
          <w:szCs w:val="16"/>
          <w:color w:val="auto"/>
        </w:rPr>
        <w:t>, filed by Fannie Mae and Freddie Mac stockholders against us, FHFA as our conservator, and Freddie Mac were filed in the U.S. District Court for the District of Columbia. The lawsuits challenge the August 2012 amendment to each company’s senior preferred stock purchase agreement with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363855</wp:posOffset>
            </wp:positionV>
            <wp:extent cx="680593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3" w:name="page104"/>
    <w:bookmarkEnd w:id="103"/>
    <w:p>
      <w:pPr>
        <w:ind w:left="5620"/>
        <w:spacing w:after="0"/>
        <w:rPr>
          <w:sz w:val="20"/>
          <w:szCs w:val="20"/>
          <w:color w:val="auto"/>
        </w:rPr>
      </w:pPr>
      <w:r>
        <w:rPr>
          <w:rFonts w:ascii="Arial" w:cs="Arial" w:eastAsia="Arial" w:hAnsi="Arial"/>
          <w:sz w:val="13"/>
          <w:szCs w:val="13"/>
          <w:color w:val="05314D"/>
        </w:rPr>
        <w:t>Notes to Condensed Consolidated Financial Statements |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24130</wp:posOffset>
            </wp:positionV>
            <wp:extent cx="706501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Plaintiffs in these lawsuits allege that the net worth sweep dividend provisions of the senior preferred stock that were implemented pursuant to the August 2012 amendments nullified certain of the stockholders’ rights and caused them harm. Plaintiffs in the class action represent a class of Fannie Mae preferred stockholders and classes of Freddie Mac common and preferred stockholders. The cases were tried before a jury at a trial that commenced on July 24, 2023. On August 14, 2023, the jury returned a verdict for the plaintiffs and awarded damages of $299.4 million to Fannie Mae preferred stockholders. On October 24, 2023, the court held that these stockholders were entitled to receive prejudgment interest on the damage award. On March 20, 2024, the court entered final judgment and set the amount of prejudgment interest owed by Fannie Mae at $199.7 million. On April 17, 2024, the defendants filed a motion for judgment as a matter of law, which the court denied on March 14, 2025. The defendants filed a notice of appeal on April 11, 2025. On April 25, 2025, plaintiffs filed a notice of cross-appeal challenging several of the court’s pretrial rulings, which they contend prevented them from seeking the full measure of their alleged damages. Until the appeal is resolved and any final judgment amount has been paid, post-judgment interest on the damages and prejudgment interest awards will accrue at a rate of 5.01%, starting on March 20, 2024, to be computed daily and compounded annually. We recognized $495 million in 2023 related to the jury verdict and estimated prejudgment interest through December 31, 2023 in “Other expenses, net.” We recognized an additional $6 million of expense for the three months ended March 31, 2025, and $24 million of expense through December 31, 2024, related to the prejudgment and post-judgment interest.</w:t>
      </w:r>
    </w:p>
    <w:p>
      <w:pPr>
        <w:spacing w:after="0" w:line="340"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15. Regulatory Capital Requirements</w:t>
      </w:r>
    </w:p>
    <w:p>
      <w:pPr>
        <w:spacing w:after="0" w:line="105" w:lineRule="exact"/>
        <w:rPr>
          <w:sz w:val="20"/>
          <w:szCs w:val="20"/>
          <w:color w:val="auto"/>
        </w:rPr>
      </w:pPr>
    </w:p>
    <w:p>
      <w:pPr>
        <w:jc w:val="both"/>
        <w:ind w:right="300"/>
        <w:spacing w:after="0" w:line="281" w:lineRule="auto"/>
        <w:rPr>
          <w:sz w:val="20"/>
          <w:szCs w:val="20"/>
          <w:color w:val="auto"/>
        </w:rPr>
      </w:pPr>
      <w:r>
        <w:rPr>
          <w:rFonts w:ascii="Arial" w:cs="Arial" w:eastAsia="Arial" w:hAnsi="Arial"/>
          <w:sz w:val="16"/>
          <w:szCs w:val="16"/>
          <w:color w:val="auto"/>
        </w:rPr>
        <w:t>The enterprise regulatory capital framework went into effect in February 2021; however, we are not required to hold capital according to the framework’s requirements until the date of termination of our conservatorship, or such later date as may be ordered by FHFA. The table below sets forth information about our capital requirements under the standardized approach of the enterprise regulatory capital framework.</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March 31, 2025</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1"/>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2"/>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Risk-weighted assets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26"/>
        </w:trPr>
        <w:tc>
          <w:tcPr>
            <w:tcW w:w="264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spacing w:after="0"/>
              <w:rPr>
                <w:sz w:val="19"/>
                <w:szCs w:val="19"/>
                <w:color w:val="auto"/>
              </w:rPr>
            </w:pPr>
          </w:p>
        </w:tc>
        <w:tc>
          <w:tcPr>
            <w:tcW w:w="1020" w:type="dxa"/>
            <w:vAlign w:val="bottom"/>
            <w:tcBorders>
              <w:top w:val="single" w:sz="8" w:color="2C6937"/>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20" w:type="dxa"/>
            <w:vAlign w:val="bottom"/>
            <w:tcBorders>
              <w:bottom w:val="single" w:sz="8" w:color="2C6937"/>
            </w:tcBorders>
          </w:tcPr>
          <w:p>
            <w:pPr>
              <w:spacing w:after="0"/>
              <w:rPr>
                <w:sz w:val="19"/>
                <w:szCs w:val="19"/>
                <w:color w:val="auto"/>
              </w:rPr>
            </w:pPr>
          </w:p>
        </w:tc>
      </w:tr>
      <w:tr>
        <w:trPr>
          <w:trHeight w:val="178"/>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 Capital</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55"/>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right"/>
              <w:ind w:right="326"/>
              <w:spacing w:after="0" w:line="155" w:lineRule="exact"/>
              <w:rPr>
                <w:sz w:val="20"/>
                <w:szCs w:val="20"/>
                <w:color w:val="auto"/>
              </w:rPr>
            </w:pPr>
            <w:r>
              <w:rPr>
                <w:rFonts w:ascii="Arial" w:cs="Arial" w:eastAsia="Arial" w:hAnsi="Arial"/>
                <w:sz w:val="14"/>
                <w:szCs w:val="14"/>
                <w:b w:val="1"/>
                <w:bCs w:val="1"/>
                <w:color w:val="auto"/>
              </w:rPr>
              <w:t>Total Capital</w:t>
            </w:r>
          </w:p>
        </w:tc>
      </w:tr>
      <w:tr>
        <w:trPr>
          <w:trHeight w:val="166"/>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Available</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(including</w:t>
            </w: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Minimum Capital</w:t>
            </w:r>
          </w:p>
        </w:tc>
        <w:tc>
          <w:tcPr>
            <w:tcW w:w="1620" w:type="dxa"/>
            <w:vAlign w:val="bottom"/>
          </w:tcPr>
          <w:p>
            <w:pPr>
              <w:jc w:val="right"/>
              <w:ind w:right="126"/>
              <w:spacing w:after="0"/>
              <w:rPr>
                <w:sz w:val="20"/>
                <w:szCs w:val="20"/>
                <w:color w:val="auto"/>
              </w:rPr>
            </w:pPr>
            <w:r>
              <w:rPr>
                <w:rFonts w:ascii="Arial" w:cs="Arial" w:eastAsia="Arial" w:hAnsi="Arial"/>
                <w:sz w:val="14"/>
                <w:szCs w:val="14"/>
                <w:b w:val="1"/>
                <w:bCs w:val="1"/>
                <w:color w:val="auto"/>
              </w:rPr>
              <w:t>Requirement Ratio</w:t>
            </w:r>
          </w:p>
        </w:tc>
      </w:tr>
      <w:tr>
        <w:trPr>
          <w:trHeight w:val="205"/>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Capital (Deficit)</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Buffers)</w:t>
            </w:r>
            <w:r>
              <w:rPr>
                <w:rFonts w:ascii="Arial" w:cs="Arial" w:eastAsia="Arial" w:hAnsi="Arial"/>
                <w:sz w:val="17"/>
                <w:szCs w:val="17"/>
                <w:b w:val="1"/>
                <w:bCs w:val="1"/>
                <w:color w:val="auto"/>
                <w:w w:val="94"/>
                <w:vertAlign w:val="superscript"/>
              </w:rPr>
              <w:t>(3)</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2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r>
      <w:tr>
        <w:trPr>
          <w:trHeight w:val="206"/>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2C6937"/>
            </w:tcBorders>
          </w:tcPr>
          <w:p>
            <w:pPr>
              <w:spacing w:after="0"/>
              <w:rPr>
                <w:sz w:val="17"/>
                <w:szCs w:val="17"/>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Total capital (statutory)</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8.0 %</w:t>
            </w: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Common equity 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10.5</w:t>
            </w: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12.0</w:t>
            </w: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Adjusted total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14.0</w:t>
            </w:r>
          </w:p>
        </w:tc>
      </w:tr>
      <w:tr>
        <w:trPr>
          <w:trHeight w:val="227"/>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Core capital (statutory)</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2.5</w:t>
            </w: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426720</wp:posOffset>
            </wp:positionV>
            <wp:extent cx="680593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4" w:name="page105"/>
    <w:bookmarkEnd w:id="104"/>
    <w:p>
      <w:pPr>
        <w:ind w:left="5660"/>
        <w:spacing w:after="0"/>
        <w:rPr>
          <w:sz w:val="20"/>
          <w:szCs w:val="20"/>
          <w:color w:val="auto"/>
        </w:rPr>
      </w:pPr>
      <w:r>
        <w:rPr>
          <w:rFonts w:ascii="Arial" w:cs="Arial" w:eastAsia="Arial" w:hAnsi="Arial"/>
          <w:sz w:val="13"/>
          <w:szCs w:val="13"/>
          <w:color w:val="05314D"/>
        </w:rPr>
        <w:t>Notes to Condensed Consolidated Financial Statements | Regulatory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2024</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Risk-weighted assets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4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spacing w:after="0"/>
              <w:rPr>
                <w:sz w:val="19"/>
                <w:szCs w:val="19"/>
                <w:color w:val="auto"/>
              </w:rPr>
            </w:pPr>
          </w:p>
        </w:tc>
        <w:tc>
          <w:tcPr>
            <w:tcW w:w="1020" w:type="dxa"/>
            <w:vAlign w:val="bottom"/>
            <w:tcBorders>
              <w:top w:val="single" w:sz="8" w:color="2C6937"/>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2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 Capital</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Available</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20" w:type="dxa"/>
            <w:vAlign w:val="bottom"/>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(including</w:t>
            </w:r>
          </w:p>
        </w:tc>
        <w:tc>
          <w:tcPr>
            <w:tcW w:w="142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20" w:type="dxa"/>
            <w:vAlign w:val="bottom"/>
          </w:tcPr>
          <w:p>
            <w:pPr>
              <w:jc w:val="right"/>
              <w:ind w:right="126"/>
              <w:spacing w:after="0" w:line="153" w:lineRule="exact"/>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Capital (Deficit)</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(3)</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2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06"/>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Total capital (statutory)</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Common equity 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Adjusted total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27"/>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Core capital (statutory)</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20" w:hanging="217"/>
        <w:spacing w:after="0"/>
        <w:tabs>
          <w:tab w:leader="none" w:pos="220"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Available capital deficit for all line items excludes the stated value of the senior preferred stock ($120.8 billion).</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02"/>
        </w:numPr>
        <w:rPr>
          <w:rFonts w:ascii="Arial" w:cs="Arial" w:eastAsia="Arial" w:hAnsi="Arial"/>
          <w:sz w:val="9"/>
          <w:szCs w:val="9"/>
          <w:color w:val="auto"/>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377825</wp:posOffset>
            </wp:positionV>
            <wp:extent cx="680593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5" w:name="page106"/>
    <w:bookmarkEnd w:id="105"/>
    <w:p>
      <w:pPr>
        <w:ind w:left="7580"/>
        <w:spacing w:after="0"/>
        <w:rPr>
          <w:sz w:val="20"/>
          <w:szCs w:val="20"/>
          <w:color w:val="auto"/>
        </w:rPr>
      </w:pPr>
      <w:r>
        <w:rPr>
          <w:rFonts w:ascii="Arial" w:cs="Arial" w:eastAsia="Arial" w:hAnsi="Arial"/>
          <w:sz w:val="14"/>
          <w:szCs w:val="14"/>
          <w:color w:val="05314D"/>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17145</wp:posOffset>
            </wp:positionV>
            <wp:extent cx="706501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Quantitative and Qualitative Disclosures about Market Risk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market risk is set forth in “MD&amp;A—Risk Management—Market Risk Management, including Interest-Rate Risk Management.”</w:t>
      </w:r>
    </w:p>
    <w:p>
      <w:pPr>
        <w:spacing w:after="0" w:line="192"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Controls and Procedures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w:t>
      </w:r>
    </w:p>
    <w:p>
      <w:pPr>
        <w:spacing w:after="0" w:line="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Evaluation of Disclosure Controls and Procedures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Disclosure Controls and Procedures</w:t>
      </w:r>
    </w:p>
    <w:p>
      <w:pPr>
        <w:spacing w:after="0" w:line="8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Disclosure controls and procedures refer to controls and other procedures designed to provide reasonable assurance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Evaluation of Disclosure Controls and Procedures</w:t>
      </w:r>
    </w:p>
    <w:p>
      <w:pPr>
        <w:spacing w:after="0" w:line="8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As required by Rule 13a-15 under the Exchange Act, management has evaluated, with the participation of our Chief Executive Officer and Chief Financial Officer, the effectiveness of our disclosure controls and procedures in effect as of March 31, 2025, the end of the period covered by this report. As a result of management’s evaluation, our Chief Executive Officer and Chief Financial Officer concluded that our disclosure controls and procedures were not effective at a reasonable assurance level as of March 31, 2025, or as of the date of filing this report.</w:t>
      </w:r>
    </w:p>
    <w:p>
      <w:pPr>
        <w:spacing w:after="0" w:line="48"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Our disclosure controls and procedures were not effective as of March 31, 2025, or as of the date of filing this report because they did not adequately ensure the accumulation and communication to management of information known to FHFA that is needed to meet our disclosure obligations under the federal securities laws. As a result, we were not able to rely upon the disclosure controls and procedures that were in place as of March 31, 2025, or as of the date of this filing, and we continue to have a material weakness in our internal control over financial reporting. This material weakness is described in more detail below under “Description of Material Weakness.” Based on discussions with FHFA and the structural nature of this material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Description of Material Weakness</w:t>
      </w:r>
    </w:p>
    <w:p>
      <w:pPr>
        <w:spacing w:after="0" w:line="6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Public Company Accounting Oversight Board’s Auditing Standard 2201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determined that we continued to have the following material weakness as of March 31, 2025, and as of the date of filing this report:</w:t>
      </w:r>
    </w:p>
    <w:p>
      <w:pPr>
        <w:spacing w:after="0" w:line="100" w:lineRule="exact"/>
        <w:rPr>
          <w:sz w:val="20"/>
          <w:szCs w:val="20"/>
          <w:color w:val="auto"/>
        </w:rPr>
      </w:pPr>
    </w:p>
    <w:p>
      <w:pPr>
        <w:ind w:left="620" w:hanging="307"/>
        <w:spacing w:after="0" w:line="262" w:lineRule="auto"/>
        <w:tabs>
          <w:tab w:leader="none" w:pos="612"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have been under the conservatorship of FHFA since September 2008. Under the GSE Act, FHFA is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agency that currently functions as both our conservator and our regulator with respect to our safety, soundness, and mission. Because of the nature of the conservatorship under the GSE Act, which places us under the “control” of FHFA (as that term is defined by securities laws), some of the information that we may need to meet our disclosure obligations may be solely within the knowledge of FHFA. As our conservator, FHFA has the power to take actions without our knowledge that could be material to our stockholders and other stakeholders, and could significantly affect our financial performance or our continued existence as an ongoing business. Although we and FHFA attempted to design and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501015</wp:posOffset>
            </wp:positionV>
            <wp:extent cx="71386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103</w:t>
            </w:r>
          </w:p>
        </w:tc>
      </w:tr>
      <w:tr>
        <w:trPr>
          <w:trHeight w:val="220"/>
        </w:trPr>
        <w:tc>
          <w:tcPr>
            <w:tcW w:w="68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6" w:name="page107"/>
    <w:bookmarkEnd w:id="106"/>
    <w:p>
      <w:pPr>
        <w:ind w:left="9600"/>
        <w:spacing w:after="0"/>
        <w:rPr>
          <w:sz w:val="20"/>
          <w:szCs w:val="20"/>
          <w:color w:val="auto"/>
        </w:rPr>
      </w:pPr>
      <w:r>
        <w:rPr>
          <w:rFonts w:ascii="Arial" w:cs="Arial" w:eastAsia="Arial" w:hAnsi="Arial"/>
          <w:sz w:val="14"/>
          <w:szCs w:val="14"/>
          <w:color w:val="001543"/>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120"/>
        <w:spacing w:after="0" w:line="263" w:lineRule="auto"/>
        <w:rPr>
          <w:sz w:val="20"/>
          <w:szCs w:val="20"/>
          <w:color w:val="auto"/>
        </w:rPr>
      </w:pPr>
      <w:r>
        <w:rPr>
          <w:rFonts w:ascii="Arial" w:cs="Arial" w:eastAsia="Arial" w:hAnsi="Arial"/>
          <w:sz w:val="16"/>
          <w:szCs w:val="16"/>
          <w:color w:val="auto"/>
        </w:rPr>
        <w:t>disclosure policies and procedures that would account for the conservatorship and accomplish the same objectives as a disclosure controls and procedures policy of a typical reporting company, there are inherent structural limitations on our ability to design, implement, operate, and test effective disclosure controls and procedures. As both our regulator and our conservator under the GSE Act, FHFA is limited in its ability to design and implement a complete set of disclosure controls and procedures relating to Fannie Mae, particularly with respect to current reporting pursuant to Form 8-K. Similarly, as a regulated entity, we are limited in our ability to design, implement, operate, and test the controls and procedures for which FHFA is responsible.</w:t>
      </w:r>
    </w:p>
    <w:p>
      <w:pPr>
        <w:spacing w:after="0" w:line="41"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Due to these circumstances,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condensed consolidated financial statements. As a result, we did not maintain effective controls and procedures designed to ensure complete and accurate disclosure as required by GAAP as of March 31, 2025, or as of the date of filing this report. Based on discussions with FHFA and the structural nature of this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Mitigating Actions Related to Material Weakness</w:t>
      </w:r>
    </w:p>
    <w:p>
      <w:pPr>
        <w:spacing w:after="0" w:line="6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We and FHFA have engaged in the following practices intended to permit accumulation and communication to management of information needed to meet our disclosure obligations under the federal securities laws:</w:t>
      </w:r>
    </w:p>
    <w:p>
      <w:pPr>
        <w:spacing w:after="0" w:line="2" w:lineRule="exact"/>
        <w:rPr>
          <w:sz w:val="20"/>
          <w:szCs w:val="20"/>
          <w:color w:val="auto"/>
        </w:rPr>
      </w:pPr>
    </w:p>
    <w:p>
      <w:pPr>
        <w:ind w:left="620" w:hanging="307"/>
        <w:spacing w:after="0"/>
        <w:tabs>
          <w:tab w:leader="none" w:pos="6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FHFA has established a process to facilitate operation of the company under the oversight of the conservator.</w:t>
      </w:r>
    </w:p>
    <w:p>
      <w:pPr>
        <w:spacing w:after="0" w:line="86" w:lineRule="exact"/>
        <w:rPr>
          <w:rFonts w:ascii="Arial" w:cs="Arial" w:eastAsia="Arial" w:hAnsi="Arial"/>
          <w:sz w:val="16"/>
          <w:szCs w:val="16"/>
          <w:color w:val="auto"/>
        </w:rPr>
      </w:pPr>
    </w:p>
    <w:p>
      <w:pPr>
        <w:ind w:left="620" w:right="60" w:hanging="307"/>
        <w:spacing w:after="0" w:line="293" w:lineRule="auto"/>
        <w:tabs>
          <w:tab w:leader="none" w:pos="6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We have provided drafts of our SEC filings to FHFA personnel for their review and comment prior to filing. We also have provided drafts of external press releases, statements, and speeches to FHFA personnel for their review and comment prior to release.</w:t>
      </w:r>
    </w:p>
    <w:p>
      <w:pPr>
        <w:spacing w:after="0" w:line="14" w:lineRule="exact"/>
        <w:rPr>
          <w:rFonts w:ascii="Arial" w:cs="Arial" w:eastAsia="Arial" w:hAnsi="Arial"/>
          <w:sz w:val="16"/>
          <w:szCs w:val="16"/>
          <w:color w:val="auto"/>
        </w:rPr>
      </w:pPr>
    </w:p>
    <w:p>
      <w:pPr>
        <w:ind w:left="620" w:hanging="307"/>
        <w:spacing w:after="0" w:line="266" w:lineRule="auto"/>
        <w:tabs>
          <w:tab w:leader="none" w:pos="6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FHFA personnel, including senior officials, have reviewed our SEC filings prior to filing, including this quarterly report on Form 10-Q for the quarter ended March 31, 2025 (“First Quarter 2025 Form 10-Q”), and engaged in discussions regarding issues associated with the information contained in those filings. Prior to filing our First Quarter 2025 Form 10-Q, FHFA provided Fannie Mae management with written acknowledgment that it had reviewed the First Quarter 2025 Form 10-Q, and it was not aware of any material misstatements or omissions in the First Quarter 2025 Form 10-Q and had no objection to our filing the First Quarter 2025 Form 10-Q.</w:t>
      </w:r>
    </w:p>
    <w:p>
      <w:pPr>
        <w:spacing w:after="0" w:line="37" w:lineRule="exact"/>
        <w:rPr>
          <w:rFonts w:ascii="Arial" w:cs="Arial" w:eastAsia="Arial" w:hAnsi="Arial"/>
          <w:sz w:val="16"/>
          <w:szCs w:val="16"/>
          <w:color w:val="auto"/>
        </w:rPr>
      </w:pPr>
    </w:p>
    <w:p>
      <w:pPr>
        <w:ind w:left="620" w:right="580" w:hanging="307"/>
        <w:spacing w:after="0" w:line="310" w:lineRule="auto"/>
        <w:tabs>
          <w:tab w:leader="none" w:pos="6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Our senior management meets regularly with senior leadership at FHFA. In addition, the FHFA Director serves as Chairman of our Board of Directors.</w:t>
      </w:r>
    </w:p>
    <w:p>
      <w:pPr>
        <w:spacing w:after="0" w:line="1" w:lineRule="exact"/>
        <w:rPr>
          <w:rFonts w:ascii="Arial" w:cs="Arial" w:eastAsia="Arial" w:hAnsi="Arial"/>
          <w:sz w:val="16"/>
          <w:szCs w:val="16"/>
          <w:color w:val="auto"/>
        </w:rPr>
      </w:pPr>
    </w:p>
    <w:p>
      <w:pPr>
        <w:ind w:left="620" w:right="620" w:hanging="307"/>
        <w:spacing w:after="0" w:line="293" w:lineRule="auto"/>
        <w:tabs>
          <w:tab w:leader="none" w:pos="6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FHFA representatives attend meetings frequently with various groups within the company to enhance the flow of information and to provide oversight on a variety of matters, including accounting, credit and market risk management, external communications, and legal matters.</w:t>
      </w:r>
    </w:p>
    <w:p>
      <w:pPr>
        <w:spacing w:after="0" w:line="14"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Senior officials within FHFA’s Office of the Chief Accountant have met frequently with our senior finance executives regarding our accounting policies, practices, and procedures.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Changes in Internal Control Over Financial Reporting</w:t>
      </w:r>
    </w:p>
    <w:p>
      <w:pPr>
        <w:spacing w:after="0" w:line="7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Management has evaluated, with the participation of our Chief Executive Officer and Chief Financial Officer, whether any changes in our internal control over financial reporting that occurred during our last fiscal quarter have materially affected, or are reasonably likely to materially affect, our internal control over financial reporting. There were no changes in our internal control over financial reporting from January 1, 2025 through March 31, 2025 that management believes have materially affected, or are reasonably likely to materially affect, our internal control over financial reporting.</w:t>
      </w:r>
    </w:p>
    <w:p>
      <w:pPr>
        <w:spacing w:after="0" w:line="3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that we believe will improve these controls and increase efficiency, while continuing to ensure that we maintain effective internal controls. Changes may include implementing new, more efficient systems, automating manual processes, changes in personnel performing controls, and updating existing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71386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104</w:t>
            </w:r>
          </w:p>
        </w:tc>
      </w:tr>
      <w:tr>
        <w:trPr>
          <w:trHeight w:val="220"/>
        </w:trPr>
        <w:tc>
          <w:tcPr>
            <w:tcW w:w="68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7" w:name="page108"/>
    <w:bookmarkEnd w:id="107"/>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940"/>
        <w:spacing w:after="0"/>
        <w:rPr>
          <w:sz w:val="20"/>
          <w:szCs w:val="20"/>
          <w:color w:val="auto"/>
        </w:rPr>
      </w:pPr>
      <w:r>
        <w:rPr>
          <w:rFonts w:ascii="Georgia" w:cs="Georgia" w:eastAsia="Georgia" w:hAnsi="Georgia"/>
          <w:sz w:val="31"/>
          <w:szCs w:val="31"/>
          <w:b w:val="1"/>
          <w:bCs w:val="1"/>
          <w:color w:val="05314D"/>
        </w:rPr>
        <w:t>PART II—OTHER INFORMATION</w:t>
      </w:r>
    </w:p>
    <w:p>
      <w:pPr>
        <w:spacing w:after="0" w:line="185"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Legal Proceedings</w:t>
      </w:r>
    </w:p>
    <w:p>
      <w:pPr>
        <w:spacing w:after="0" w:line="65"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information in this item supplements and updates information regarding certain legal proceedings set forth in “Legal Proceedings” in our 2024 Form 10-K. We also provide information regarding material legal proceedings in “Note 14, Commitments and Contingencies,” which is incorporated herein by reference. In addition to the matters specifically described or incorporated by reference in this item, we are involved in legal and regulatory proceedings that arise in the ordinary course of business that we do not expect will have a material impact on our business or financial condition. However, litigation claims and proceedings of all types are subject to many factors and their outcome and effect on our business and financial condition generally cannot be predicted accurately.</w:t>
      </w:r>
    </w:p>
    <w:p>
      <w:pPr>
        <w:spacing w:after="0" w:line="5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establish an accrual for legal claims only when a loss is probable and we can reasonably estimate the amount of such loss. The actual costs of resolving legal claims may be substantially higher or lower than the amounts accrued for those claims. If certain of these matters are determined against us, FHFA or Treasury, it could have a material adverse effect on our results of operations, liquidity and financial condition, including our net worth.</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Senior Preferred Stock Purchase Agreements Litigation</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Since June 2013, preferred and common stockholders of Fannie Mae and Freddie Mac filed lawsuits in multiple federal courts against one or more of the United States, Treasury and FHFA, challenging actions taken by the defendants relating to the Fannie Mae and Freddie Mac senior preferred stock purchase agreements and the conservatorships of Fannie Mae and Freddie Mac. Some of these lawsuits also contain claims against Fannie Mae and Freddie Mac. The legal claims being advanced by one or more of these lawsuits include challenges to the net worth sweep dividend provisions of the senior preferred stock that were implemented pursuant to August 2012 amendments to the agreements, the payment of dividends to Treasury under the net worth sweep dividend provisions, and FHFA’s decision to require Fannie Mae and Freddie Mac to draw funds from Treasury to pay dividends to Treasury prior to the August 2012 amendments. The plaintiffs seek various forms of equitable and injunctive relief as well as damages. The cases that remain pending after December 31, 2025 are as follows:</w:t>
      </w:r>
    </w:p>
    <w:p>
      <w:pPr>
        <w:spacing w:after="0" w:line="43"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i w:val="1"/>
          <w:iCs w:val="1"/>
          <w:color w:val="auto"/>
        </w:rPr>
        <w:t>District of Columbia (In re Fannie Mae/Freddie Mac Senior Preferred Stock Purchase Agreement Class Action Litigations and Fairholme Funds v. FHFA)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Fannie Mae is a defendant in two cases filed in the U.S. District Court for the District of Columbia, including a consolidated class action. The cases were consolidated for trial, and on August 14, 2023, the jury returned a verdict for the plaintiffs and awarded damages of $299.4 million to Fannie Mae preferred stockholders. On March 20, 2024, the court entered final judgment and set the amount of prejudgment interest owed by Fannie Mae at $199.7 million. Defendants filed a notice of appeal on April 11, 2025, and plaintiffs filed a notice of cross-appeal on April 25, 2025. See “Note 14, Commitments and Contingencies” for additional information.</w:t>
      </w:r>
    </w:p>
    <w:p>
      <w:pPr>
        <w:spacing w:after="0" w:line="4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 xml:space="preserve">Western District of Michigan (Rop et al. v. FHFA et al.). </w:t>
      </w:r>
      <w:r>
        <w:rPr>
          <w:rFonts w:ascii="Arial" w:cs="Arial" w:eastAsia="Arial" w:hAnsi="Arial"/>
          <w:sz w:val="16"/>
          <w:szCs w:val="16"/>
          <w:color w:val="auto"/>
        </w:rPr>
        <w:t>On June 1, 2017, preferred and common stockholders of Fannie Mae and Freddie Mac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for declaratory and injunctive relief against FHFA and Treasury in the U.S. District Court for the Western District of Michigan. FHFA and Treasury moved to dismiss the case on September 8, 2017, and plaintiffs filed a motion for summary judgment on October 6, 2017. On September 8, 2020, the court denied plaintiffs’ motion for summary judgment and granted defendants’ motion to dismiss. On October 4, 2022, the U.S. Court of Appeals for the Sixth Circuit reversed the dismissal and remanded the case to the district court to determine whether the stockholders suffered compensable harm. On February 2, 2023, plaintiffs filed a petition with the Supreme Court seeking review of the Sixth Circuit’s decision, which the Supreme Court denied on June 12, 2023. On August 11, 2023, plaintiffs submitted a motion for leave to file an amended complaint in the district court, which the court denied on December 11, 2024. On March 27, 2025, FHFA filed a motion for judgment on the pleadings. Treasury likewise filed a motion for judgment on the pleadings on March 28, 2025. On April 1, 2025, plaintiffs filed a motion for leave to amend their complaint.</w:t>
      </w:r>
    </w:p>
    <w:p>
      <w:pPr>
        <w:spacing w:after="0" w:line="5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i w:val="1"/>
          <w:iCs w:val="1"/>
          <w:color w:val="auto"/>
        </w:rPr>
        <w:t>Eastern District of Pennsylvania (Wazee Street Opportunities Fund IV L.P. et al. v. FHFA et al.)</w:t>
      </w:r>
      <w:r>
        <w:rPr>
          <w:rFonts w:ascii="Arial" w:cs="Arial" w:eastAsia="Arial" w:hAnsi="Arial"/>
          <w:sz w:val="16"/>
          <w:szCs w:val="16"/>
          <w:color w:val="auto"/>
        </w:rPr>
        <w:t>. On August 16, 2018, common stockholders of Fannie Mae</w:t>
      </w:r>
      <w:r>
        <w:rPr>
          <w:rFonts w:ascii="Arial" w:cs="Arial" w:eastAsia="Arial" w:hAnsi="Arial"/>
          <w:sz w:val="16"/>
          <w:szCs w:val="16"/>
          <w:i w:val="1"/>
          <w:iCs w:val="1"/>
          <w:color w:val="auto"/>
        </w:rPr>
        <w:t xml:space="preserve"> </w:t>
      </w:r>
      <w:r>
        <w:rPr>
          <w:rFonts w:ascii="Arial" w:cs="Arial" w:eastAsia="Arial" w:hAnsi="Arial"/>
          <w:sz w:val="16"/>
          <w:szCs w:val="16"/>
          <w:color w:val="auto"/>
        </w:rPr>
        <w:t>and Freddie Mac filed a complaint for declaratory and injunctive relief against FHFA and Treasury in the U.S. District Court for the Eastern District of Pennsylvania. FHFA and Treasury moved to dismiss the case on November 16, 2018, and plaintiffs filed a motion for summary judgment on December 21, 2018. On July 1, 2024, plaintiffs filed a motion for leave to amend their complaint. On April 14, 2025, the court denied plaintiffs’ motion and issued an order for plaintiffs to show cause for why the matter should not be dismissed.</w:t>
      </w:r>
    </w:p>
    <w:p>
      <w:pPr>
        <w:spacing w:after="0" w:line="53"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i w:val="1"/>
          <w:iCs w:val="1"/>
          <w:color w:val="auto"/>
        </w:rPr>
        <w:t xml:space="preserve">U.S. Court of Federal Claims (Fisher et al. v. United States of America). </w:t>
      </w:r>
      <w:r>
        <w:rPr>
          <w:rFonts w:ascii="Arial" w:cs="Arial" w:eastAsia="Arial" w:hAnsi="Arial"/>
          <w:sz w:val="16"/>
          <w:szCs w:val="16"/>
          <w:color w:val="auto"/>
        </w:rPr>
        <w:t>On December 2, 2013, common stockholders of Fannie Mae filed a lawsuit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that listed Fannie Mae as a nominal defendant. The plaintiffs alleged that the net worth sweep dividend provisions of the senior preferred stock that were implemented pursuant to the August 2012 amendment constituted a taking of Fannie Mae’s property without just compensation in violation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wp:posOffset>
            </wp:positionV>
            <wp:extent cx="71386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105</w:t>
            </w:r>
          </w:p>
        </w:tc>
      </w:tr>
      <w:tr>
        <w:trPr>
          <w:trHeight w:val="207"/>
        </w:trPr>
        <w:tc>
          <w:tcPr>
            <w:tcW w:w="6800" w:type="dxa"/>
            <w:vAlign w:val="bottom"/>
            <w:tcBorders>
              <w:bottom w:val="single" w:sz="8" w:color="9A9A9A"/>
            </w:tcBorders>
          </w:tcPr>
          <w:p>
            <w:pPr>
              <w:spacing w:after="0"/>
              <w:rPr>
                <w:sz w:val="17"/>
                <w:szCs w:val="17"/>
                <w:color w:val="auto"/>
              </w:rPr>
            </w:pPr>
          </w:p>
        </w:tc>
        <w:tc>
          <w:tcPr>
            <w:tcW w:w="44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8" w:name="page109"/>
    <w:bookmarkEnd w:id="108"/>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180"/>
        <w:spacing w:after="0" w:line="272" w:lineRule="auto"/>
        <w:rPr>
          <w:sz w:val="20"/>
          <w:szCs w:val="20"/>
          <w:color w:val="auto"/>
        </w:rPr>
      </w:pPr>
      <w:r>
        <w:rPr>
          <w:rFonts w:ascii="Arial" w:cs="Arial" w:eastAsia="Arial" w:hAnsi="Arial"/>
          <w:sz w:val="16"/>
          <w:szCs w:val="16"/>
          <w:color w:val="auto"/>
        </w:rPr>
        <w:t>U.S. Constitution. On February 15, 2023, the court issued an order for plaintiffs to show cause why their claims should not be dismissed, as claims similar to theirs brought by other Fannie Mae stockholders in other cases against the United States had been dismissed by the court. On September 1, 2023, the court dismissed the case with prejudice. On October 30, 2023, plaintiffs filed a notice of appeal.</w:t>
      </w:r>
    </w:p>
    <w:p>
      <w:pPr>
        <w:spacing w:after="0" w:line="98"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1A. Risk Factors</w:t>
      </w:r>
    </w:p>
    <w:p>
      <w:pPr>
        <w:spacing w:after="0" w:line="9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In addition to the information in this report, you should carefully consider the risks relating to our business that we identify in “Risk Factors” in our 2024 Form 10-K. Also refer to “MD&amp;A—Risk Management,” “MD&amp;A—Single-Family Business” and “MD&amp;A—Multifamily Business” in our 2024 Form 10-K and in this report for more detailed descriptions of the primary risks to our business and how we seek to manage those risks.</w:t>
      </w:r>
    </w:p>
    <w:p>
      <w:pPr>
        <w:spacing w:after="0" w:line="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risks we face could materially adversely affect our business, results of operations, financial condition, liquidity and net worth, and could cause our actual results to differ materially from our past results or the results contemplated by any forward-looking statements we make. We believe the risks described in the sections of this report and our 2024 Form 10-K referenced above are the most significant we face; however, these are not the only risks we face. We face additional risks and uncertainties not currently known to us or that we currently believe are immaterial.</w:t>
      </w:r>
    </w:p>
    <w:p>
      <w:pPr>
        <w:spacing w:after="0" w:line="89"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2. Unregistered Sales of Equity Securities and Use of Proceeds</w:t>
      </w:r>
    </w:p>
    <w:p>
      <w:pPr>
        <w:spacing w:after="0" w:line="12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Common Stock</w:t>
      </w:r>
    </w:p>
    <w:p>
      <w:pPr>
        <w:spacing w:after="0" w:line="63"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Our common stock is traded in the over-the-counter market and quoted on the OTCQB, operated by OTC Markets Group Inc., under the ticker symbol “FNMA.”</w:t>
      </w:r>
    </w:p>
    <w:p>
      <w:pPr>
        <w:spacing w:after="0" w:line="4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Recent Sales of Unregistered Equity Securities</w:t>
      </w:r>
    </w:p>
    <w:p>
      <w:pPr>
        <w:spacing w:after="0" w:line="63"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Under the terms of our senior preferred stock purchase agreement with Treasury, we are prohibited from selling or issuing our equity interests without the prior written consent of Treasury except under limited circumstances, which are described in “Business—Conservatorship and Treasury Agreements— Treasury Agreements—Covenants” in our 2024 Form 10-K. During the quarter ended March 31, 2025, we did not sell any equity securities.</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Information about Certain Securities Issuances by Fannie Mae</w:t>
      </w:r>
    </w:p>
    <w:p>
      <w:pPr>
        <w:spacing w:after="0" w:line="7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Pursuant to SEC regulations, public companies are required to disclose certain information when they incur a material direct financial obligation or become directly or contingently liable for a material obligation under an off-balance sheet arrangement. The disclosure must be made in a current report on Form 8-K under Item 2.03 or, if the obligation is incurred in connection with certain types of securities offerings, in prospectuses for that offering that are filed with the SEC.</w:t>
      </w:r>
    </w:p>
    <w:p>
      <w:pPr>
        <w:spacing w:after="0" w:line="35"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Because the securities we issue are exempted securities under the Securities Act of 1933, we do not file registration statements or prospectuses with the SEC with respect to our securities offerings. To comply with the disclosure requirements of Form 8-K relating to the incurrence of material financial obligations, in accordance with a “no-action” letter we received from the SEC staff in 2004, we report our incurrence of these types of obligations in offering circulars or prospectuses (or supplements thereto) that we post on our website within the same time period that a prospectus for a non-exempt securities offering would be required to be filed with the SEC. To the extent we incur a material financial obligation that is not disclosed in this manner, we would file a Form 8-K if required to do so under applicable Form 8-K requirements.</w:t>
      </w:r>
    </w:p>
    <w:p>
      <w:pPr>
        <w:spacing w:after="0" w:line="41"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The website address for disclosure about our debt securities is www.fanniemae.com/debtsearch. From this address, investors can access the offering circular and related supplements for debt securities offerings under Fannie Mae’s universal debt facility, including pricing supplements for individual issuances of debt securities.</w:t>
      </w:r>
    </w:p>
    <w:p>
      <w:pPr>
        <w:spacing w:after="0" w:line="24" w:lineRule="exact"/>
        <w:rPr>
          <w:sz w:val="20"/>
          <w:szCs w:val="20"/>
          <w:color w:val="auto"/>
        </w:rPr>
      </w:pPr>
    </w:p>
    <w:p>
      <w:pPr>
        <w:ind w:right="420"/>
        <w:spacing w:after="0" w:line="272" w:lineRule="auto"/>
        <w:rPr>
          <w:sz w:val="20"/>
          <w:szCs w:val="20"/>
          <w:color w:val="auto"/>
        </w:rPr>
      </w:pPr>
      <w:r>
        <w:rPr>
          <w:rFonts w:ascii="Arial" w:cs="Arial" w:eastAsia="Arial" w:hAnsi="Arial"/>
          <w:sz w:val="16"/>
          <w:szCs w:val="16"/>
          <w:color w:val="auto"/>
        </w:rPr>
        <w:t>Disclosure about our obligations pursuant to the MBS we issue, some of which may be off-balance sheet obligations, can be found at www.fanniemae.com/mbsdisclosure. From this address, investors can access information and documents about our MBS, including prospectuses and related prospectus supplements.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We are providing our website address solely for your information. Information appearing on our website is not incorporated into this report.</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Our Purchases of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404495</wp:posOffset>
            </wp:positionV>
            <wp:extent cx="71386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106</w:t>
            </w:r>
          </w:p>
        </w:tc>
      </w:tr>
      <w:tr>
        <w:trPr>
          <w:trHeight w:val="220"/>
        </w:trPr>
        <w:tc>
          <w:tcPr>
            <w:tcW w:w="68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9" w:name="page110"/>
    <w:bookmarkEnd w:id="109"/>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Dividend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payment of dividends is subject to the following restrictions:</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 xml:space="preserve">Restrictions Relating to Conservatorship. </w:t>
      </w:r>
      <w:r>
        <w:rPr>
          <w:rFonts w:ascii="Arial" w:cs="Arial" w:eastAsia="Arial" w:hAnsi="Arial"/>
          <w:sz w:val="16"/>
          <w:szCs w:val="16"/>
          <w:color w:val="auto"/>
        </w:rPr>
        <w:t>Our conservator announced on September 7, 2008 that we would not pay any dividends on the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on any series of preferred stock, other than the senior preferred stock. In addition, FHFA’s regulations relating to conservatorship and receivership operations prohibit us from paying any dividends while in conservatorship unless authorized by the Director of FHFA. The Director of FHFA has directed us to make dividend payments on the senior preferred stock on a quarterly basis for every dividend period for which dividends were payable.</w:t>
      </w:r>
    </w:p>
    <w:p>
      <w:pPr>
        <w:spacing w:after="0" w:line="3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Restrictions Under Senior Preferred Stock Purchase Agreement and Senior Preferred Stock. </w:t>
      </w:r>
      <w:r>
        <w:rPr>
          <w:rFonts w:ascii="Arial" w:cs="Arial" w:eastAsia="Arial" w:hAnsi="Arial"/>
          <w:sz w:val="16"/>
          <w:szCs w:val="16"/>
          <w:color w:val="auto"/>
        </w:rPr>
        <w:t>The senior preferred stock purchase agreement prohibits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declaring or paying any dividends on Fannie Mae equity securities (other than the senior preferred stock) without the prior written consent of Treasury. In addition, the provisions of the senior preferred stock provide for dividends each quarter through and including the capital reserve end date in the amount, if any, by which our net worth as of the end of the immediately preceding fiscal quarter exceeds an applicable capital reserve amount. The applicable capital reserve amount is the amount of adjusted total capital necessary for us to meet the capital requirements and buffers set forth in the enterprise regulatory capital framework. The capital reserve end date is defined as the last day of the second consecutive fiscal quarter during which we have had and maintained capital equal to, or in excess of, all of the capital requirements and buffers under the enterprise regulatory capital framework. After the capital reserve end date, the amount of quarterly dividends to Treasury will be equal to the lesser of any quarterly increase in our net worth and a 10% annual rate on the then-current liquidation preference of the senior preferred stock. As a result, our ability to retain earnings in excess of the capital requirements and buffers set forth in the enterprise regulatory capital framework will be limited. For more information on the terms of the senior preferred stock purchase agreement and senior preferred stock, see “Business—Conservatorship and Treasury Agreements” in our 2024 Form 10-K.</w:t>
      </w:r>
    </w:p>
    <w:p>
      <w:pPr>
        <w:spacing w:after="0" w:line="46"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i w:val="1"/>
          <w:iCs w:val="1"/>
          <w:color w:val="auto"/>
        </w:rPr>
        <w:t xml:space="preserve">Additional Restrictions Relating to Preferred Stock. </w:t>
      </w:r>
      <w:r>
        <w:rPr>
          <w:rFonts w:ascii="Arial" w:cs="Arial" w:eastAsia="Arial" w:hAnsi="Arial"/>
          <w:sz w:val="16"/>
          <w:szCs w:val="16"/>
          <w:color w:val="auto"/>
        </w:rPr>
        <w:t>Payment of dividends on our common stock is also subject to the prior payment of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senior preferred stock. Payment of dividends on all outstanding preferred stock, other than the senior preferred stock, is also subject to the prior payment of dividends on the senior preferred stock.</w:t>
      </w:r>
    </w:p>
    <w:p>
      <w:pPr>
        <w:spacing w:after="0" w:line="2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Statutory Restrictions. </w:t>
      </w:r>
      <w:r>
        <w:rPr>
          <w:rFonts w:ascii="Arial" w:cs="Arial" w:eastAsia="Arial" w:hAnsi="Arial"/>
          <w:sz w:val="16"/>
          <w:szCs w:val="16"/>
          <w:color w:val="auto"/>
        </w:rPr>
        <w:t>Under the GSE Act, we are not permitted to make a capital distribution (including the payment of dividends) if, after making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we would be undercapitalized. The Director of FHFA, however, may permit us to repurchase shares if the repurchase is made in connection with the issuance of additional shares or obligations in at least an equivalent amount and will reduce our financial obligations or otherwise improve our financial condition. The GSE Act also provides that: (1) if we are classified as undercapitalized, we may not make a capital distribution that would result in our reclassification as significantly or critically undercapitalized; and (2) if we are classified as significantly undercapitalized, we may not make a capital distribution that would result in our reclassification as critically undercapitalized and we may not make any other capital distribution without the approval of the Director of FHFA. Our capital classifications have been suspended during conservatorship. In addition, under the Charter Act, we must obtain the prior written approval of FHFA to make a capital distribution that would decrease our total capital to an amount less than the risk-based capital level or that would decrease our core capital to an amount less than the minimum capital level.</w:t>
      </w:r>
    </w:p>
    <w:p>
      <w:pPr>
        <w:spacing w:after="0" w:line="4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i w:val="1"/>
          <w:iCs w:val="1"/>
          <w:color w:val="auto"/>
        </w:rPr>
        <w:t xml:space="preserve">Restrictions Under Enterprise Regulatory Capital Framework. </w:t>
      </w:r>
      <w:r>
        <w:rPr>
          <w:rFonts w:ascii="Arial" w:cs="Arial" w:eastAsia="Arial" w:hAnsi="Arial"/>
          <w:sz w:val="16"/>
          <w:szCs w:val="16"/>
          <w:color w:val="auto"/>
        </w:rPr>
        <w:t>The enterprise regulatory capital framework rule establishes capital planning and prior notice</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approval requirements for capital distributions. In addition, while not currently applicable, our payment of dividends and capital distributions will be subject to the following restrictions under the enterprise regulatory capital framework effective on the date of termination of our conservatorship:</w:t>
      </w:r>
    </w:p>
    <w:p>
      <w:pPr>
        <w:spacing w:after="0" w:line="2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During a calendar quarter, we will not be permitted to pay dividends or make any other capital distributions (or create an obligation to make such distributions) that, in the aggregate, exceed the amount equal to our eligible retained income for the quarter multiplied by our maximum payout ratio. The maximum payout ratio for a given quarter is the lowest of the payout ratios determined by our capital conservation buffer and our leverage buffer. We will not be subject to this limitation on distributions if we have a capital conservation buffer that is greater than our prescribed capital conservation buffer amount and a leverage buffer that is greater than our prescribed leverage buffer amount. Notwithstanding the above-described limitations, FHFA may permit us to make a distribution upon our request, if FHFA determines that the distribution would not be contrary to the purposes of this section of the enterprise regulatory capital framework or to our safety and soundness. We will not be permitted to make any distributions during a quarter if our eligible retained income is negative and either (a) our capital conservation buffer is less than our stress capital buffer or (b) our leverage buffer is less than our prescribed leverage buffer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503555</wp:posOffset>
            </wp:positionV>
            <wp:extent cx="71386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107</w:t>
            </w:r>
          </w:p>
        </w:tc>
      </w:tr>
      <w:tr>
        <w:trPr>
          <w:trHeight w:val="220"/>
        </w:trPr>
        <w:tc>
          <w:tcPr>
            <w:tcW w:w="68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0" w:name="page111"/>
    <w:bookmarkEnd w:id="110"/>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Defaults Upon Senior Securities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Mine Safety Disclosures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53"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5. Other Information</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Trading Arrangements</w:t>
      </w:r>
    </w:p>
    <w:p>
      <w:pPr>
        <w:spacing w:after="0" w:line="63"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During the quarter ended March 31, 2025, no Fannie Mae director or officer (as that term is defined by the SEC in Rule 16a-1(f) under the Exchange Act) adopted or terminated a Rule 10b5-1 trading arrangement or a non-Rule 10b5-1 trading arrangement for transactions in Fannie Mae securities.</w:t>
      </w:r>
    </w:p>
    <w:p>
      <w:pPr>
        <w:spacing w:after="0" w:line="55"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6. Exhibits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being filed or furnished with or incorporated by reference into this report.</w:t>
      </w:r>
    </w:p>
    <w:p>
      <w:pPr>
        <w:spacing w:after="0" w:line="1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Arial" w:cs="Arial" w:eastAsia="Arial" w:hAnsi="Arial"/>
                <w:sz w:val="15"/>
                <w:szCs w:val="15"/>
                <w:b w:val="1"/>
                <w:bCs w:val="1"/>
                <w:color w:val="auto"/>
                <w:w w:val="97"/>
              </w:rPr>
              <w:t>Item</w:t>
            </w:r>
          </w:p>
        </w:tc>
        <w:tc>
          <w:tcPr>
            <w:tcW w:w="1060" w:type="dxa"/>
            <w:vAlign w:val="bottom"/>
          </w:tcPr>
          <w:p>
            <w:pPr>
              <w:spacing w:after="0"/>
              <w:rPr>
                <w:sz w:val="14"/>
                <w:szCs w:val="14"/>
                <w:color w:val="auto"/>
              </w:rPr>
            </w:pPr>
          </w:p>
        </w:tc>
        <w:tc>
          <w:tcPr>
            <w:tcW w:w="9600" w:type="dxa"/>
            <w:vAlign w:val="bottom"/>
            <w:gridSpan w:val="10"/>
          </w:tcPr>
          <w:p>
            <w:pPr>
              <w:ind w:left="442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w:t>
            </w:r>
          </w:p>
        </w:tc>
        <w:tc>
          <w:tcPr>
            <w:tcW w:w="1060" w:type="dxa"/>
            <w:vAlign w:val="bottom"/>
          </w:tcPr>
          <w:p>
            <w:pPr>
              <w:spacing w:after="0"/>
              <w:rPr>
                <w:sz w:val="16"/>
                <w:szCs w:val="16"/>
                <w:color w:val="auto"/>
              </w:rPr>
            </w:pPr>
          </w:p>
        </w:tc>
        <w:tc>
          <w:tcPr>
            <w:tcW w:w="9600" w:type="dxa"/>
            <w:vAlign w:val="bottom"/>
            <w:gridSpan w:val="10"/>
          </w:tcPr>
          <w:p>
            <w:pPr>
              <w:spacing w:after="0"/>
              <w:rPr>
                <w:rFonts w:ascii="Arial" w:cs="Arial" w:eastAsia="Arial" w:hAnsi="Arial"/>
                <w:sz w:val="15"/>
                <w:szCs w:val="15"/>
                <w:color w:val="0000FF"/>
              </w:rPr>
            </w:pPr>
            <w:hyperlink r:id="rId484">
              <w:r>
                <w:rPr>
                  <w:rFonts w:ascii="Arial" w:cs="Arial" w:eastAsia="Arial" w:hAnsi="Arial"/>
                  <w:sz w:val="15"/>
                  <w:szCs w:val="15"/>
                  <w:color w:val="0000FF"/>
                </w:rPr>
                <w:t>Fannie Mae Charter Act (12 U.S.C. § 1716 et seq.) as amended through July 25, 2019 (Incorporated by reference to Exhibit 3.1 to Fannie</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0" w:type="dxa"/>
            <w:vAlign w:val="bottom"/>
            <w:tcBorders>
              <w:top w:val="single" w:sz="8" w:color="0000FF"/>
            </w:tcBorders>
            <w:gridSpan w:val="9"/>
          </w:tcPr>
          <w:p>
            <w:pPr>
              <w:spacing w:after="0" w:line="135" w:lineRule="exact"/>
              <w:rPr>
                <w:rFonts w:ascii="Arial" w:cs="Arial" w:eastAsia="Arial" w:hAnsi="Arial"/>
                <w:sz w:val="15"/>
                <w:szCs w:val="15"/>
                <w:color w:val="0000FF"/>
              </w:rPr>
            </w:pPr>
            <w:hyperlink r:id="rId484">
              <w:r>
                <w:rPr>
                  <w:rFonts w:ascii="Arial" w:cs="Arial" w:eastAsia="Arial" w:hAnsi="Arial"/>
                  <w:sz w:val="15"/>
                  <w:szCs w:val="15"/>
                  <w:color w:val="0000FF"/>
                </w:rPr>
                <w:t>Mae’s Quarterly Report on Form 10-Q for the quarter ended September 30, 2019, filed October 31, 2019.)</w:t>
              </w:r>
            </w:hyperlink>
          </w:p>
        </w:tc>
        <w:tc>
          <w:tcPr>
            <w:tcW w:w="200" w:type="dxa"/>
            <w:vAlign w:val="bottom"/>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w:t>
            </w:r>
          </w:p>
        </w:tc>
        <w:tc>
          <w:tcPr>
            <w:tcW w:w="1060" w:type="dxa"/>
            <w:vAlign w:val="bottom"/>
          </w:tcPr>
          <w:p>
            <w:pPr>
              <w:spacing w:after="0"/>
              <w:rPr>
                <w:sz w:val="16"/>
                <w:szCs w:val="16"/>
                <w:color w:val="auto"/>
              </w:rPr>
            </w:pPr>
          </w:p>
        </w:tc>
        <w:tc>
          <w:tcPr>
            <w:tcW w:w="9600" w:type="dxa"/>
            <w:vAlign w:val="bottom"/>
            <w:gridSpan w:val="10"/>
          </w:tcPr>
          <w:p>
            <w:pPr>
              <w:spacing w:after="0"/>
              <w:rPr>
                <w:rFonts w:ascii="Arial" w:cs="Arial" w:eastAsia="Arial" w:hAnsi="Arial"/>
                <w:sz w:val="15"/>
                <w:szCs w:val="15"/>
                <w:color w:val="0000FF"/>
              </w:rPr>
            </w:pPr>
            <w:hyperlink r:id="rId485">
              <w:r>
                <w:rPr>
                  <w:rFonts w:ascii="Arial" w:cs="Arial" w:eastAsia="Arial" w:hAnsi="Arial"/>
                  <w:sz w:val="15"/>
                  <w:szCs w:val="15"/>
                  <w:color w:val="0000FF"/>
                </w:rPr>
                <w:t>Fannie Mae Bylaws, as amended through January 29, 2019 (Incorporated by reference to Exhibit 3.2 to Fannie Mae’s Annual Report on</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300" w:type="dxa"/>
            <w:vAlign w:val="bottom"/>
            <w:tcBorders>
              <w:top w:val="single" w:sz="8" w:color="0000FF"/>
            </w:tcBorders>
            <w:gridSpan w:val="8"/>
          </w:tcPr>
          <w:p>
            <w:pPr>
              <w:spacing w:after="0" w:line="135" w:lineRule="exact"/>
              <w:rPr>
                <w:rFonts w:ascii="Arial" w:cs="Arial" w:eastAsia="Arial" w:hAnsi="Arial"/>
                <w:sz w:val="15"/>
                <w:szCs w:val="15"/>
                <w:color w:val="0000FF"/>
              </w:rPr>
            </w:pPr>
            <w:hyperlink r:id="rId485">
              <w:r>
                <w:rPr>
                  <w:rFonts w:ascii="Arial" w:cs="Arial" w:eastAsia="Arial" w:hAnsi="Arial"/>
                  <w:sz w:val="15"/>
                  <w:szCs w:val="15"/>
                  <w:color w:val="0000FF"/>
                </w:rPr>
                <w:t>Form 10-K for the year ended December 31, 2018, filed February 14, 2019.)</w:t>
              </w:r>
            </w:hyperlink>
          </w:p>
        </w:tc>
        <w:tc>
          <w:tcPr>
            <w:tcW w:w="300" w:type="dxa"/>
            <w:vAlign w:val="bottom"/>
            <w:gridSpan w:val="2"/>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31.1</w:t>
            </w:r>
          </w:p>
        </w:tc>
        <w:tc>
          <w:tcPr>
            <w:tcW w:w="1060" w:type="dxa"/>
            <w:vAlign w:val="bottom"/>
          </w:tcPr>
          <w:p>
            <w:pPr>
              <w:spacing w:after="0"/>
              <w:rPr>
                <w:sz w:val="16"/>
                <w:szCs w:val="16"/>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0000FF"/>
              </w:rPr>
              <w:t>Certification of Chief Executive Officer pursuant to Securities Exchange Act Rule 13a-14(a)</w:t>
            </w: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31.2</w:t>
            </w:r>
          </w:p>
        </w:tc>
        <w:tc>
          <w:tcPr>
            <w:tcW w:w="1060" w:type="dxa"/>
            <w:vAlign w:val="bottom"/>
          </w:tcPr>
          <w:p>
            <w:pPr>
              <w:spacing w:after="0"/>
              <w:rPr>
                <w:sz w:val="16"/>
                <w:szCs w:val="16"/>
                <w:color w:val="auto"/>
              </w:rPr>
            </w:pPr>
          </w:p>
        </w:tc>
        <w:tc>
          <w:tcPr>
            <w:tcW w:w="6220" w:type="dxa"/>
            <w:vAlign w:val="bottom"/>
            <w:tcBorders>
              <w:top w:val="single" w:sz="8" w:color="0000FF"/>
            </w:tcBorders>
            <w:gridSpan w:val="6"/>
          </w:tcPr>
          <w:p>
            <w:pPr>
              <w:spacing w:after="0"/>
              <w:rPr>
                <w:sz w:val="20"/>
                <w:szCs w:val="20"/>
                <w:color w:val="auto"/>
              </w:rPr>
            </w:pPr>
            <w:r>
              <w:rPr>
                <w:rFonts w:ascii="Arial" w:cs="Arial" w:eastAsia="Arial" w:hAnsi="Arial"/>
                <w:sz w:val="15"/>
                <w:szCs w:val="15"/>
                <w:color w:val="0000FF"/>
              </w:rPr>
              <w:t>Certification of Chief Financial Officer pursuant to Securities Exchange Act Rule 13a-14(a)</w:t>
            </w:r>
          </w:p>
        </w:tc>
        <w:tc>
          <w:tcPr>
            <w:tcW w:w="3380" w:type="dxa"/>
            <w:vAlign w:val="bottom"/>
            <w:gridSpan w:val="4"/>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32.1</w:t>
            </w:r>
          </w:p>
        </w:tc>
        <w:tc>
          <w:tcPr>
            <w:tcW w:w="1060" w:type="dxa"/>
            <w:vAlign w:val="bottom"/>
          </w:tcPr>
          <w:p>
            <w:pPr>
              <w:spacing w:after="0"/>
              <w:rPr>
                <w:sz w:val="16"/>
                <w:szCs w:val="16"/>
                <w:color w:val="auto"/>
              </w:rPr>
            </w:pPr>
          </w:p>
        </w:tc>
        <w:tc>
          <w:tcPr>
            <w:tcW w:w="6160" w:type="dxa"/>
            <w:vAlign w:val="bottom"/>
            <w:tcBorders>
              <w:top w:val="single" w:sz="8" w:color="0000FF"/>
            </w:tcBorders>
            <w:gridSpan w:val="5"/>
          </w:tcPr>
          <w:p>
            <w:pPr>
              <w:spacing w:after="0"/>
              <w:rPr>
                <w:sz w:val="20"/>
                <w:szCs w:val="20"/>
                <w:color w:val="auto"/>
              </w:rPr>
            </w:pPr>
            <w:r>
              <w:rPr>
                <w:rFonts w:ascii="Arial" w:cs="Arial" w:eastAsia="Arial" w:hAnsi="Arial"/>
                <w:sz w:val="15"/>
                <w:szCs w:val="15"/>
                <w:color w:val="0000FF"/>
              </w:rPr>
              <w:t>Certification of Chief Executive Officer pursuant to 18 U.S.C. Section 1350</w:t>
            </w:r>
          </w:p>
        </w:tc>
        <w:tc>
          <w:tcPr>
            <w:tcW w:w="3440" w:type="dxa"/>
            <w:vAlign w:val="bottom"/>
            <w:gridSpan w:val="5"/>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32.2</w:t>
            </w:r>
          </w:p>
        </w:tc>
        <w:tc>
          <w:tcPr>
            <w:tcW w:w="1060" w:type="dxa"/>
            <w:vAlign w:val="bottom"/>
          </w:tcPr>
          <w:p>
            <w:pPr>
              <w:spacing w:after="0"/>
              <w:rPr>
                <w:sz w:val="16"/>
                <w:szCs w:val="16"/>
                <w:color w:val="auto"/>
              </w:rPr>
            </w:pPr>
          </w:p>
        </w:tc>
        <w:tc>
          <w:tcPr>
            <w:tcW w:w="50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5"/>
                <w:szCs w:val="15"/>
                <w:color w:val="0000FF"/>
              </w:rPr>
              <w:t>Certification of Chief Financial Officer pursuant to 18 U.S.C. Section 1350</w:t>
            </w:r>
          </w:p>
        </w:tc>
        <w:tc>
          <w:tcPr>
            <w:tcW w:w="40" w:type="dxa"/>
            <w:vAlign w:val="bottom"/>
            <w:tcBorders>
              <w:top w:val="single" w:sz="8" w:color="0000FF"/>
            </w:tcBorders>
          </w:tcPr>
          <w:p>
            <w:pPr>
              <w:spacing w:after="0"/>
              <w:rPr>
                <w:sz w:val="16"/>
                <w:szCs w:val="16"/>
                <w:color w:val="auto"/>
              </w:rPr>
            </w:pPr>
          </w:p>
        </w:tc>
        <w:tc>
          <w:tcPr>
            <w:tcW w:w="4520" w:type="dxa"/>
            <w:vAlign w:val="bottom"/>
            <w:gridSpan w:val="7"/>
          </w:tcPr>
          <w:p>
            <w:pPr>
              <w:spacing w:after="0"/>
              <w:rPr>
                <w:sz w:val="16"/>
                <w:szCs w:val="16"/>
                <w:color w:val="auto"/>
              </w:rPr>
            </w:pPr>
          </w:p>
        </w:tc>
      </w:tr>
      <w:tr>
        <w:trPr>
          <w:trHeight w:val="174"/>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INS</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w:t>
            </w:r>
          </w:p>
        </w:tc>
      </w:tr>
      <w:tr>
        <w:trPr>
          <w:trHeight w:val="204"/>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auto"/>
              </w:rPr>
              <w:t>within the Inline XBRL document</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SCH</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Schema*</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CAL</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Calculation*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DEF</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Definition*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LAB</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Label*</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PRE</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Presentation*</w:t>
            </w:r>
          </w:p>
        </w:tc>
      </w:tr>
    </w:tbl>
    <w:p>
      <w:pPr>
        <w:spacing w:after="0" w:line="2" w:lineRule="exact"/>
        <w:rPr>
          <w:sz w:val="20"/>
          <w:szCs w:val="20"/>
          <w:color w:val="auto"/>
        </w:rPr>
      </w:pPr>
    </w:p>
    <w:p>
      <w:pPr>
        <w:ind w:left="160" w:right="4220" w:firstLine="15"/>
        <w:spacing w:after="0" w:line="516" w:lineRule="auto"/>
        <w:tabs>
          <w:tab w:leader="none" w:pos="1569" w:val="left"/>
        </w:tabs>
        <w:numPr>
          <w:ilvl w:val="1"/>
          <w:numId w:val="105"/>
        </w:numPr>
        <w:rPr>
          <w:rFonts w:ascii="Arial" w:cs="Arial" w:eastAsia="Arial" w:hAnsi="Arial"/>
          <w:sz w:val="15"/>
          <w:szCs w:val="15"/>
          <w:color w:val="auto"/>
        </w:rPr>
      </w:pPr>
      <w:r>
        <w:rPr>
          <w:rFonts w:ascii="Arial" w:cs="Arial" w:eastAsia="Arial" w:hAnsi="Arial"/>
          <w:sz w:val="15"/>
          <w:szCs w:val="15"/>
          <w:color w:val="auto"/>
        </w:rPr>
        <w:t xml:space="preserve">Cover Page Interactive Data File* (embedded within the Inline XBRL document) </w:t>
      </w:r>
      <w:r>
        <w:rPr>
          <w:rFonts w:ascii="Arial" w:cs="Arial" w:eastAsia="Arial" w:hAnsi="Arial"/>
          <w:sz w:val="16"/>
          <w:szCs w:val="16"/>
          <w:color w:val="auto"/>
        </w:rPr>
        <w:t>* The financial information contained in these Inline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258445</wp:posOffset>
            </wp:positionV>
            <wp:extent cx="71386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108</w:t>
            </w:r>
          </w:p>
        </w:tc>
      </w:tr>
      <w:tr>
        <w:trPr>
          <w:trHeight w:val="207"/>
        </w:trPr>
        <w:tc>
          <w:tcPr>
            <w:tcW w:w="6800" w:type="dxa"/>
            <w:vAlign w:val="bottom"/>
            <w:tcBorders>
              <w:bottom w:val="single" w:sz="8" w:color="9A9A9A"/>
            </w:tcBorders>
          </w:tcPr>
          <w:p>
            <w:pPr>
              <w:spacing w:after="0"/>
              <w:rPr>
                <w:sz w:val="17"/>
                <w:szCs w:val="17"/>
                <w:color w:val="auto"/>
              </w:rPr>
            </w:pPr>
          </w:p>
        </w:tc>
        <w:tc>
          <w:tcPr>
            <w:tcW w:w="44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1" w:name="page112"/>
    <w:bookmarkEnd w:id="111"/>
    <w:p>
      <w:pPr>
        <w:jc w:val="right"/>
        <w:ind w:right="120"/>
        <w:spacing w:after="0"/>
        <w:rPr>
          <w:sz w:val="20"/>
          <w:szCs w:val="20"/>
          <w:color w:val="auto"/>
        </w:rPr>
      </w:pPr>
      <w:r>
        <w:rPr>
          <w:rFonts w:ascii="Arial" w:cs="Arial" w:eastAsia="Arial" w:hAnsi="Arial"/>
          <w:sz w:val="14"/>
          <w:szCs w:val="14"/>
          <w:color w:val="05314D"/>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21"/>
          <w:szCs w:val="21"/>
          <w:b w:val="1"/>
          <w:bCs w:val="1"/>
          <w:color w:val="auto"/>
        </w:rPr>
        <w:t>SIGNATURES</w:t>
      </w:r>
    </w:p>
    <w:p>
      <w:pPr>
        <w:spacing w:after="0" w:line="140"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Federal National Mortgage Association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40"/>
        <w:spacing w:after="0"/>
        <w:tabs>
          <w:tab w:leader="none" w:pos="68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Priscilla Almodovar</w:t>
      </w:r>
    </w:p>
    <w:p>
      <w:pPr>
        <w:ind w:left="6820"/>
        <w:spacing w:after="0"/>
        <w:rPr>
          <w:sz w:val="20"/>
          <w:szCs w:val="20"/>
          <w:color w:val="auto"/>
        </w:rPr>
      </w:pPr>
      <w:r>
        <w:rPr>
          <w:rFonts w:ascii="Arial" w:cs="Arial" w:eastAsia="Arial" w:hAnsi="Arial"/>
          <w:sz w:val="15"/>
          <w:szCs w:val="15"/>
          <w:color w:val="auto"/>
        </w:rPr>
        <w:t>President and Chief Executive Officer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 April 30, 2025</w:t>
      </w:r>
    </w:p>
    <w:p>
      <w:pPr>
        <w:spacing w:after="0" w:line="135" w:lineRule="exact"/>
        <w:rPr>
          <w:sz w:val="20"/>
          <w:szCs w:val="20"/>
          <w:color w:val="auto"/>
        </w:rPr>
      </w:pPr>
    </w:p>
    <w:p>
      <w:pPr>
        <w:ind w:left="6240"/>
        <w:spacing w:after="0"/>
        <w:tabs>
          <w:tab w:leader="none" w:pos="68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Chryssa C. Halley</w:t>
      </w:r>
    </w:p>
    <w:p>
      <w:pPr>
        <w:ind w:left="6820"/>
        <w:spacing w:after="0" w:line="215" w:lineRule="auto"/>
        <w:rPr>
          <w:sz w:val="20"/>
          <w:szCs w:val="20"/>
          <w:color w:val="auto"/>
        </w:rPr>
      </w:pPr>
      <w:r>
        <w:rPr>
          <w:rFonts w:ascii="Arial" w:cs="Arial" w:eastAsia="Arial" w:hAnsi="Arial"/>
          <w:sz w:val="15"/>
          <w:szCs w:val="15"/>
          <w:color w:val="auto"/>
        </w:rPr>
        <w:t>Executive Vice President and</w:t>
      </w:r>
    </w:p>
    <w:p>
      <w:pPr>
        <w:ind w:left="6820"/>
        <w:spacing w:after="0"/>
        <w:rPr>
          <w:sz w:val="20"/>
          <w:szCs w:val="20"/>
          <w:color w:val="auto"/>
        </w:rPr>
      </w:pPr>
      <w:r>
        <w:rPr>
          <w:rFonts w:ascii="Arial" w:cs="Arial" w:eastAsia="Arial" w:hAnsi="Arial"/>
          <w:sz w:val="15"/>
          <w:szCs w:val="15"/>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Date: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412750</wp:posOffset>
            </wp:positionV>
            <wp:extent cx="71386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2025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109</w:t>
            </w:r>
          </w:p>
        </w:tc>
      </w:tr>
      <w:tr>
        <w:trPr>
          <w:trHeight w:val="207"/>
        </w:trPr>
        <w:tc>
          <w:tcPr>
            <w:tcW w:w="6800" w:type="dxa"/>
            <w:vAlign w:val="bottom"/>
            <w:tcBorders>
              <w:bottom w:val="single" w:sz="8" w:color="9A9A9A"/>
            </w:tcBorders>
          </w:tcPr>
          <w:p>
            <w:pPr>
              <w:spacing w:after="0"/>
              <w:rPr>
                <w:sz w:val="17"/>
                <w:szCs w:val="17"/>
                <w:color w:val="auto"/>
              </w:rPr>
            </w:pPr>
          </w:p>
        </w:tc>
        <w:tc>
          <w:tcPr>
            <w:tcW w:w="44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2219325</wp:posOffset>
            </wp:positionH>
            <wp:positionV relativeFrom="page">
              <wp:posOffset>5000625</wp:posOffset>
            </wp:positionV>
            <wp:extent cx="3110865" cy="916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clrChange>
                        <a:clrFrom>
                          <a:srgbClr val="FFFFFF"/>
                        </a:clrFrom>
                        <a:clrTo>
                          <a:srgbClr val="FFFFFF">
                            <a:alpha val="0"/>
                          </a:srgbClr>
                        </a:clrTo>
                      </a:clrChange>
                      <a:extLst>
                        <a:ext uri="{28A0092B-C50C-407E-A947-70E740481C1C}"/>
                      </a:extLst>
                    </a:blip>
                    <a:srcRect/>
                    <a:stretch>
                      <a:fillRect/>
                    </a:stretch>
                  </pic:blipFill>
                  <pic:spPr bwMode="auto">
                    <a:xfrm>
                      <a:off x="0" y="0"/>
                      <a:ext cx="3110865" cy="916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Priscilla Almodovar, certify that:</w:t>
      </w:r>
    </w:p>
    <w:p>
      <w:pPr>
        <w:spacing w:after="0" w:line="55" w:lineRule="exact"/>
        <w:rPr>
          <w:sz w:val="20"/>
          <w:szCs w:val="20"/>
          <w:color w:val="auto"/>
        </w:rPr>
      </w:pPr>
    </w:p>
    <w:p>
      <w:pPr>
        <w:ind w:left="240" w:right="240" w:hanging="198"/>
        <w:spacing w:after="0" w:line="269" w:lineRule="auto"/>
        <w:tabs>
          <w:tab w:leader="none" w:pos="40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March 31, 2025 of Fannie Mae (formally, the Federal National Mortgage Association);</w:t>
      </w:r>
    </w:p>
    <w:p>
      <w:pPr>
        <w:ind w:left="240" w:right="200" w:hanging="198"/>
        <w:spacing w:after="0" w:line="262" w:lineRule="auto"/>
        <w:tabs>
          <w:tab w:leader="none" w:pos="40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18415</wp:posOffset>
            </wp:positionV>
            <wp:extent cx="338074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ind w:left="5840"/>
        <w:spacing w:after="0"/>
        <w:rPr>
          <w:sz w:val="20"/>
          <w:szCs w:val="20"/>
          <w:color w:val="auto"/>
        </w:rPr>
      </w:pPr>
      <w:r>
        <w:rPr>
          <w:rFonts w:ascii="Times New Roman" w:cs="Times New Roman" w:eastAsia="Times New Roman" w:hAnsi="Times New Roman"/>
          <w:sz w:val="21"/>
          <w:szCs w:val="21"/>
          <w:color w:val="auto"/>
        </w:rPr>
        <w:t>Priscilla Almodovar</w:t>
      </w:r>
    </w:p>
    <w:p>
      <w:pPr>
        <w:ind w:left="584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30, 2025</w:t>
      </w:r>
    </w:p>
    <w:p>
      <w:pPr>
        <w:sectPr>
          <w:pgSz w:w="11900" w:h="16838" w:orient="portrait"/>
          <w:cols w:equalWidth="0" w:num="1">
            <w:col w:w="11240"/>
          </w:cols>
          <w:pgMar w:left="320" w:top="85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Chryssa C. Halley, certify that:</w:t>
      </w:r>
    </w:p>
    <w:p>
      <w:pPr>
        <w:spacing w:after="0" w:line="55" w:lineRule="exact"/>
        <w:rPr>
          <w:sz w:val="20"/>
          <w:szCs w:val="20"/>
          <w:color w:val="auto"/>
        </w:rPr>
      </w:pPr>
    </w:p>
    <w:p>
      <w:pPr>
        <w:ind w:left="240" w:right="240" w:hanging="198"/>
        <w:spacing w:after="0" w:line="269" w:lineRule="auto"/>
        <w:tabs>
          <w:tab w:leader="none" w:pos="408"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March 31, 2025 of Fannie Mae (formally, the Federal National Mortgage Association);</w:t>
      </w:r>
    </w:p>
    <w:p>
      <w:pPr>
        <w:ind w:left="240" w:right="200" w:hanging="198"/>
        <w:spacing w:after="0" w:line="262" w:lineRule="auto"/>
        <w:tabs>
          <w:tab w:leader="none" w:pos="408"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18415</wp:posOffset>
            </wp:positionV>
            <wp:extent cx="266065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21"/>
          <w:szCs w:val="21"/>
          <w:color w:val="auto"/>
        </w:rPr>
        <w:t>Chryssa C. Halley</w:t>
      </w:r>
    </w:p>
    <w:p>
      <w:pPr>
        <w:ind w:left="61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100"/>
        <w:spacing w:after="0"/>
        <w:rPr>
          <w:sz w:val="20"/>
          <w:szCs w:val="20"/>
          <w:color w:val="auto"/>
        </w:rPr>
      </w:pPr>
      <w:r>
        <w:rPr>
          <w:rFonts w:ascii="Times New Roman" w:cs="Times New Roman" w:eastAsia="Times New Roman" w:hAnsi="Times New Roman"/>
          <w:sz w:val="21"/>
          <w:szCs w:val="21"/>
          <w:color w:val="auto"/>
        </w:rPr>
        <w:t>Officer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30, 2025</w:t>
      </w:r>
    </w:p>
    <w:p>
      <w:pPr>
        <w:sectPr>
          <w:pgSz w:w="11900" w:h="16838" w:orient="portrait"/>
          <w:cols w:equalWidth="0" w:num="1">
            <w:col w:w="11240"/>
          </w:cols>
          <w:pgMar w:left="320" w:top="858"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0"/>
          <w:szCs w:val="20"/>
          <w:color w:val="auto"/>
        </w:rPr>
        <w:t>In connection with the Quarterly Report on Form 10-Q of Fannie Mae (formally, the Federal National Mortgage Association) for the quarter ended March 31, 2025, as filed with the Securities and Exchange Commission on the date hereof (the "Report"), I, Priscilla Almodovar, President and Chief Executive Officer of Fannie Mae, certify, pursuant to 18 U.S.C. Section 1350, that to my knowledge:</w:t>
      </w:r>
    </w:p>
    <w:p>
      <w:pPr>
        <w:spacing w:after="0" w:line="169" w:lineRule="exact"/>
        <w:rPr>
          <w:sz w:val="20"/>
          <w:szCs w:val="20"/>
          <w:color w:val="auto"/>
        </w:rPr>
      </w:pPr>
    </w:p>
    <w:p>
      <w:pPr>
        <w:ind w:left="240" w:right="660" w:hanging="198"/>
        <w:spacing w:after="0" w:line="269" w:lineRule="auto"/>
        <w:tabs>
          <w:tab w:leader="none" w:pos="40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80" w:lineRule="exact"/>
        <w:rPr>
          <w:rFonts w:ascii="Times New Roman" w:cs="Times New Roman" w:eastAsia="Times New Roman" w:hAnsi="Times New Roman"/>
          <w:sz w:val="21"/>
          <w:szCs w:val="21"/>
          <w:color w:val="auto"/>
        </w:rPr>
      </w:pPr>
    </w:p>
    <w:p>
      <w:pPr>
        <w:ind w:left="240" w:right="60" w:hanging="198"/>
        <w:spacing w:after="0" w:line="262" w:lineRule="auto"/>
        <w:tabs>
          <w:tab w:leader="none" w:pos="40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18415</wp:posOffset>
            </wp:positionV>
            <wp:extent cx="353631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21"/>
          <w:szCs w:val="21"/>
          <w:color w:val="auto"/>
        </w:rPr>
        <w:t>Priscilla Almodovar</w:t>
      </w:r>
    </w:p>
    <w:p>
      <w:pPr>
        <w:ind w:left="570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30, 2025</w:t>
      </w:r>
    </w:p>
    <w:p>
      <w:pPr>
        <w:spacing w:after="0" w:line="24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58"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March 31, 2025, as filed with the Securities and Exchange Commission on the date hereof (the “Report”), I, Chryssa C. Halley, Executive Vice President and Chief Financial Officer of Fannie Mae, certify, pursuant to 18 U.S.C. Section 1350, that to my knowledge:</w:t>
      </w:r>
    </w:p>
    <w:p>
      <w:pPr>
        <w:spacing w:after="0" w:line="194" w:lineRule="exact"/>
        <w:rPr>
          <w:sz w:val="20"/>
          <w:szCs w:val="20"/>
          <w:color w:val="auto"/>
        </w:rPr>
      </w:pPr>
    </w:p>
    <w:p>
      <w:pPr>
        <w:ind w:left="240" w:right="660" w:hanging="198"/>
        <w:spacing w:after="0" w:line="269" w:lineRule="auto"/>
        <w:tabs>
          <w:tab w:leader="none" w:pos="40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93" w:lineRule="exact"/>
        <w:rPr>
          <w:rFonts w:ascii="Times New Roman" w:cs="Times New Roman" w:eastAsia="Times New Roman" w:hAnsi="Times New Roman"/>
          <w:sz w:val="21"/>
          <w:szCs w:val="21"/>
          <w:color w:val="auto"/>
        </w:rPr>
      </w:pPr>
    </w:p>
    <w:p>
      <w:pPr>
        <w:ind w:left="240" w:right="60" w:hanging="198"/>
        <w:spacing w:after="0" w:line="269" w:lineRule="auto"/>
        <w:tabs>
          <w:tab w:leader="none" w:pos="40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20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18415</wp:posOffset>
            </wp:positionV>
            <wp:extent cx="277495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ind w:left="6900"/>
        <w:spacing w:after="0"/>
        <w:rPr>
          <w:sz w:val="20"/>
          <w:szCs w:val="20"/>
          <w:color w:val="auto"/>
        </w:rPr>
      </w:pPr>
      <w:r>
        <w:rPr>
          <w:rFonts w:ascii="Times New Roman" w:cs="Times New Roman" w:eastAsia="Times New Roman" w:hAnsi="Times New Roman"/>
          <w:sz w:val="21"/>
          <w:szCs w:val="21"/>
          <w:color w:val="auto"/>
        </w:rPr>
        <w:t>Chryssa C. Halley</w:t>
      </w:r>
    </w:p>
    <w:p>
      <w:pPr>
        <w:ind w:left="69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900"/>
        <w:spacing w:after="0"/>
        <w:rPr>
          <w:sz w:val="20"/>
          <w:szCs w:val="20"/>
          <w:color w:val="auto"/>
        </w:rPr>
      </w:pPr>
      <w:r>
        <w:rPr>
          <w:rFonts w:ascii="Times New Roman" w:cs="Times New Roman" w:eastAsia="Times New Roman" w:hAnsi="Times New Roman"/>
          <w:sz w:val="21"/>
          <w:szCs w:val="21"/>
          <w:color w:val="auto"/>
        </w:rPr>
        <w:t>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30, 2025</w:t>
      </w:r>
    </w:p>
    <w:p>
      <w:pPr>
        <w:spacing w:after="0" w:line="200" w:lineRule="exact"/>
        <w:rPr>
          <w:sz w:val="20"/>
          <w:szCs w:val="20"/>
          <w:color w:val="auto"/>
        </w:rPr>
      </w:pPr>
    </w:p>
    <w:p>
      <w:pPr>
        <w:spacing w:after="0" w:line="26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1)"/>
      <w:numFmt w:val="decimal"/>
      <w:start w:val="1"/>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1)"/>
      <w:numFmt w:val="decimal"/>
      <w:start w:val="1"/>
    </w:lvl>
  </w:abstractNum>
  <w:abstractNum w:abstractNumId="7">
    <w:nsid w:val="47398C89"/>
    <w:multiLevelType w:val="hybridMultilevel"/>
    <w:lvl w:ilvl="0">
      <w:lvlJc w:val="left"/>
      <w:lvlText w:val="(%1)"/>
      <w:numFmt w:val="decimal"/>
      <w:start w:val="1"/>
    </w:lvl>
  </w:abstractNum>
  <w:abstractNum w:abstractNumId="8">
    <w:nsid w:val="354FE9F9"/>
    <w:multiLevelType w:val="hybridMultilevel"/>
    <w:lvl w:ilvl="0">
      <w:lvlJc w:val="left"/>
      <w:lvlText w:val="(%1)"/>
      <w:numFmt w:val="decimal"/>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1)"/>
      <w:numFmt w:val="decimal"/>
      <w:start w:val="1"/>
    </w:lvl>
  </w:abstractNum>
  <w:abstractNum w:abstractNumId="11">
    <w:nsid w:val="D34B6A8"/>
    <w:multiLevelType w:val="hybridMultilevel"/>
    <w:lvl w:ilvl="0">
      <w:lvlJc w:val="left"/>
      <w:lvlText w:val="(%1)"/>
      <w:numFmt w:val="decimal"/>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1)"/>
      <w:numFmt w:val="decimal"/>
      <w:start w:val="1"/>
    </w:lvl>
  </w:abstractNum>
  <w:abstractNum w:abstractNumId="15">
    <w:nsid w:val="7E0C57B1"/>
    <w:multiLevelType w:val="hybridMultilevel"/>
    <w:lvl w:ilvl="0">
      <w:lvlJc w:val="left"/>
      <w:lvlText w:val="(%1)"/>
      <w:numFmt w:val="decimal"/>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1)"/>
      <w:numFmt w:val="decimal"/>
      <w:start w:val="1"/>
    </w:lvl>
  </w:abstractNum>
  <w:abstractNum w:abstractNumId="18">
    <w:nsid w:val="310C50B3"/>
    <w:multiLevelType w:val="hybridMultilevel"/>
    <w:lvl w:ilvl="0">
      <w:lvlJc w:val="left"/>
      <w:lvlText w:val="(%1)"/>
      <w:numFmt w:val="decimal"/>
      <w:start w:val="1"/>
    </w:lvl>
  </w:abstractNum>
  <w:abstractNum w:abstractNumId="19">
    <w:nsid w:val="5FF87E05"/>
    <w:multiLevelType w:val="hybridMultilevel"/>
    <w:lvl w:ilvl="0">
      <w:lvlJc w:val="left"/>
      <w:lvlText w:val="(%1)"/>
      <w:numFmt w:val="decimal"/>
      <w:start w:val="1"/>
    </w:lvl>
  </w:abstractNum>
  <w:abstractNum w:abstractNumId="20">
    <w:nsid w:val="2F305DEF"/>
    <w:multiLevelType w:val="hybridMultilevel"/>
    <w:lvl w:ilvl="0">
      <w:lvlJc w:val="left"/>
      <w:lvlText w:val="(%1)"/>
      <w:numFmt w:val="decimal"/>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1)"/>
      <w:numFmt w:val="decimal"/>
      <w:start w:val="1"/>
    </w:lvl>
  </w:abstractNum>
  <w:abstractNum w:abstractNumId="23">
    <w:nsid w:val="4AD084E9"/>
    <w:multiLevelType w:val="hybridMultilevel"/>
    <w:lvl w:ilvl="0">
      <w:lvlJc w:val="left"/>
      <w:lvlText w:val="(%1)"/>
      <w:numFmt w:val="decimal"/>
      <w:start w:val="2"/>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1)"/>
      <w:numFmt w:val="decimal"/>
      <w:start w:val="1"/>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1)"/>
      <w:numFmt w:val="decimal"/>
      <w:start w:val="1"/>
    </w:lvl>
  </w:abstractNum>
  <w:abstractNum w:abstractNumId="28">
    <w:nsid w:val="6590700B"/>
    <w:multiLevelType w:val="hybridMultilevel"/>
    <w:lvl w:ilvl="0">
      <w:lvlJc w:val="left"/>
      <w:lvlText w:val="(%1)"/>
      <w:numFmt w:val="decimal"/>
      <w:start w:val="1"/>
    </w:lvl>
  </w:abstractNum>
  <w:abstractNum w:abstractNumId="29">
    <w:nsid w:val="15014ACB"/>
    <w:multiLevelType w:val="hybridMultilevel"/>
    <w:lvl w:ilvl="0">
      <w:lvlJc w:val="left"/>
      <w:lvlText w:val="(%1)"/>
      <w:numFmt w:val="decimal"/>
      <w:start w:val="2"/>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1)"/>
      <w:numFmt w:val="decimal"/>
      <w:start w:val="1"/>
    </w:lvl>
  </w:abstractNum>
  <w:abstractNum w:abstractNumId="32">
    <w:nsid w:val="799D0247"/>
    <w:multiLevelType w:val="hybridMultilevel"/>
    <w:lvl w:ilvl="0">
      <w:lvlJc w:val="left"/>
      <w:lvlText w:val="(%1)"/>
      <w:numFmt w:val="decimal"/>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1)"/>
      <w:numFmt w:val="decimal"/>
      <w:start w:val="1"/>
    </w:lvl>
  </w:abstractNum>
  <w:abstractNum w:abstractNumId="35">
    <w:nsid w:val="168E121F"/>
    <w:multiLevelType w:val="hybridMultilevel"/>
    <w:lvl w:ilvl="0">
      <w:lvlJc w:val="left"/>
      <w:lvlText w:val="(%1)"/>
      <w:numFmt w:val="decimal"/>
      <w:start w:val="3"/>
    </w:lvl>
  </w:abstractNum>
  <w:abstractNum w:abstractNumId="36">
    <w:nsid w:val="1EBA5D23"/>
    <w:multiLevelType w:val="hybridMultilevel"/>
    <w:lvl w:ilvl="0">
      <w:lvlJc w:val="left"/>
      <w:lvlText w:val="(%1)"/>
      <w:numFmt w:val="decimal"/>
      <w:start w:val="1"/>
    </w:lvl>
  </w:abstractNum>
  <w:abstractNum w:abstractNumId="37">
    <w:nsid w:val="661E3F1E"/>
    <w:multiLevelType w:val="hybridMultilevel"/>
    <w:lvl w:ilvl="0">
      <w:lvlJc w:val="left"/>
      <w:lvlText w:val="(%1)"/>
      <w:numFmt w:val="decimal"/>
      <w:start w:val="1"/>
    </w:lvl>
  </w:abstractNum>
  <w:abstractNum w:abstractNumId="38">
    <w:nsid w:val="5DC79EA8"/>
    <w:multiLevelType w:val="hybridMultilevel"/>
    <w:lvl w:ilvl="0">
      <w:lvlJc w:val="left"/>
      <w:lvlText w:val="(%1)"/>
      <w:numFmt w:val="decimal"/>
      <w:start w:val="1"/>
    </w:lvl>
  </w:abstractNum>
  <w:abstractNum w:abstractNumId="39">
    <w:nsid w:val="540A471C"/>
    <w:multiLevelType w:val="hybridMultilevel"/>
    <w:lvl w:ilvl="0">
      <w:lvlJc w:val="left"/>
      <w:lvlText w:val="(%1)"/>
      <w:numFmt w:val="decimal"/>
      <w:start w:val="1"/>
    </w:lvl>
  </w:abstractNum>
  <w:abstractNum w:abstractNumId="40">
    <w:nsid w:val="7BD3EE7B"/>
    <w:multiLevelType w:val="hybridMultilevel"/>
    <w:lvl w:ilvl="0">
      <w:lvlJc w:val="left"/>
      <w:lvlText w:val="(%1)"/>
      <w:numFmt w:val="decimal"/>
      <w:start w:val="1"/>
    </w:lvl>
  </w:abstractNum>
  <w:abstractNum w:abstractNumId="41">
    <w:nsid w:val="51D9C564"/>
    <w:multiLevelType w:val="hybridMultilevel"/>
    <w:lvl w:ilvl="0">
      <w:lvlJc w:val="left"/>
      <w:lvlText w:val="(%1)"/>
      <w:numFmt w:val="decimal"/>
      <w:start w:val="1"/>
    </w:lvl>
  </w:abstractNum>
  <w:abstractNum w:abstractNumId="42">
    <w:nsid w:val="613EFDC5"/>
    <w:multiLevelType w:val="hybridMultilevel"/>
    <w:lvl w:ilvl="0">
      <w:lvlJc w:val="left"/>
      <w:lvlText w:val="(%1)"/>
      <w:numFmt w:val="decimal"/>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1)"/>
      <w:numFmt w:val="decimal"/>
      <w:start w:val="1"/>
    </w:lvl>
  </w:abstractNum>
  <w:abstractNum w:abstractNumId="45">
    <w:nsid w:val="42963E5A"/>
    <w:multiLevelType w:val="hybridMultilevel"/>
    <w:lvl w:ilvl="0">
      <w:lvlJc w:val="left"/>
      <w:lvlText w:val="(%1)"/>
      <w:numFmt w:val="decimal"/>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1)"/>
      <w:numFmt w:val="decimal"/>
      <w:start w:val="1"/>
    </w:lvl>
  </w:abstractNum>
  <w:abstractNum w:abstractNumId="49">
    <w:nsid w:val="3B0FD379"/>
    <w:multiLevelType w:val="hybridMultilevel"/>
    <w:lvl w:ilvl="0">
      <w:lvlJc w:val="left"/>
      <w:lvlText w:val="(%1)"/>
      <w:numFmt w:val="decimal"/>
      <w:start w:val="1"/>
    </w:lvl>
  </w:abstractNum>
  <w:abstractNum w:abstractNumId="50">
    <w:nsid w:val="68EB2F63"/>
    <w:multiLevelType w:val="hybridMultilevel"/>
    <w:lvl w:ilvl="0">
      <w:lvlJc w:val="left"/>
      <w:lvlText w:val="(%1)"/>
      <w:numFmt w:val="decimal"/>
      <w:start w:val="1"/>
    </w:lvl>
  </w:abstractNum>
  <w:abstractNum w:abstractNumId="51">
    <w:nsid w:val="4962813B"/>
    <w:multiLevelType w:val="hybridMultilevel"/>
    <w:lvl w:ilvl="0">
      <w:lvlJc w:val="left"/>
      <w:lvlText w:val="(%1)"/>
      <w:numFmt w:val="decimal"/>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1."/>
      <w:numFmt w:val="decimal"/>
      <w:start w:val="2"/>
    </w:lvl>
  </w:abstractNum>
  <w:abstractNum w:abstractNumId="58">
    <w:nsid w:val="100F59DC"/>
    <w:multiLevelType w:val="hybridMultilevel"/>
    <w:lvl w:ilvl="0">
      <w:lvlJc w:val="left"/>
      <w:lvlText w:val="(%1)"/>
      <w:numFmt w:val="decimal"/>
      <w:start w:val="1"/>
    </w:lvl>
  </w:abstractNum>
  <w:abstractNum w:abstractNumId="59">
    <w:nsid w:val="7FB7E0AA"/>
    <w:multiLevelType w:val="hybridMultilevel"/>
    <w:lvl w:ilvl="0">
      <w:lvlJc w:val="left"/>
      <w:lvlText w:val="(%1)"/>
      <w:numFmt w:val="decimal"/>
      <w:start w:val="1"/>
    </w:lvl>
  </w:abstractNum>
  <w:abstractNum w:abstractNumId="60">
    <w:nsid w:val="6EB5BD4"/>
    <w:multiLevelType w:val="hybridMultilevel"/>
    <w:lvl w:ilvl="0">
      <w:lvlJc w:val="left"/>
      <w:lvlText w:val="(%1)"/>
      <w:numFmt w:val="decimal"/>
      <w:start w:val="1"/>
    </w:lvl>
  </w:abstractNum>
  <w:abstractNum w:abstractNumId="61">
    <w:nsid w:val="6F6DD9AC"/>
    <w:multiLevelType w:val="hybridMultilevel"/>
    <w:lvl w:ilvl="0">
      <w:lvlJc w:val="left"/>
      <w:lvlText w:val="(%1)"/>
      <w:numFmt w:val="decimal"/>
      <w:start w:val="1"/>
    </w:lvl>
  </w:abstractNum>
  <w:abstractNum w:abstractNumId="62">
    <w:nsid w:val="94211F2"/>
    <w:multiLevelType w:val="hybridMultilevel"/>
    <w:lvl w:ilvl="0">
      <w:lvlJc w:val="left"/>
      <w:lvlText w:val="(%1)"/>
      <w:numFmt w:val="decimal"/>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1)"/>
      <w:numFmt w:val="decimal"/>
      <w:start w:val="1"/>
    </w:lvl>
  </w:abstractNum>
  <w:abstractNum w:abstractNumId="65">
    <w:nsid w:val="4C04A8AF"/>
    <w:multiLevelType w:val="hybridMultilevel"/>
    <w:lvl w:ilvl="0">
      <w:lvlJc w:val="left"/>
      <w:lvlText w:val="(%1)"/>
      <w:numFmt w:val="decimal"/>
      <w:start w:val="3"/>
    </w:lvl>
  </w:abstractNum>
  <w:abstractNum w:abstractNumId="66">
    <w:nsid w:val="1716703B"/>
    <w:multiLevelType w:val="hybridMultilevel"/>
    <w:lvl w:ilvl="0">
      <w:lvlJc w:val="left"/>
      <w:lvlText w:val="(%1)"/>
      <w:numFmt w:val="decimal"/>
      <w:start w:val="1"/>
    </w:lvl>
  </w:abstractNum>
  <w:abstractNum w:abstractNumId="67">
    <w:nsid w:val="14E17E33"/>
    <w:multiLevelType w:val="hybridMultilevel"/>
    <w:lvl w:ilvl="0">
      <w:lvlJc w:val="left"/>
      <w:lvlText w:val="(%1)"/>
      <w:numFmt w:val="decimal"/>
      <w:start w:val="1"/>
    </w:lvl>
  </w:abstractNum>
  <w:abstractNum w:abstractNumId="68">
    <w:nsid w:val="3222E7CD"/>
    <w:multiLevelType w:val="hybridMultilevel"/>
    <w:lvl w:ilvl="0">
      <w:lvlJc w:val="left"/>
      <w:lvlText w:val="(%1)"/>
      <w:numFmt w:val="decimal"/>
      <w:start w:val="1"/>
    </w:lvl>
  </w:abstractNum>
  <w:abstractNum w:abstractNumId="69">
    <w:nsid w:val="74DE0EE3"/>
    <w:multiLevelType w:val="hybridMultilevel"/>
    <w:lvl w:ilvl="0">
      <w:lvlJc w:val="left"/>
      <w:lvlText w:val="(%1)"/>
      <w:numFmt w:val="decimal"/>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1)"/>
      <w:numFmt w:val="decimal"/>
      <w:start w:val="1"/>
    </w:lvl>
  </w:abstractNum>
  <w:abstractNum w:abstractNumId="73">
    <w:nsid w:val="4A2AC315"/>
    <w:multiLevelType w:val="hybridMultilevel"/>
    <w:lvl w:ilvl="0">
      <w:lvlJc w:val="left"/>
      <w:lvlText w:val="(%1)"/>
      <w:numFmt w:val="decimal"/>
      <w:start w:val="1"/>
    </w:lvl>
  </w:abstractNum>
  <w:abstractNum w:abstractNumId="74">
    <w:nsid w:val="39EE015C"/>
    <w:multiLevelType w:val="hybridMultilevel"/>
    <w:lvl w:ilvl="0">
      <w:lvlJc w:val="left"/>
      <w:lvlText w:val="(%1)"/>
      <w:numFmt w:val="decimal"/>
      <w:start w:val="1"/>
    </w:lvl>
  </w:abstractNum>
  <w:abstractNum w:abstractNumId="75">
    <w:nsid w:val="57FC4FBB"/>
    <w:multiLevelType w:val="hybridMultilevel"/>
    <w:lvl w:ilvl="0">
      <w:lvlJc w:val="left"/>
      <w:lvlText w:val="(%1)"/>
      <w:numFmt w:val="decimal"/>
      <w:start w:val="1"/>
    </w:lvl>
  </w:abstractNum>
  <w:abstractNum w:abstractNumId="76">
    <w:nsid w:val="CC1016F"/>
    <w:multiLevelType w:val="hybridMultilevel"/>
    <w:lvl w:ilvl="0">
      <w:lvlJc w:val="left"/>
      <w:lvlText w:val="(%1)"/>
      <w:numFmt w:val="decimal"/>
      <w:start w:val="1"/>
    </w:lvl>
  </w:abstractNum>
  <w:abstractNum w:abstractNumId="77">
    <w:nsid w:val="43F18422"/>
    <w:multiLevelType w:val="hybridMultilevel"/>
    <w:lvl w:ilvl="0">
      <w:lvlJc w:val="left"/>
      <w:lvlText w:val="(%1)"/>
      <w:numFmt w:val="decimal"/>
      <w:start w:val="1"/>
    </w:lvl>
    <w:lvl w:ilvl="1">
      <w:lvlJc w:val="left"/>
      <w:lvlText w:val="(%2)"/>
      <w:numFmt w:val="decimal"/>
      <w:start w:val="2"/>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1)"/>
      <w:numFmt w:val="decimal"/>
      <w:start w:val="1"/>
    </w:lvl>
  </w:abstractNum>
  <w:abstractNum w:abstractNumId="80">
    <w:nsid w:val="7F01579B"/>
    <w:multiLevelType w:val="hybridMultilevel"/>
    <w:lvl w:ilvl="0">
      <w:lvlJc w:val="left"/>
      <w:lvlText w:val="(%1)"/>
      <w:numFmt w:val="decimal"/>
      <w:start w:val="1"/>
    </w:lvl>
  </w:abstractNum>
  <w:abstractNum w:abstractNumId="81">
    <w:nsid w:val="49DA307D"/>
    <w:multiLevelType w:val="hybridMultilevel"/>
    <w:lvl w:ilvl="0">
      <w:lvlJc w:val="left"/>
      <w:lvlText w:val="%1"/>
      <w:numFmt w:val="decimal"/>
      <w:start w:val="21"/>
    </w:lvl>
  </w:abstractNum>
  <w:abstractNum w:abstractNumId="82">
    <w:nsid w:val="7055A5F5"/>
    <w:multiLevelType w:val="hybridMultilevel"/>
    <w:lvl w:ilvl="0">
      <w:lvlJc w:val="left"/>
      <w:lvlText w:val="%1"/>
      <w:numFmt w:val="decimal"/>
      <w:start w:val="30"/>
    </w:lvl>
  </w:abstractNum>
  <w:abstractNum w:abstractNumId="83">
    <w:nsid w:val="5FB8370B"/>
    <w:multiLevelType w:val="hybridMultilevel"/>
    <w:lvl w:ilvl="0">
      <w:lvlJc w:val="left"/>
      <w:lvlText w:val="%1"/>
      <w:numFmt w:val="decimal"/>
      <w:start w:val="51"/>
    </w:lvl>
  </w:abstractNum>
  <w:abstractNum w:abstractNumId="84">
    <w:nsid w:val="50801EE1"/>
    <w:multiLevelType w:val="hybridMultilevel"/>
    <w:lvl w:ilvl="0">
      <w:lvlJc w:val="left"/>
      <w:lvlText w:val="%1"/>
      <w:numFmt w:val="decimal"/>
      <w:start w:val="21"/>
    </w:lvl>
  </w:abstractNum>
  <w:abstractNum w:abstractNumId="85">
    <w:nsid w:val="488AC1A"/>
    <w:multiLevelType w:val="hybridMultilevel"/>
    <w:lvl w:ilvl="0">
      <w:lvlJc w:val="left"/>
      <w:lvlText w:val="%1"/>
      <w:numFmt w:val="decimal"/>
      <w:start w:val="30"/>
    </w:lvl>
  </w:abstractNum>
  <w:abstractNum w:abstractNumId="86">
    <w:nsid w:val="5FB8011C"/>
    <w:multiLevelType w:val="hybridMultilevel"/>
    <w:lvl w:ilvl="0">
      <w:lvlJc w:val="left"/>
      <w:lvlText w:val="%1"/>
      <w:numFmt w:val="decimal"/>
      <w:start w:val="51"/>
    </w:lvl>
  </w:abstractNum>
  <w:abstractNum w:abstractNumId="87">
    <w:nsid w:val="6AA78F7F"/>
    <w:multiLevelType w:val="hybridMultilevel"/>
    <w:lvl w:ilvl="0">
      <w:lvlJc w:val="left"/>
      <w:lvlText w:val="%1"/>
      <w:numFmt w:val="decimal"/>
      <w:start w:val="25"/>
    </w:lvl>
  </w:abstractNum>
  <w:abstractNum w:abstractNumId="88">
    <w:nsid w:val="7672BD23"/>
    <w:multiLevelType w:val="hybridMultilevel"/>
    <w:lvl w:ilvl="0">
      <w:lvlJc w:val="left"/>
      <w:lvlText w:val="%1"/>
      <w:numFmt w:val="decimal"/>
      <w:start w:val="45"/>
    </w:lvl>
  </w:abstractNum>
  <w:abstractNum w:abstractNumId="89">
    <w:nsid w:val="6FC75AF8"/>
    <w:multiLevelType w:val="hybridMultilevel"/>
    <w:lvl w:ilvl="0">
      <w:lvlJc w:val="left"/>
      <w:lvlText w:val="%1"/>
      <w:numFmt w:val="decimal"/>
      <w:start w:val="70"/>
    </w:lvl>
  </w:abstractNum>
  <w:abstractNum w:abstractNumId="90">
    <w:nsid w:val="6A5F7029"/>
    <w:multiLevelType w:val="hybridMultilevel"/>
    <w:lvl w:ilvl="0">
      <w:lvlJc w:val="left"/>
      <w:lvlText w:val="%1"/>
      <w:numFmt w:val="decimal"/>
      <w:start w:val="26"/>
    </w:lvl>
  </w:abstractNum>
  <w:abstractNum w:abstractNumId="91">
    <w:nsid w:val="7D5E18F8"/>
    <w:multiLevelType w:val="hybridMultilevel"/>
    <w:lvl w:ilvl="0">
      <w:lvlJc w:val="left"/>
      <w:lvlText w:val="%1"/>
      <w:numFmt w:val="decimal"/>
      <w:start w:val="44"/>
    </w:lvl>
  </w:abstractNum>
  <w:abstractNum w:abstractNumId="92">
    <w:nsid w:val="5F3534A4"/>
    <w:multiLevelType w:val="hybridMultilevel"/>
    <w:lvl w:ilvl="0">
      <w:lvlJc w:val="left"/>
      <w:lvlText w:val="%1"/>
      <w:numFmt w:val="decimal"/>
      <w:start w:val="70"/>
    </w:lvl>
  </w:abstractNum>
  <w:abstractNum w:abstractNumId="93">
    <w:nsid w:val="73A1821B"/>
    <w:multiLevelType w:val="hybridMultilevel"/>
    <w:lvl w:ilvl="0">
      <w:lvlJc w:val="left"/>
      <w:lvlText w:val="(%1)"/>
      <w:numFmt w:val="decimal"/>
      <w:start w:val="1"/>
    </w:lvl>
  </w:abstractNum>
  <w:abstractNum w:abstractNumId="94">
    <w:nsid w:val="7DE67713"/>
    <w:multiLevelType w:val="hybridMultilevel"/>
    <w:lvl w:ilvl="0">
      <w:lvlJc w:val="left"/>
      <w:lvlText w:val="(%1)"/>
      <w:numFmt w:val="decimal"/>
      <w:start w:val="3"/>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1)"/>
      <w:numFmt w:val="decimal"/>
      <w:start w:val="1"/>
    </w:lvl>
  </w:abstractNum>
  <w:abstractNum w:abstractNumId="97">
    <w:nsid w:val="14FCE74E"/>
    <w:multiLevelType w:val="hybridMultilevel"/>
    <w:lvl w:ilvl="0">
      <w:lvlJc w:val="left"/>
      <w:lvlText w:val="(%1)"/>
      <w:numFmt w:val="decimal"/>
      <w:start w:val="1"/>
    </w:lvl>
  </w:abstractNum>
  <w:abstractNum w:abstractNumId="98">
    <w:nsid w:val="6A3DD3E8"/>
    <w:multiLevelType w:val="hybridMultilevel"/>
    <w:lvl w:ilvl="0">
      <w:lvlJc w:val="left"/>
      <w:lvlText w:val="(%1)"/>
      <w:numFmt w:val="decimal"/>
      <w:start w:val="1"/>
    </w:lvl>
  </w:abstractNum>
  <w:abstractNum w:abstractNumId="99">
    <w:nsid w:val="71C91298"/>
    <w:multiLevelType w:val="hybridMultilevel"/>
    <w:lvl w:ilvl="0">
      <w:lvlJc w:val="left"/>
      <w:lvlText w:val="(%1)"/>
      <w:numFmt w:val="decimal"/>
      <w:start w:val="1"/>
    </w:lvl>
  </w:abstractNum>
  <w:abstractNum w:abstractNumId="100">
    <w:nsid w:val="9DAF632"/>
    <w:multiLevelType w:val="hybridMultilevel"/>
    <w:lvl w:ilvl="0">
      <w:lvlJc w:val="left"/>
      <w:lvlText w:val="(%1)"/>
      <w:numFmt w:val="decimal"/>
      <w:start w:val="1"/>
    </w:lvl>
  </w:abstractNum>
  <w:abstractNum w:abstractNumId="101">
    <w:nsid w:val="53299938"/>
    <w:multiLevelType w:val="hybridMultilevel"/>
    <w:lvl w:ilvl="0">
      <w:lvlJc w:val="left"/>
      <w:lvlText w:val="(%1)"/>
      <w:numFmt w:val="decimal"/>
      <w:start w:val="1"/>
    </w:lvl>
  </w:abstractNum>
  <w:abstractNum w:abstractNumId="102">
    <w:nsid w:val="1FBFE8E0"/>
    <w:multiLevelType w:val="hybridMultilevel"/>
    <w:lvl w:ilvl="0">
      <w:lvlJc w:val="left"/>
      <w:lvlText w:val="•"/>
      <w:numFmt w:val="bullet"/>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
      <w:numFmt w:val="bullet"/>
      <w:start w:val="1"/>
    </w:lvl>
    <w:lvl w:ilvl="1">
      <w:lvlJc w:val="left"/>
      <w:lvlText w:val="%2"/>
      <w:numFmt w:val="decimal"/>
      <w:start w:val="104"/>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jpe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484" Type="http://schemas.openxmlformats.org/officeDocument/2006/relationships/hyperlink" Target="https://www.sec.gov/Archives/edgar/data/310522/000031052219000385/fanniemaecharteractex31.htm" TargetMode="External"/><Relationship Id="rId485" Type="http://schemas.openxmlformats.org/officeDocument/2006/relationships/hyperlink" Target="https://www.sec.gov/Archives/edgar/data/310522/000031052219000116/fanniemae2018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2025-04-30T06:27:19Z</dcterms:created>
  <dcterms:modified xsi:type="dcterms:W3CDTF">2025-04-30T06:27:19Z</dcterms:modified>
</cp:coreProperties>
</file>