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46"/>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0"/>
          <w:szCs w:val="20"/>
          <w:color w:val="auto"/>
        </w:rPr>
      </w:pPr>
    </w:p>
    <w:p>
      <w:pPr>
        <w:ind w:left="4287"/>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0"/>
          <w:szCs w:val="20"/>
          <w:color w:val="auto"/>
        </w:rPr>
      </w:pPr>
    </w:p>
    <w:p>
      <w:pPr>
        <w:ind w:left="4327"/>
        <w:spacing w:after="0"/>
        <w:rPr>
          <w:sz w:val="20"/>
          <w:szCs w:val="20"/>
          <w:color w:val="auto"/>
        </w:rPr>
      </w:pPr>
      <w:r>
        <w:rPr>
          <w:rFonts w:ascii="Arial" w:cs="Arial" w:eastAsia="Arial" w:hAnsi="Arial"/>
          <w:sz w:val="18"/>
          <w:szCs w:val="18"/>
          <w:b w:val="1"/>
          <w:bCs w:val="1"/>
          <w:color w:val="auto"/>
        </w:rPr>
        <w:t>(RULE 14a-101)</w:t>
      </w:r>
    </w:p>
    <w:p>
      <w:pPr>
        <w:spacing w:after="0" w:line="112"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46"/>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138" w:lineRule="exact"/>
        <w:rPr>
          <w:sz w:val="20"/>
          <w:szCs w:val="20"/>
          <w:color w:val="auto"/>
        </w:rPr>
      </w:pPr>
    </w:p>
    <w:p>
      <w:pPr>
        <w:ind w:left="7"/>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18"/>
          <w:szCs w:val="18"/>
          <w:color w:val="auto"/>
        </w:rPr>
        <w:t>Filed by a Party other than the Registrant o</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0"/>
          <w:szCs w:val="20"/>
          <w:color w:val="auto"/>
        </w:rPr>
      </w:pPr>
    </w:p>
    <w:p>
      <w:pPr>
        <w:ind w:left="187" w:hanging="187"/>
        <w:spacing w:after="0"/>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187" w:hanging="187"/>
        <w:spacing w:after="0"/>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187" w:hanging="187"/>
        <w:spacing w:after="0"/>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4" w:lineRule="exact"/>
        <w:rPr>
          <w:sz w:val="20"/>
          <w:szCs w:val="20"/>
          <w:color w:val="auto"/>
        </w:rPr>
      </w:pPr>
    </w:p>
    <w:p>
      <w:pPr>
        <w:ind w:left="247" w:hanging="247"/>
        <w:spacing w:after="0"/>
        <w:tabs>
          <w:tab w:leader="none" w:pos="24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 w:lineRule="exact"/>
        <w:rPr>
          <w:sz w:val="20"/>
          <w:szCs w:val="20"/>
          <w:color w:val="auto"/>
        </w:rPr>
      </w:pPr>
    </w:p>
    <w:p>
      <w:pPr>
        <w:ind w:left="7"/>
        <w:spacing w:after="0"/>
        <w:rPr>
          <w:sz w:val="20"/>
          <w:szCs w:val="20"/>
          <w:color w:val="auto"/>
        </w:rPr>
      </w:pPr>
      <w:r>
        <w:rPr>
          <w:rFonts w:ascii="Arial" w:cs="Arial" w:eastAsia="Arial" w:hAnsi="Arial"/>
          <w:sz w:val="18"/>
          <w:szCs w:val="18"/>
          <w:color w:val="auto"/>
        </w:rPr>
        <w:t>o Soliciting Material Pursuant to §240.14a-12.</w:t>
      </w:r>
    </w:p>
    <w:p>
      <w:pPr>
        <w:spacing w:after="0" w:line="111"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Federal National Mortgage Association</w:t>
      </w:r>
    </w:p>
    <w:p>
      <w:pPr>
        <w:spacing w:after="0" w:line="36" w:lineRule="exact"/>
        <w:rPr>
          <w:sz w:val="20"/>
          <w:szCs w:val="20"/>
          <w:color w:val="auto"/>
        </w:rPr>
      </w:pPr>
    </w:p>
    <w:p>
      <w:pPr>
        <w:jc w:val="center"/>
        <w:ind w:right="-46"/>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6303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03" w:lineRule="exact"/>
        <w:rPr>
          <w:sz w:val="20"/>
          <w:szCs w:val="20"/>
          <w:color w:val="auto"/>
        </w:rPr>
      </w:pPr>
    </w:p>
    <w:p>
      <w:pPr>
        <w:jc w:val="center"/>
        <w:ind w:right="-46"/>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3" w:lineRule="exact"/>
        <w:rPr>
          <w:sz w:val="20"/>
          <w:szCs w:val="20"/>
          <w:color w:val="auto"/>
        </w:rPr>
      </w:pPr>
    </w:p>
    <w:p>
      <w:pPr>
        <w:ind w:left="7"/>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0"/>
          <w:szCs w:val="20"/>
          <w:color w:val="auto"/>
        </w:rPr>
      </w:pPr>
    </w:p>
    <w:p>
      <w:pPr>
        <w:ind w:left="307" w:hanging="307"/>
        <w:spacing w:after="0"/>
        <w:tabs>
          <w:tab w:leader="none" w:pos="307"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0"/>
          <w:szCs w:val="20"/>
          <w:color w:val="auto"/>
        </w:rPr>
      </w:pPr>
    </w:p>
    <w:p>
      <w:pPr>
        <w:ind w:left="307" w:hanging="307"/>
        <w:spacing w:after="0"/>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Arial" w:cs="Arial" w:eastAsia="Arial" w:hAnsi="Arial"/>
          <w:sz w:val="18"/>
          <w:szCs w:val="18"/>
          <w:color w:val="auto"/>
        </w:rPr>
      </w:pPr>
    </w:p>
    <w:p>
      <w:pPr>
        <w:ind w:left="527" w:hanging="230"/>
        <w:spacing w:after="0"/>
        <w:tabs>
          <w:tab w:leader="none" w:pos="527"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0" w:lineRule="exact"/>
        <w:rPr>
          <w:rFonts w:ascii="Arial" w:cs="Arial" w:eastAsia="Arial" w:hAnsi="Arial"/>
          <w:sz w:val="18"/>
          <w:szCs w:val="18"/>
          <w:color w:val="auto"/>
        </w:rPr>
      </w:pPr>
    </w:p>
    <w:p>
      <w:pPr>
        <w:ind w:left="707" w:hanging="397"/>
        <w:spacing w:after="0"/>
        <w:tabs>
          <w:tab w:leader="none" w:pos="707" w:val="left"/>
        </w:tabs>
        <w:numPr>
          <w:ilvl w:val="2"/>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7" w:lineRule="exact"/>
        <w:rPr>
          <w:rFonts w:ascii="Arial" w:cs="Arial" w:eastAsia="Arial" w:hAnsi="Arial"/>
          <w:sz w:val="18"/>
          <w:szCs w:val="18"/>
          <w:color w:val="auto"/>
        </w:rPr>
      </w:pPr>
    </w:p>
    <w:p>
      <w:pPr>
        <w:ind w:left="707" w:right="120" w:hanging="397"/>
        <w:spacing w:after="0" w:line="277" w:lineRule="auto"/>
        <w:tabs>
          <w:tab w:leader="none" w:pos="707" w:val="left"/>
        </w:tabs>
        <w:numPr>
          <w:ilvl w:val="2"/>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62" w:lineRule="exact"/>
        <w:rPr>
          <w:rFonts w:ascii="Arial" w:cs="Arial" w:eastAsia="Arial" w:hAnsi="Arial"/>
          <w:sz w:val="18"/>
          <w:szCs w:val="18"/>
          <w:color w:val="auto"/>
        </w:rPr>
      </w:pPr>
    </w:p>
    <w:p>
      <w:pPr>
        <w:ind w:left="707" w:hanging="397"/>
        <w:spacing w:after="0"/>
        <w:tabs>
          <w:tab w:leader="none" w:pos="707" w:val="left"/>
        </w:tabs>
        <w:numPr>
          <w:ilvl w:val="2"/>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17" w:lineRule="exact"/>
        <w:rPr>
          <w:rFonts w:ascii="Arial" w:cs="Arial" w:eastAsia="Arial" w:hAnsi="Arial"/>
          <w:sz w:val="18"/>
          <w:szCs w:val="18"/>
          <w:color w:val="auto"/>
        </w:rPr>
      </w:pPr>
    </w:p>
    <w:p>
      <w:pPr>
        <w:ind w:left="707" w:hanging="397"/>
        <w:spacing w:after="0"/>
        <w:tabs>
          <w:tab w:leader="none" w:pos="707" w:val="left"/>
        </w:tabs>
        <w:numPr>
          <w:ilvl w:val="2"/>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30" w:lineRule="exact"/>
        <w:rPr>
          <w:rFonts w:ascii="Arial" w:cs="Arial" w:eastAsia="Arial" w:hAnsi="Arial"/>
          <w:sz w:val="18"/>
          <w:szCs w:val="18"/>
          <w:color w:val="auto"/>
        </w:rPr>
      </w:pPr>
    </w:p>
    <w:p>
      <w:pPr>
        <w:ind w:left="307" w:hanging="307"/>
        <w:spacing w:after="0"/>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Arial" w:cs="Arial" w:eastAsia="Arial" w:hAnsi="Arial"/>
          <w:sz w:val="18"/>
          <w:szCs w:val="18"/>
          <w:color w:val="auto"/>
        </w:rPr>
      </w:pPr>
    </w:p>
    <w:p>
      <w:pPr>
        <w:ind w:left="307" w:hanging="307"/>
        <w:spacing w:after="0" w:line="264"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6" w:lineRule="exact"/>
        <w:rPr>
          <w:rFonts w:ascii="Arial" w:cs="Arial" w:eastAsia="Arial" w:hAnsi="Arial"/>
          <w:sz w:val="18"/>
          <w:szCs w:val="18"/>
          <w:color w:val="auto"/>
        </w:rPr>
      </w:pPr>
    </w:p>
    <w:p>
      <w:pPr>
        <w:ind w:left="507" w:hanging="210"/>
        <w:spacing w:after="0"/>
        <w:tabs>
          <w:tab w:leader="none" w:pos="507"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527" w:hanging="230"/>
        <w:spacing w:after="0"/>
        <w:tabs>
          <w:tab w:leader="none" w:pos="527"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527" w:hanging="230"/>
        <w:spacing w:after="0"/>
        <w:tabs>
          <w:tab w:leader="none" w:pos="527"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527" w:hanging="230"/>
        <w:spacing w:after="0"/>
        <w:tabs>
          <w:tab w:leader="none" w:pos="527"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sz w:val="20"/>
          <w:szCs w:val="20"/>
          <w:color w:val="auto"/>
        </w:rPr>
      </w:pPr>
    </w:p>
    <w:p>
      <w:pPr>
        <w:spacing w:after="0" w:line="201"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933" w:top="634" w:right="10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Notice to Registered Shareholders: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You have received, or will receive shortly, a proxy card for the Fannie Mae 2008 Annual Meeting of Shareholders to be held on May 20, 2008. Due to a printing error by the independent proxy distribution agent, you received an </w:t>
      </w:r>
      <w:r>
        <w:rPr>
          <w:rFonts w:ascii="Arial" w:cs="Arial" w:eastAsia="Arial" w:hAnsi="Arial"/>
          <w:sz w:val="18"/>
          <w:szCs w:val="18"/>
          <w:u w:val="single" w:color="auto"/>
          <w:color w:val="auto"/>
        </w:rPr>
        <w:t>incorrect proxy card</w:t>
      </w:r>
      <w:r>
        <w:rPr>
          <w:rFonts w:ascii="Arial" w:cs="Arial" w:eastAsia="Arial" w:hAnsi="Arial"/>
          <w:sz w:val="18"/>
          <w:szCs w:val="18"/>
          <w:color w:val="auto"/>
        </w:rPr>
        <w:t xml:space="preserve">. Proposal 1 should have offered you the option to vote </w:t>
      </w:r>
      <w:r>
        <w:rPr>
          <w:rFonts w:ascii="Arial" w:cs="Arial" w:eastAsia="Arial" w:hAnsi="Arial"/>
          <w:sz w:val="18"/>
          <w:szCs w:val="18"/>
          <w:i w:val="1"/>
          <w:iCs w:val="1"/>
          <w:color w:val="auto"/>
        </w:rPr>
        <w:t>FOR</w:t>
      </w:r>
      <w:r>
        <w:rPr>
          <w:rFonts w:ascii="Arial" w:cs="Arial" w:eastAsia="Arial" w:hAnsi="Arial"/>
          <w:sz w:val="18"/>
          <w:szCs w:val="18"/>
          <w:color w:val="auto"/>
        </w:rPr>
        <w:t xml:space="preserve"> or </w:t>
      </w:r>
      <w:r>
        <w:rPr>
          <w:rFonts w:ascii="Arial" w:cs="Arial" w:eastAsia="Arial" w:hAnsi="Arial"/>
          <w:sz w:val="18"/>
          <w:szCs w:val="18"/>
          <w:i w:val="1"/>
          <w:iCs w:val="1"/>
          <w:color w:val="auto"/>
        </w:rPr>
        <w:t>AGAINST</w:t>
      </w:r>
      <w:r>
        <w:rPr>
          <w:rFonts w:ascii="Arial" w:cs="Arial" w:eastAsia="Arial" w:hAnsi="Arial"/>
          <w:sz w:val="18"/>
          <w:szCs w:val="18"/>
          <w:color w:val="auto"/>
        </w:rPr>
        <w:t xml:space="preserve"> each individual director nominee identified in the Proxy Statement.</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We have therefore enclosed a </w:t>
      </w:r>
      <w:r>
        <w:rPr>
          <w:rFonts w:ascii="Arial" w:cs="Arial" w:eastAsia="Arial" w:hAnsi="Arial"/>
          <w:sz w:val="18"/>
          <w:szCs w:val="18"/>
          <w:u w:val="single" w:color="auto"/>
          <w:color w:val="auto"/>
        </w:rPr>
        <w:t>corrected proxy card</w:t>
      </w:r>
      <w:r>
        <w:rPr>
          <w:rFonts w:ascii="Arial" w:cs="Arial" w:eastAsia="Arial" w:hAnsi="Arial"/>
          <w:sz w:val="18"/>
          <w:szCs w:val="18"/>
          <w:color w:val="auto"/>
        </w:rPr>
        <w:t xml:space="preserve"> that lists the correct voting options for Proposal 1. Whether or not you have previously completed and returned a proxy card, we urge you to sign, date and return the enclosed corrected proxy card in the envelope provided so that it is received by May 19. Votes on the incorrect proxy card will be disregarded for all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PLEASE NOTE THAT IF YOU HAVE ALREADY </w:t>
      </w:r>
      <w:r>
        <w:rPr>
          <w:rFonts w:ascii="Arial" w:cs="Arial" w:eastAsia="Arial" w:hAnsi="Arial"/>
          <w:sz w:val="18"/>
          <w:szCs w:val="18"/>
          <w:i w:val="1"/>
          <w:iCs w:val="1"/>
          <w:u w:val="single" w:color="auto"/>
          <w:color w:val="auto"/>
        </w:rPr>
        <w:t>VOTED VIA TELEPHONE OR INTERNET</w:t>
      </w:r>
      <w:r>
        <w:rPr>
          <w:rFonts w:ascii="Arial" w:cs="Arial" w:eastAsia="Arial" w:hAnsi="Arial"/>
          <w:sz w:val="18"/>
          <w:szCs w:val="18"/>
          <w:i w:val="1"/>
          <w:iCs w:val="1"/>
          <w:color w:val="auto"/>
        </w:rPr>
        <w:t>, YOU CAN DISREGARD THIS NOTICE.</w:t>
      </w:r>
    </w:p>
    <w:p>
      <w:pPr>
        <w:spacing w:after="0" w:line="11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Fannie Mae regrets any inconvenience or confusion caused by the mailing of an erroneous proxy card. Fannie Mae and the distribution agent (which is bearing the cost of this additional printing and mailing) chose to provide the corrected proxy cards to ensure the integrity of the voting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8577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8577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603250</wp:posOffset>
            </wp:positionV>
            <wp:extent cx="6431915" cy="4262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2621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lvl w:ilvl="2">
      <w:lvlJc w:val="left"/>
      <w:lvlText w:val="%3."/>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2019-12-12T11:59:31Z</dcterms:created>
  <dcterms:modified xsi:type="dcterms:W3CDTF">2019-12-12T11:59:31Z</dcterms:modified>
</cp:coreProperties>
</file>