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June 30, 2025</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18"/>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Borders>
              <w:top w:val="single" w:sz="8" w:color="auto"/>
            </w:tcBorders>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213"/>
        </w:trPr>
        <w:tc>
          <w:tcPr>
            <w:tcW w:w="2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18"/>
                <w:szCs w:val="18"/>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8"/>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360"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1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11, 2025,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580" w:type="dxa"/>
            <w:vAlign w:val="bottom"/>
            <w:tcBorders>
              <w:top w:val="single" w:sz="8" w:color="2C6937"/>
            </w:tcBorders>
          </w:tcPr>
          <w:p>
            <w:pPr>
              <w:spacing w:after="0"/>
              <w:rPr>
                <w:sz w:val="15"/>
                <w:szCs w:val="15"/>
                <w:color w:val="auto"/>
              </w:rPr>
            </w:pPr>
          </w:p>
        </w:tc>
        <w:tc>
          <w:tcPr>
            <w:tcW w:w="420" w:type="dxa"/>
            <w:vAlign w:val="bottom"/>
            <w:tcBorders>
              <w:top w:val="single" w:sz="8" w:color="2C6937"/>
              <w:bottom w:val="single" w:sz="8" w:color="auto"/>
            </w:tcBorders>
          </w:tcPr>
          <w:p>
            <w:pPr>
              <w:spacing w:after="0"/>
              <w:rPr>
                <w:sz w:val="20"/>
                <w:szCs w:val="20"/>
                <w:color w:val="auto"/>
              </w:rPr>
            </w:pPr>
            <w:r>
              <w:rPr>
                <w:rFonts w:ascii="Arial" w:cs="Arial" w:eastAsia="Arial" w:hAnsi="Arial"/>
                <w:sz w:val="15"/>
                <w:szCs w:val="15"/>
                <w:b w:val="1"/>
                <w:bCs w:val="1"/>
                <w:color w:val="auto"/>
              </w:rPr>
              <w:t>Page</w:t>
            </w:r>
          </w:p>
        </w:tc>
        <w:tc>
          <w:tcPr>
            <w:tcW w:w="120" w:type="dxa"/>
            <w:vAlign w:val="bottom"/>
            <w:tcBorders>
              <w:top w:val="single" w:sz="8" w:color="2C6937"/>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8340" w:type="dxa"/>
            <w:vAlign w:val="bottom"/>
          </w:tcPr>
          <w:p>
            <w:pPr>
              <w:ind w:left="280"/>
              <w:spacing w:after="0" w:line="169" w:lineRule="exact"/>
              <w:rPr>
                <w:sz w:val="20"/>
                <w:szCs w:val="20"/>
                <w:color w:val="auto"/>
              </w:rPr>
            </w:pPr>
            <w:r>
              <w:rPr>
                <w:rFonts w:ascii="Arial" w:cs="Arial" w:eastAsia="Arial" w:hAnsi="Arial"/>
                <w:sz w:val="15"/>
                <w:szCs w:val="15"/>
                <w:color w:val="auto"/>
              </w:rPr>
              <w:t>Condensed Consolidated Balance Sheets</w:t>
            </w:r>
          </w:p>
        </w:tc>
        <w:tc>
          <w:tcPr>
            <w:tcW w:w="200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Loan Losses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000" w:type="dxa"/>
            <w:vAlign w:val="bottom"/>
            <w:gridSpan w:val="2"/>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Results Summary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 Financial Results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Institutional Counterparty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3.</w:t>
            </w:r>
          </w:p>
        </w:tc>
        <w:tc>
          <w:tcPr>
            <w:tcW w:w="8340" w:type="dxa"/>
            <w:vAlign w:val="bottom"/>
          </w:tcPr>
          <w:p>
            <w:pPr>
              <w:ind w:left="280"/>
              <w:spacing w:after="0"/>
              <w:rPr>
                <w:sz w:val="20"/>
                <w:szCs w:val="20"/>
                <w:color w:val="auto"/>
              </w:rPr>
            </w:pPr>
            <w:r>
              <w:rPr>
                <w:rFonts w:ascii="Arial" w:cs="Arial" w:eastAsia="Arial" w:hAnsi="Arial"/>
                <w:sz w:val="15"/>
                <w:szCs w:val="15"/>
                <w:color w:val="auto"/>
              </w:rPr>
              <w:t>Quantitative and Qualitative Disclosures about Market Risk</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4.</w:t>
            </w:r>
          </w:p>
        </w:tc>
        <w:tc>
          <w:tcPr>
            <w:tcW w:w="8340" w:type="dxa"/>
            <w:vAlign w:val="bottom"/>
          </w:tcPr>
          <w:p>
            <w:pPr>
              <w:ind w:left="280"/>
              <w:spacing w:after="0"/>
              <w:rPr>
                <w:sz w:val="20"/>
                <w:szCs w:val="20"/>
                <w:color w:val="auto"/>
              </w:rPr>
            </w:pPr>
            <w:r>
              <w:rPr>
                <w:rFonts w:ascii="Arial" w:cs="Arial" w:eastAsia="Arial" w:hAnsi="Arial"/>
                <w:sz w:val="15"/>
                <w:szCs w:val="15"/>
                <w:color w:val="auto"/>
              </w:rPr>
              <w:t>Controls and Procedures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Second Quarter 2025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111</w:t>
            </w:r>
          </w:p>
        </w:tc>
      </w:tr>
      <w:tr>
        <w:trPr>
          <w:trHeight w:val="20"/>
        </w:trPr>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111</w:t>
            </w:r>
          </w:p>
        </w:tc>
      </w:tr>
      <w:tr>
        <w:trPr>
          <w:trHeight w:val="20"/>
        </w:trPr>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111</w:t>
            </w:r>
          </w:p>
        </w:tc>
      </w:tr>
      <w:tr>
        <w:trPr>
          <w:trHeight w:val="20"/>
        </w:trPr>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111</w:t>
            </w:r>
          </w:p>
        </w:tc>
      </w:tr>
      <w:tr>
        <w:trPr>
          <w:trHeight w:val="20"/>
        </w:trPr>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Second Quarter 2025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2024 (“2024 Form 10-K”). You can find a “Glossary of Terms Used in This Report” in MD&amp;A in our 2024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and elsewhere in this report and in “Risk Factors” and elsewhere in our 2024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$177.5 billion in liquidity to the mortgage market in the first half of 2025, which enabled the financing of approximately 668,000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and other requirements, we transfer some of our credit risk exposure to third parties through credit risk transfer and mortgage insurance. For a discussion of how we manage credit risk, see “MD&amp;A—Single-Family Business—Single-Family Mortgage Credit Risk Management” and “MD&amp;A—Multifamily Business— Multifamily Mortgage Credit Risk Management” in this report and in our 2024 Form 10-K.</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March 31, 2025 (the latest date for which information is available), Fannie Mae owned or guaranteed an estimated 25% of single-family mortgage debt outstanding and an estimated 21% of multifamily mortgage debt outstanding in the United States.</w:t>
      </w:r>
    </w:p>
    <w:p>
      <w:pPr>
        <w:spacing w:after="0" w:line="3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have been in conservatorship since 2008. The Federal Housing Finance Agency (“FHFA”) is our conservator. During conservatorship, our Board has no fiduciary duties to the company or its stockholders, as they owe their fiduciary duties of care and loyalty solely to FHFA as conservator. Since March 17, 2025, the FHFA Director has served as the Chairman of our Board, and FHFA’s General Counsel has also served as a member of our Board.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“Business—Conservatorship and Treasury Agreements” and “Risk Factors—GSE and Conservatorship Risk” in our 2024 Form 10-K.</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jc w:val="right"/>
        <w:ind w:right="120"/>
        <w:spacing w:after="0"/>
        <w:rPr>
          <w:sz w:val="20"/>
          <w:szCs w:val="20"/>
          <w:color w:val="auto"/>
        </w:rPr>
      </w:pPr>
      <w:r>
        <w:rPr>
          <w:rFonts w:ascii="Arial" w:cs="Arial" w:eastAsia="Arial" w:hAnsi="Arial"/>
          <w:sz w:val="14"/>
          <w:szCs w:val="14"/>
          <w:color w:val="001543"/>
        </w:rPr>
        <w:t>MD&amp;A | 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as of June 30, 2025 and the accompanying notes.</w:t>
      </w:r>
    </w:p>
    <w:p>
      <w:pPr>
        <w:spacing w:after="0" w:line="13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 of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53975</wp:posOffset>
            </wp:positionV>
            <wp:extent cx="5419090" cy="2357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0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Summary of Financial Results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Quarterly Results</w:t>
      </w:r>
    </w:p>
    <w:p>
      <w:pPr>
        <w:spacing w:after="0" w:line="80" w:lineRule="exact"/>
        <w:rPr>
          <w:sz w:val="20"/>
          <w:szCs w:val="20"/>
          <w:color w:val="auto"/>
        </w:rPr>
      </w:pPr>
    </w:p>
    <w:p>
      <w:pPr>
        <w:ind w:left="620" w:right="460" w:hanging="307"/>
        <w:spacing w:after="0" w:line="293"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of $7.2 billion in the second quarter of 2025 decreased by $95 million compared with the second quarter of 2024. Net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net interest income and fee and other income.</w:t>
      </w:r>
    </w:p>
    <w:p>
      <w:pPr>
        <w:spacing w:after="0" w:line="14" w:lineRule="exact"/>
        <w:rPr>
          <w:rFonts w:ascii="Arial" w:cs="Arial" w:eastAsia="Arial" w:hAnsi="Arial"/>
          <w:sz w:val="16"/>
          <w:szCs w:val="16"/>
          <w:color w:val="auto"/>
        </w:rPr>
      </w:pPr>
    </w:p>
    <w:p>
      <w:pPr>
        <w:ind w:left="620" w:right="140" w:hanging="307"/>
        <w:spacing w:after="0" w:line="271"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was $946 million in the second quarter of 2025, which consists of a $737 million single-family provision for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and a $209 million multifamily provision for credit losses. Our single-family provision for credit losses was primarily driven by lower actual and projected home price growth. Our multifamily provision for credit losses was primarily driven by declines in actual and estimated near-term projected multifamily property values as well as new delinquencies during the second quarter.</w:t>
      </w:r>
    </w:p>
    <w:p>
      <w:pPr>
        <w:spacing w:after="0" w:line="32" w:lineRule="exact"/>
        <w:rPr>
          <w:rFonts w:ascii="Arial" w:cs="Arial" w:eastAsia="Arial" w:hAnsi="Arial"/>
          <w:sz w:val="16"/>
          <w:szCs w:val="16"/>
          <w:color w:val="auto"/>
        </w:rPr>
      </w:pPr>
    </w:p>
    <w:p>
      <w:pPr>
        <w:ind w:left="620" w:right="120" w:hanging="307"/>
        <w:spacing w:after="0" w:line="293" w:lineRule="auto"/>
        <w:tabs>
          <w:tab w:leader="none" w:pos="61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of $3.3 billion in the second quarter of 2025 decreased by $1.2 billion compared with the second quarter of 2024, primarily driven by a</w:t>
      </w:r>
      <w:r>
        <w:rPr>
          <w:rFonts w:ascii="Arial" w:cs="Arial" w:eastAsia="Arial" w:hAnsi="Arial"/>
          <w:sz w:val="16"/>
          <w:szCs w:val="16"/>
          <w:i w:val="1"/>
          <w:iCs w:val="1"/>
          <w:color w:val="auto"/>
        </w:rPr>
        <w:t xml:space="preserve"> </w:t>
      </w:r>
      <w:r>
        <w:rPr>
          <w:rFonts w:ascii="Arial" w:cs="Arial" w:eastAsia="Arial" w:hAnsi="Arial"/>
          <w:sz w:val="16"/>
          <w:szCs w:val="16"/>
          <w:color w:val="auto"/>
        </w:rPr>
        <w:t>$1.2 billion shift from a benefit for credit losses to a provision for credit losses.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Year-to-Date Results</w:t>
      </w:r>
    </w:p>
    <w:p>
      <w:pPr>
        <w:spacing w:after="0" w:line="80"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of $14.3 billion in the first half of 2025 decreased by $105 million compared with the first half of 2024.</w:t>
      </w:r>
    </w:p>
    <w:p>
      <w:pPr>
        <w:spacing w:after="0" w:line="86" w:lineRule="exact"/>
        <w:rPr>
          <w:rFonts w:ascii="Arial" w:cs="Arial" w:eastAsia="Arial" w:hAnsi="Arial"/>
          <w:sz w:val="16"/>
          <w:szCs w:val="16"/>
          <w:color w:val="auto"/>
        </w:rPr>
      </w:pPr>
    </w:p>
    <w:p>
      <w:pPr>
        <w:ind w:left="620" w:right="200" w:hanging="307"/>
        <w:spacing w:after="0" w:line="281" w:lineRule="auto"/>
        <w:tabs>
          <w:tab w:leader="none" w:pos="61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was $970 million in the first half of 2025, which consists of a $761 million single-family provision for credit losses and a</w:t>
      </w:r>
      <w:r>
        <w:rPr>
          <w:rFonts w:ascii="Arial" w:cs="Arial" w:eastAsia="Arial" w:hAnsi="Arial"/>
          <w:sz w:val="16"/>
          <w:szCs w:val="16"/>
          <w:i w:val="1"/>
          <w:iCs w:val="1"/>
          <w:color w:val="auto"/>
        </w:rPr>
        <w:t xml:space="preserve"> </w:t>
      </w:r>
      <w:r>
        <w:rPr>
          <w:rFonts w:ascii="Arial" w:cs="Arial" w:eastAsia="Arial" w:hAnsi="Arial"/>
          <w:sz w:val="16"/>
          <w:szCs w:val="16"/>
          <w:color w:val="auto"/>
        </w:rPr>
        <w:t>$209 million multifamily provision for credit losses. Our single-family and multifamily provisions for credit losses for the first half of the year were driven by the same factors that drove our second quarter 2025 single-family and multifamily provisions described above.</w:t>
      </w:r>
    </w:p>
    <w:p>
      <w:pPr>
        <w:spacing w:after="0" w:line="24" w:lineRule="exact"/>
        <w:rPr>
          <w:rFonts w:ascii="Arial" w:cs="Arial" w:eastAsia="Arial" w:hAnsi="Arial"/>
          <w:sz w:val="16"/>
          <w:szCs w:val="16"/>
          <w:color w:val="auto"/>
        </w:rPr>
      </w:pPr>
    </w:p>
    <w:p>
      <w:pPr>
        <w:ind w:left="620" w:right="340" w:hanging="307"/>
        <w:spacing w:after="0" w:line="293" w:lineRule="auto"/>
        <w:tabs>
          <w:tab w:leader="none" w:pos="612"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of $7.0 billion in the first half of 2025 decreased by $1.8 billion compared with the first half of 2024, primarily driven by a $1.5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shift from a benefit for credit losses to a provision for credit losses and a $593 million decrease in fair value gains.</w:t>
      </w:r>
    </w:p>
    <w:p>
      <w:pPr>
        <w:spacing w:after="0" w:line="14" w:lineRule="exact"/>
        <w:rPr>
          <w:rFonts w:ascii="Arial" w:cs="Arial" w:eastAsia="Arial" w:hAnsi="Arial"/>
          <w:sz w:val="16"/>
          <w:szCs w:val="16"/>
          <w:i w:val="1"/>
          <w:iCs w:val="1"/>
          <w:color w:val="auto"/>
        </w:rPr>
      </w:pPr>
    </w:p>
    <w:p>
      <w:pPr>
        <w:ind w:left="620" w:right="580" w:hanging="307"/>
        <w:spacing w:after="0" w:line="293" w:lineRule="auto"/>
        <w:tabs>
          <w:tab w:leader="none" w:pos="61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by $7.0 billion in the first half of 2025 to $101.6 billion as of June 30, 2025. The increase is attributable to $7.0 billion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for the first half of 2025.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This section updates and supplements information regarding legislative, regulatory, conservatorship and other related matters affecting our business set forth in “Business—Conservatorship and Treasury Agreements” and “Business—Legislation and Regulation” in our 2024 Form 10-K, as well as in “MD&amp;A— Legislation and Regulation” in our Form 10-Q for the quarter ended March 31, 2025 (“First Quarter 2025 Form 10-Q”). Also see “Risk Factors” in our 2024 Form 10-K for discussions of risks relating to legislative and regulatory matters.</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Administration Comments Regarding Our Future</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recent months, the Administration has made public comments suggesting it is considering various options for the future of Fannie Mae and Freddie Mac. We cannot predict the likelihood, timing or nature of administrative or legislative actions relating to our future. See “Risk Factors—GSE and Conservatorship Risk” in our 2024 Form 10-K for a discussion of risks relating to our uncertain future.</w:t>
      </w:r>
    </w:p>
    <w:p>
      <w:pPr>
        <w:spacing w:after="0" w:line="14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6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“MD&amp;A—Key Market Economic Indicators” in our 2024 Form 10-K, we discuss how varying macroeconomic conditions can influence our financial results across different business and economic environments, and we provide forecasts and expectations with respect to some of these macroeconomic conditions. Below we provide an update to these forecasts and expectations, as well as updates to certain macroeconomic information. Our forecasts and expectations are based on many assumptions, subject to many uncertainties and may change, perhaps substantially, from our current forecasts and expectations. See “Risk Factors” in our 2024 Form 10-K and “Forward-Looking Statements” in this report for a discussion of factors that could cause actual results to differ materially from our current forecasts and expectations.</w:t>
      </w:r>
    </w:p>
    <w:p>
      <w:pPr>
        <w:spacing w:after="0" w:line="8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Interest Rates</w:t>
      </w:r>
    </w:p>
    <w:p>
      <w:pPr>
        <w:spacing w:after="0" w:line="10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Selected Market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2160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100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40" w:right="180" w:hanging="237"/>
        <w:spacing w:after="0" w:line="275" w:lineRule="auto"/>
        <w:tabs>
          <w:tab w:leader="none" w:pos="233" w:val="left"/>
        </w:tabs>
        <w:numPr>
          <w:ilvl w:val="0"/>
          <w:numId w:val="5"/>
        </w:numPr>
        <w:rPr>
          <w:rFonts w:ascii="Arial" w:cs="Arial" w:eastAsia="Arial" w:hAnsi="Arial"/>
          <w:sz w:val="9"/>
          <w:szCs w:val="9"/>
          <w:color w:val="auto"/>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8"/>
          <w:szCs w:val="8"/>
          <w:color w:val="auto"/>
        </w:rPr>
        <w:t>®</w:t>
      </w:r>
      <w:r>
        <w:rPr>
          <w:rFonts w:ascii="Arial" w:cs="Arial" w:eastAsia="Arial" w:hAnsi="Arial"/>
          <w:sz w:val="14"/>
          <w:szCs w:val="14"/>
          <w:color w:val="auto"/>
        </w:rPr>
        <w:t>. These rates are reported using the latest available data for a given period.</w:t>
      </w:r>
    </w:p>
    <w:p>
      <w:pPr>
        <w:ind w:left="220" w:hanging="217"/>
        <w:spacing w:after="0"/>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According to Bloomberg.</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Refers to the daily rate per the Federal Reserve Bank of New York.</w:t>
      </w:r>
    </w:p>
    <w:p>
      <w:pPr>
        <w:spacing w:after="0" w:line="7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U.S. weekly average 30-year fixed-rate mortgage rate increased to 6.77% at the end of the second quarter of 2025, compared to 6.65% at the end of the first quarter of 2025, but decreased from 6.85% at the end of the fourth quarter of 2024.</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Quarterly Home Price Growth (Decline)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119380</wp:posOffset>
            </wp:positionV>
            <wp:extent cx="5501005" cy="1137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1005"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right="200" w:hanging="237"/>
        <w:spacing w:after="0" w:line="259" w:lineRule="auto"/>
        <w:tabs>
          <w:tab w:leader="none" w:pos="233" w:val="left"/>
        </w:tabs>
        <w:numPr>
          <w:ilvl w:val="0"/>
          <w:numId w:val="6"/>
        </w:numPr>
        <w:rPr>
          <w:rFonts w:ascii="Arial" w:cs="Arial" w:eastAsia="Arial" w:hAnsi="Arial"/>
          <w:sz w:val="9"/>
          <w:szCs w:val="9"/>
          <w:color w:val="auto"/>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51"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Home prices on a national basis grew by an estimated 3.6% in the first half of 2025. We expect home price growth of 2.8% on a national basis for the full year of 2025. We also expect regional variation in the timing and rate of home price changes.</w:t>
      </w:r>
    </w:p>
    <w:p>
      <w:pPr>
        <w:spacing w:after="0" w:line="4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and Unemployment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1800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100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Real GDP growth (decline) is based on the quarterly series calculated by the Bureau of Economic Analysis and is subject to revision.</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According to the U.S. Bureau of Labor Statistics and subject to revision.</w:t>
      </w:r>
    </w:p>
    <w:p>
      <w:pPr>
        <w:spacing w:after="0" w:line="7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U.S. gross domestic product ("GDP") declined by 0.5% in the first quarter of 2025. Bureau of Economic Analysis GDP data for the second quarter of 2025 was not available at the time of filing this report. Despite the decline in GDP in the first quarter of 2025, we expect GDP will grow for the full year of 2025, but at a slower pace than in 2024. The unemployment rate decreased to 4.1% in the second quarter of 2025, compared with 4.2% in the first quarter of 2025. We expect the unemployment rate to increase modestly by the end of 2025.</w:t>
      </w:r>
    </w:p>
    <w:p>
      <w:pPr>
        <w:spacing w:after="0" w:line="4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impact of trade, fiscal, regulatory and immigration policies is uncertain and could materially impact our outlook for interest rates, home price growth and economic growth. See “Risk Factors—Market and Industry Risk” and “Risk Factors—Credit Risk” in our 2024 Form 10-K for further discussion of risks to our business and financial results associated with these factors.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80" w:type="dxa"/>
            <w:vAlign w:val="bottom"/>
            <w:tcBorders>
              <w:bottom w:val="single" w:sz="8" w:color="9A9A9A"/>
            </w:tcBorders>
          </w:tcPr>
          <w:p>
            <w:pPr>
              <w:spacing w:after="0"/>
              <w:rPr>
                <w:sz w:val="16"/>
                <w:szCs w:val="16"/>
                <w:color w:val="auto"/>
              </w:rPr>
            </w:pPr>
          </w:p>
        </w:tc>
        <w:tc>
          <w:tcPr>
            <w:tcW w:w="4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Six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486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(1)</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7,155</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7,268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14,156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14,291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08"/>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86</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170</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r>
      <w:tr>
        <w:trPr>
          <w:trHeight w:val="198"/>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7,241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14,326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14,431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(1,450)</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(593)</w:t>
            </w:r>
          </w:p>
        </w:tc>
      </w:tr>
      <w:tr>
        <w:trPr>
          <w:trHeight w:val="20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486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Administrative expenses</w:t>
            </w:r>
            <w:r>
              <w:rPr>
                <w:rFonts w:ascii="Arial" w:cs="Arial" w:eastAsia="Arial" w:hAnsi="Arial"/>
                <w:sz w:val="20"/>
                <w:szCs w:val="20"/>
                <w:color w:val="auto"/>
                <w:vertAlign w:val="superscript"/>
              </w:rPr>
              <w:t>(2)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06"/>
        </w:trPr>
        <w:tc>
          <w:tcPr>
            <w:tcW w:w="486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Legislative assessments</w:t>
            </w:r>
            <w:r>
              <w:rPr>
                <w:rFonts w:ascii="Arial" w:cs="Arial" w:eastAsia="Arial" w:hAnsi="Arial"/>
                <w:sz w:val="20"/>
                <w:szCs w:val="20"/>
                <w:color w:val="auto"/>
                <w:vertAlign w:val="superscript"/>
              </w:rPr>
              <w:t>(3)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6"/>
        </w:trPr>
        <w:tc>
          <w:tcPr>
            <w:tcW w:w="486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08"/>
        </w:trPr>
        <w:tc>
          <w:tcPr>
            <w:tcW w:w="4760" w:type="dxa"/>
            <w:vAlign w:val="bottom"/>
            <w:tcBorders>
              <w:bottom w:val="single" w:sz="8" w:color="2C6937"/>
            </w:tcBorders>
          </w:tcPr>
          <w:p>
            <w:pPr>
              <w:ind w:left="120"/>
              <w:spacing w:after="0" w:line="207"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20"/>
                <w:szCs w:val="20"/>
                <w:color w:val="auto"/>
                <w:vertAlign w:val="superscript"/>
              </w:rPr>
              <w:t>(5)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(158)</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(356)</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w:t>
            </w:r>
          </w:p>
        </w:tc>
      </w:tr>
      <w:tr>
        <w:trPr>
          <w:trHeight w:val="199"/>
        </w:trPr>
        <w:tc>
          <w:tcPr>
            <w:tcW w:w="47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(2,344)</w:t>
            </w:r>
          </w:p>
        </w:tc>
        <w:tc>
          <w:tcPr>
            <w:tcW w:w="8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(2,417)</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(4,944)</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(4,761)</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(183)</w:t>
            </w:r>
          </w:p>
        </w:tc>
      </w:tr>
      <w:tr>
        <w:trPr>
          <w:trHeight w:val="19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4,154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5,604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8,738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11,037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(2,299)</w:t>
            </w:r>
          </w:p>
        </w:tc>
      </w:tr>
      <w:tr>
        <w:trPr>
          <w:trHeight w:val="208"/>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(837)</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(1,120)</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(1,760)</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(2,233)</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473</w:t>
            </w:r>
          </w:p>
        </w:tc>
      </w:tr>
      <w:tr>
        <w:trPr>
          <w:trHeight w:val="199"/>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3,317</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4,484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6,978</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8,804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(1,826)</w:t>
            </w:r>
          </w:p>
        </w:tc>
      </w:tr>
      <w:tr>
        <w:trPr>
          <w:trHeight w:val="20"/>
        </w:trPr>
        <w:tc>
          <w:tcPr>
            <w:tcW w:w="4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3,324</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4,477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6,979</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8,801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(1,822)</w:t>
            </w:r>
          </w:p>
        </w:tc>
      </w:tr>
    </w:tbl>
    <w:p>
      <w:pPr>
        <w:spacing w:after="0" w:line="114" w:lineRule="exact"/>
        <w:rPr>
          <w:sz w:val="20"/>
          <w:szCs w:val="20"/>
          <w:color w:val="auto"/>
        </w:rPr>
      </w:pPr>
    </w:p>
    <w:p>
      <w:pPr>
        <w:ind w:left="240" w:right="180" w:hanging="237"/>
        <w:spacing w:after="0" w:line="244" w:lineRule="auto"/>
        <w:tabs>
          <w:tab w:leader="none" w:pos="233"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Includes net interest income generated by the 10 basis point guaranty fee increase we implemented pursuant to the Temporary Payroll Tax Cut Continuation Act of 2011 (“TCCA”), and as extended by the Infrastructure Investment and Jobs Act, which is paid to Treasury and not retained by us. We refer to this as TCCA fees, or income related to TCCA.</w:t>
      </w:r>
    </w:p>
    <w:p>
      <w:pPr>
        <w:ind w:left="220" w:hanging="217"/>
        <w:spacing w:after="0"/>
        <w:tabs>
          <w:tab w:leader="none" w:pos="2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Consists of TCCA fees, affordable housing allocations and FHFA assessments.</w:t>
      </w:r>
    </w:p>
    <w:p>
      <w:pPr>
        <w:spacing w:after="0" w:line="25" w:lineRule="exact"/>
        <w:rPr>
          <w:rFonts w:ascii="Arial" w:cs="Arial" w:eastAsia="Arial" w:hAnsi="Arial"/>
          <w:sz w:val="18"/>
          <w:szCs w:val="18"/>
          <w:color w:val="auto"/>
          <w:vertAlign w:val="superscript"/>
        </w:rPr>
      </w:pPr>
    </w:p>
    <w:p>
      <w:pPr>
        <w:ind w:left="240" w:right="20" w:hanging="237"/>
        <w:spacing w:after="0" w:line="260" w:lineRule="auto"/>
        <w:tabs>
          <w:tab w:leader="none" w:pos="233" w:val="left"/>
        </w:tabs>
        <w:numPr>
          <w:ilvl w:val="0"/>
          <w:numId w:val="8"/>
        </w:numPr>
        <w:rPr>
          <w:rFonts w:ascii="Arial" w:cs="Arial" w:eastAsia="Arial" w:hAnsi="Arial"/>
          <w:sz w:val="9"/>
          <w:szCs w:val="9"/>
          <w:color w:val="auto"/>
        </w:rPr>
      </w:pPr>
      <w:r>
        <w:rPr>
          <w:rFonts w:ascii="Arial" w:cs="Arial" w:eastAsia="Arial" w:hAnsi="Arial"/>
          <w:sz w:val="13"/>
          <w:szCs w:val="13"/>
          <w:color w:val="auto"/>
        </w:rPr>
        <w:t>Single-family credit enhancement expense 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3"/>
          <w:szCs w:val="13"/>
          <w:color w:val="auto"/>
        </w:rPr>
        <w:t xml:space="preserve"> (“CAS”) and Credit Insurance Risk Transfer™ (“CIRT</w:t>
      </w:r>
      <w:r>
        <w:rPr>
          <w:rFonts w:ascii="Arial" w:cs="Arial" w:eastAsia="Arial" w:hAnsi="Arial"/>
          <w:sz w:val="8"/>
          <w:szCs w:val="8"/>
          <w:color w:val="auto"/>
        </w:rPr>
        <w:t>TM</w:t>
      </w:r>
      <w:r>
        <w:rPr>
          <w:rFonts w:ascii="Arial" w:cs="Arial" w:eastAsia="Arial" w:hAnsi="Arial"/>
          <w:sz w:val="13"/>
          <w:szCs w:val="13"/>
          <w:color w:val="auto"/>
        </w:rPr>
        <w:t>”) programs, enterprise-paid mortgage insurance (“EPMI”) and certain lender risk-sharing programs. Multifamily credit enhancement expense primarily consists of costs associated with our Multifamily CIRT</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(“MCIRT</w:t>
      </w:r>
      <w:r>
        <w:rPr>
          <w:rFonts w:ascii="Arial" w:cs="Arial" w:eastAsia="Arial" w:hAnsi="Arial"/>
          <w:sz w:val="16"/>
          <w:szCs w:val="16"/>
          <w:color w:val="auto"/>
          <w:vertAlign w:val="superscript"/>
        </w:rPr>
        <w:t>TM</w:t>
      </w:r>
      <w:r>
        <w:rPr>
          <w:rFonts w:ascii="Arial" w:cs="Arial" w:eastAsia="Arial" w:hAnsi="Arial"/>
          <w:sz w:val="13"/>
          <w:szCs w:val="13"/>
          <w:color w:val="auto"/>
        </w:rPr>
        <w:t>”) and Multifamily CAS (“MCAS</w:t>
      </w:r>
      <w:r>
        <w:rPr>
          <w:rFonts w:ascii="Arial" w:cs="Arial" w:eastAsia="Arial" w:hAnsi="Arial"/>
          <w:sz w:val="16"/>
          <w:szCs w:val="16"/>
          <w:color w:val="auto"/>
          <w:vertAlign w:val="superscript"/>
        </w:rPr>
        <w:t>TM</w:t>
      </w:r>
      <w:r>
        <w:rPr>
          <w:rFonts w:ascii="Arial" w:cs="Arial" w:eastAsia="Arial" w:hAnsi="Arial"/>
          <w:sz w:val="13"/>
          <w:szCs w:val="13"/>
          <w:color w:val="auto"/>
        </w:rPr>
        <w:t>”) programs as well as amortization expense for certain lender risk-sharing programs. Excludes CAS transactions accounted for as debt instruments and credit risk transfer programs accounted for as derivative instruments.</w:t>
      </w:r>
    </w:p>
    <w:p>
      <w:pPr>
        <w:spacing w:after="0" w:line="11" w:lineRule="exact"/>
        <w:rPr>
          <w:rFonts w:ascii="Arial" w:cs="Arial" w:eastAsia="Arial" w:hAnsi="Arial"/>
          <w:sz w:val="9"/>
          <w:szCs w:val="9"/>
          <w:color w:val="auto"/>
        </w:rPr>
      </w:pPr>
    </w:p>
    <w:p>
      <w:pPr>
        <w:ind w:left="240" w:right="360" w:hanging="237"/>
        <w:spacing w:after="0" w:line="218"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and losses from partnership investments.</w:t>
      </w:r>
    </w:p>
    <w:p>
      <w:pPr>
        <w:spacing w:after="0" w:line="9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10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“MD&amp;A—Consolidated Results of Operations—Net Interest Income” in our 2024 Form 10-K for information about the sources of our net interest income.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Borders>
              <w:top w:val="single" w:sz="8" w:color="2C6937"/>
            </w:tcBorders>
          </w:tcPr>
          <w:p>
            <w:pPr>
              <w:spacing w:after="0"/>
              <w:rPr>
                <w:sz w:val="15"/>
                <w:szCs w:val="15"/>
                <w:color w:val="auto"/>
              </w:rPr>
            </w:pPr>
          </w:p>
        </w:tc>
        <w:tc>
          <w:tcPr>
            <w:tcW w:w="222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Three Months Ended</w:t>
            </w:r>
          </w:p>
        </w:tc>
        <w:tc>
          <w:tcPr>
            <w:tcW w:w="1260" w:type="dxa"/>
            <w:vAlign w:val="bottom"/>
            <w:tcBorders>
              <w:top w:val="single" w:sz="8" w:color="2C6937"/>
            </w:tcBorders>
          </w:tcPr>
          <w:p>
            <w:pPr>
              <w:spacing w:after="0"/>
              <w:rPr>
                <w:sz w:val="15"/>
                <w:szCs w:val="15"/>
                <w:color w:val="auto"/>
              </w:rPr>
            </w:pPr>
          </w:p>
        </w:tc>
        <w:tc>
          <w:tcPr>
            <w:tcW w:w="222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Six Months Ended</w:t>
            </w:r>
          </w:p>
        </w:tc>
        <w:tc>
          <w:tcPr>
            <w:tcW w:w="1160" w:type="dxa"/>
            <w:vAlign w:val="bottom"/>
            <w:tcBorders>
              <w:top w:val="single" w:sz="8" w:color="2C6937"/>
            </w:tcBorders>
          </w:tcPr>
          <w:p>
            <w:pPr>
              <w:spacing w:after="0"/>
              <w:rPr>
                <w:sz w:val="15"/>
                <w:szCs w:val="15"/>
                <w:color w:val="auto"/>
              </w:rPr>
            </w:pPr>
          </w:p>
        </w:tc>
      </w:tr>
      <w:tr>
        <w:trPr>
          <w:trHeight w:val="206"/>
        </w:trPr>
        <w:tc>
          <w:tcPr>
            <w:tcW w:w="4380" w:type="dxa"/>
            <w:vAlign w:val="bottom"/>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663"/>
              <w:spacing w:after="0"/>
              <w:rPr>
                <w:sz w:val="20"/>
                <w:szCs w:val="20"/>
                <w:color w:val="auto"/>
              </w:rPr>
            </w:pPr>
            <w:r>
              <w:rPr>
                <w:rFonts w:ascii="Arial" w:cs="Arial" w:eastAsia="Arial" w:hAnsi="Arial"/>
                <w:sz w:val="15"/>
                <w:szCs w:val="15"/>
                <w:b w:val="1"/>
                <w:bCs w:val="1"/>
                <w:color w:val="auto"/>
              </w:rPr>
              <w:t>June 30,</w:t>
            </w:r>
          </w:p>
        </w:tc>
        <w:tc>
          <w:tcPr>
            <w:tcW w:w="1260" w:type="dxa"/>
            <w:vAlign w:val="bottom"/>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663"/>
              <w:spacing w:after="0"/>
              <w:rPr>
                <w:sz w:val="20"/>
                <w:szCs w:val="20"/>
                <w:color w:val="auto"/>
              </w:rPr>
            </w:pPr>
            <w:r>
              <w:rPr>
                <w:rFonts w:ascii="Arial" w:cs="Arial" w:eastAsia="Arial" w:hAnsi="Arial"/>
                <w:sz w:val="15"/>
                <w:szCs w:val="15"/>
                <w:b w:val="1"/>
                <w:bCs w:val="1"/>
                <w:color w:val="auto"/>
              </w:rPr>
              <w:t>June 30,</w:t>
            </w:r>
          </w:p>
        </w:tc>
        <w:tc>
          <w:tcPr>
            <w:tcW w:w="1160" w:type="dxa"/>
            <w:vAlign w:val="bottom"/>
          </w:tcPr>
          <w:p>
            <w:pPr>
              <w:spacing w:after="0"/>
              <w:rPr>
                <w:sz w:val="17"/>
                <w:szCs w:val="17"/>
                <w:color w:val="auto"/>
              </w:rPr>
            </w:pPr>
          </w:p>
        </w:tc>
      </w:tr>
      <w:tr>
        <w:trPr>
          <w:trHeight w:val="199"/>
        </w:trPr>
        <w:tc>
          <w:tcPr>
            <w:tcW w:w="4380" w:type="dxa"/>
            <w:vAlign w:val="bottom"/>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148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260" w:type="dxa"/>
            <w:vAlign w:val="bottom"/>
            <w:tcBorders>
              <w:bottom w:val="single" w:sz="8" w:color="2C6937"/>
            </w:tcBorders>
          </w:tcPr>
          <w:p>
            <w:pPr>
              <w:ind w:left="300"/>
              <w:spacing w:after="0"/>
              <w:rPr>
                <w:sz w:val="20"/>
                <w:szCs w:val="20"/>
                <w:color w:val="auto"/>
              </w:rPr>
            </w:pPr>
            <w:r>
              <w:rPr>
                <w:rFonts w:ascii="Arial" w:cs="Arial" w:eastAsia="Arial" w:hAnsi="Arial"/>
                <w:sz w:val="15"/>
                <w:szCs w:val="15"/>
                <w:b w:val="1"/>
                <w:bCs w:val="1"/>
                <w:color w:val="auto"/>
              </w:rPr>
              <w:t>Variance</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148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160" w:type="dxa"/>
            <w:vAlign w:val="bottom"/>
            <w:tcBorders>
              <w:bottom w:val="single" w:sz="8" w:color="2C6937"/>
            </w:tcBorders>
          </w:tcPr>
          <w:p>
            <w:pPr>
              <w:ind w:left="320"/>
              <w:spacing w:after="0"/>
              <w:rPr>
                <w:sz w:val="20"/>
                <w:szCs w:val="20"/>
                <w:color w:val="auto"/>
              </w:rPr>
            </w:pPr>
            <w:r>
              <w:rPr>
                <w:rFonts w:ascii="Arial" w:cs="Arial" w:eastAsia="Arial" w:hAnsi="Arial"/>
                <w:sz w:val="15"/>
                <w:szCs w:val="15"/>
                <w:b w:val="1"/>
                <w:bCs w:val="1"/>
                <w:color w:val="auto"/>
              </w:rPr>
              <w:t>Variance</w:t>
            </w:r>
          </w:p>
        </w:tc>
      </w:tr>
    </w:tbl>
    <w:p>
      <w:pPr>
        <w:spacing w:after="0" w:line="89" w:lineRule="exact"/>
        <w:rPr>
          <w:sz w:val="20"/>
          <w:szCs w:val="20"/>
          <w:color w:val="auto"/>
        </w:rPr>
      </w:pPr>
    </w:p>
    <w:p>
      <w:pPr>
        <w:ind w:left="7100"/>
        <w:spacing w:after="0"/>
        <w:rPr>
          <w:sz w:val="20"/>
          <w:szCs w:val="20"/>
          <w:color w:val="auto"/>
        </w:rPr>
      </w:pPr>
      <w:r>
        <w:rPr>
          <w:rFonts w:ascii="Arial" w:cs="Arial" w:eastAsia="Arial" w:hAnsi="Arial"/>
          <w:sz w:val="15"/>
          <w:szCs w:val="15"/>
          <w:b w:val="1"/>
          <w:bCs w:val="1"/>
          <w:color w:val="auto"/>
        </w:rPr>
        <w:t>(Dollars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interest income from guaranty book of business: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5"/>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excluding TCCA</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4,229</w:t>
            </w:r>
          </w:p>
        </w:tc>
        <w:tc>
          <w:tcPr>
            <w:tcW w:w="100" w:type="dxa"/>
            <w:vAlign w:val="bottom"/>
          </w:tcPr>
          <w:p>
            <w:pPr>
              <w:spacing w:after="0"/>
              <w:rPr>
                <w:sz w:val="21"/>
                <w:szCs w:val="21"/>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4,108</w:t>
            </w:r>
          </w:p>
        </w:tc>
        <w:tc>
          <w:tcPr>
            <w:tcW w:w="10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21"/>
                <w:szCs w:val="21"/>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8,431</w:t>
            </w:r>
          </w:p>
        </w:tc>
        <w:tc>
          <w:tcPr>
            <w:tcW w:w="100" w:type="dxa"/>
            <w:vAlign w:val="bottom"/>
          </w:tcPr>
          <w:p>
            <w:pPr>
              <w:spacing w:after="0"/>
              <w:rPr>
                <w:sz w:val="21"/>
                <w:szCs w:val="21"/>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8,198</w:t>
            </w:r>
          </w:p>
        </w:tc>
        <w:tc>
          <w:tcPr>
            <w:tcW w:w="10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233</w:t>
            </w:r>
          </w:p>
        </w:tc>
      </w:tr>
      <w:tr>
        <w:trPr>
          <w:trHeight w:val="224"/>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p>
        </w:tc>
        <w:tc>
          <w:tcPr>
            <w:tcW w:w="34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1,715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1,719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8"/>
        </w:trPr>
        <w:tc>
          <w:tcPr>
            <w:tcW w:w="4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806</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867</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1,602</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1,644</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w:t>
            </w:r>
          </w:p>
        </w:tc>
      </w:tr>
      <w:tr>
        <w:trPr>
          <w:trHeight w:val="309"/>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5,891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5,834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11,748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11,561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317"/>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(1)</w:t>
            </w: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1,431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1,646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2,753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3,193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(440)</w:t>
            </w:r>
          </w:p>
        </w:tc>
      </w:tr>
      <w:tr>
        <w:trPr>
          <w:trHeight w:val="218"/>
        </w:trPr>
        <w:tc>
          <w:tcPr>
            <w:tcW w:w="4280" w:type="dxa"/>
            <w:vAlign w:val="bottom"/>
            <w:tcBorders>
              <w:bottom w:val="single" w:sz="8" w:color="2C6937"/>
            </w:tcBorders>
          </w:tcPr>
          <w:p>
            <w:pPr>
              <w:ind w:left="20"/>
              <w:spacing w:after="0" w:line="218" w:lineRule="exact"/>
              <w:rPr>
                <w:sz w:val="20"/>
                <w:szCs w:val="20"/>
                <w:color w:val="auto"/>
              </w:rPr>
            </w:pPr>
            <w:r>
              <w:rPr>
                <w:rFonts w:ascii="Arial" w:cs="Arial" w:eastAsia="Arial" w:hAnsi="Arial"/>
                <w:sz w:val="15"/>
                <w:szCs w:val="15"/>
                <w:color w:val="auto"/>
              </w:rPr>
              <w:t>Income (expense) from hedge accounting</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(167)</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(345)</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(463)</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118</w:t>
            </w:r>
          </w:p>
        </w:tc>
      </w:tr>
      <w:tr>
        <w:trPr>
          <w:trHeight w:val="277"/>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7,155</w:t>
            </w:r>
          </w:p>
        </w:tc>
        <w:tc>
          <w:tcPr>
            <w:tcW w:w="1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7,268</w:t>
            </w:r>
          </w:p>
        </w:tc>
        <w:tc>
          <w:tcPr>
            <w:tcW w:w="100" w:type="dxa"/>
            <w:vAlign w:val="bottom"/>
          </w:tcPr>
          <w:p>
            <w:pPr>
              <w:spacing w:after="0"/>
              <w:rPr>
                <w:sz w:val="24"/>
                <w:szCs w:val="24"/>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14,156</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14,291</w:t>
            </w:r>
          </w:p>
        </w:tc>
        <w:tc>
          <w:tcPr>
            <w:tcW w:w="100" w:type="dxa"/>
            <w:vAlign w:val="bottom"/>
          </w:tcPr>
          <w:p>
            <w:pPr>
              <w:spacing w:after="0"/>
              <w:rPr>
                <w:sz w:val="24"/>
                <w:szCs w:val="24"/>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0"/>
        </w:trPr>
        <w:tc>
          <w:tcPr>
            <w:tcW w:w="4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0" w:hanging="237"/>
        <w:spacing w:after="0" w:line="218"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 including outstanding CAS debt.</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
        </w:numPr>
        <w:rPr>
          <w:rFonts w:ascii="Arial" w:cs="Arial" w:eastAsia="Arial" w:hAnsi="Arial"/>
          <w:sz w:val="9"/>
          <w:szCs w:val="9"/>
          <w:color w:val="auto"/>
        </w:rPr>
      </w:pPr>
      <w:r>
        <w:rPr>
          <w:rFonts w:ascii="Arial" w:cs="Arial" w:eastAsia="Arial" w:hAnsi="Arial"/>
          <w:sz w:val="14"/>
          <w:szCs w:val="14"/>
          <w:color w:val="auto"/>
        </w:rPr>
        <w:t>For more information about our hedge accounting program, see “Note 9, Derivative Instruments.”</w:t>
      </w:r>
    </w:p>
    <w:p>
      <w:pPr>
        <w:spacing w:after="0" w:line="7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Net interest income decreased by $113 million in the second quarter of 2025 compared with the second quarter of 2024, and by $135 million in the first half of 2025 compared with the first half of 2024, primarily driven by lower net interest income from portfolios, partially offset by higher base guaranty fee income.</w:t>
      </w:r>
    </w:p>
    <w:p>
      <w:pPr>
        <w:spacing w:after="0" w:line="236" w:lineRule="exact"/>
        <w:rPr>
          <w:sz w:val="20"/>
          <w:szCs w:val="20"/>
          <w:color w:val="auto"/>
        </w:rPr>
      </w:pPr>
    </w:p>
    <w:p>
      <w:pPr>
        <w:ind w:left="620" w:right="160" w:hanging="307"/>
        <w:spacing w:after="0" w:line="272"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Lower net interest income from portfolios. </w:t>
      </w:r>
      <w:r>
        <w:rPr>
          <w:rFonts w:ascii="Arial" w:cs="Arial" w:eastAsia="Arial" w:hAnsi="Arial"/>
          <w:sz w:val="16"/>
          <w:szCs w:val="16"/>
          <w:color w:val="auto"/>
        </w:rPr>
        <w:t>Lower net interest income from portfolios in the second quarter and first half of 2025 compared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and first half of 2024 was primarily driven by higher average rates on our long-term funding debt as we issued debt in a higher-interest rate environment relative to maturing long-term debt.</w:t>
      </w:r>
    </w:p>
    <w:p>
      <w:pPr>
        <w:spacing w:after="0" w:line="31" w:lineRule="exact"/>
        <w:rPr>
          <w:rFonts w:ascii="Arial" w:cs="Arial" w:eastAsia="Arial" w:hAnsi="Arial"/>
          <w:sz w:val="16"/>
          <w:szCs w:val="16"/>
          <w:color w:val="auto"/>
        </w:rPr>
      </w:pPr>
    </w:p>
    <w:p>
      <w:pPr>
        <w:ind w:left="620" w:right="120" w:hanging="307"/>
        <w:spacing w:after="0" w:line="293"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Higher base guaranty fee income. </w:t>
      </w:r>
      <w:r>
        <w:rPr>
          <w:rFonts w:ascii="Arial" w:cs="Arial" w:eastAsia="Arial" w:hAnsi="Arial"/>
          <w:sz w:val="16"/>
          <w:szCs w:val="16"/>
          <w:color w:val="auto"/>
        </w:rPr>
        <w:t>Higher base guaranty fee income in the second quarter and first half of 2025 compared with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and first half of 2024 was primarily driven by higher average guaranty fees on recent single-family acquisitions.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As shown in the chart below (on the left), most of our single-family conventional guaranty book of business as of June 30, 2025 had an interest rate lower than the U.S. weekly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June 26, 2025, the U.S. weekly average interest rate for a single-family 30-year fixed-rate mortgage was 6.77%. Accordingly, even if interest rates decline meaningfully, most of the borrowers whose mortgage loans are in our single-family conventional guaranty book of business still would not be incentivized to refinance.</w:t>
      </w:r>
    </w:p>
    <w:p>
      <w:pPr>
        <w:spacing w:after="0" w:line="5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2024 Form 10-K.</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80" w:type="dxa"/>
            <w:vAlign w:val="bottom"/>
          </w:tcPr>
          <w:p>
            <w:pPr>
              <w:jc w:val="center"/>
              <w:ind w:right="466"/>
              <w:spacing w:after="0"/>
              <w:rPr>
                <w:sz w:val="20"/>
                <w:szCs w:val="20"/>
                <w:color w:val="auto"/>
              </w:rPr>
            </w:pPr>
            <w:r>
              <w:rPr>
                <w:rFonts w:ascii="Georgia" w:cs="Georgia" w:eastAsia="Georgia" w:hAnsi="Georgia"/>
                <w:sz w:val="19"/>
                <w:szCs w:val="19"/>
                <w:b w:val="1"/>
                <w:bCs w:val="1"/>
                <w:color w:val="001543"/>
                <w:w w:val="99"/>
              </w:rPr>
              <w:t>Interest Rates of Single-Family Conventional Guaranty</w:t>
            </w:r>
          </w:p>
        </w:tc>
        <w:tc>
          <w:tcPr>
            <w:tcW w:w="4220" w:type="dxa"/>
            <w:vAlign w:val="bottom"/>
          </w:tcPr>
          <w:p>
            <w:pPr>
              <w:spacing w:after="0"/>
              <w:rPr>
                <w:sz w:val="18"/>
                <w:szCs w:val="18"/>
                <w:color w:val="auto"/>
              </w:rPr>
            </w:pPr>
          </w:p>
        </w:tc>
      </w:tr>
      <w:tr>
        <w:trPr>
          <w:trHeight w:val="232"/>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Book of Business Compared with the U.S. Weekly</w:t>
            </w:r>
          </w:p>
        </w:tc>
        <w:tc>
          <w:tcPr>
            <w:tcW w:w="4220" w:type="dxa"/>
            <w:vAlign w:val="bottom"/>
          </w:tcPr>
          <w:p>
            <w:pPr>
              <w:spacing w:after="0"/>
              <w:rPr>
                <w:sz w:val="20"/>
                <w:szCs w:val="20"/>
                <w:color w:val="auto"/>
              </w:rPr>
            </w:pPr>
          </w:p>
        </w:tc>
      </w:tr>
      <w:tr>
        <w:trPr>
          <w:trHeight w:val="219"/>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Average 30-Year Fixed-Rate Mortgage Rate</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9"/>
              </w:rPr>
              <w:t>Unamortized Deferred Guaranty Fees</w:t>
            </w:r>
          </w:p>
        </w:tc>
      </w:tr>
      <w:tr>
        <w:trPr>
          <w:trHeight w:val="271"/>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5314D"/>
                <w:w w:val="99"/>
              </w:rPr>
              <w:t>As of June 30, 2025</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8"/>
              </w:rPr>
              <w:t>(Dollars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121920</wp:posOffset>
            </wp:positionV>
            <wp:extent cx="5403215" cy="2120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03215" cy="2120265"/>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FFB400"/>
        </w:rPr>
        <w: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05314D"/>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94"/>
        </w:trPr>
        <w:tc>
          <w:tcPr>
            <w:tcW w:w="2920" w:type="dxa"/>
            <w:vAlign w:val="bottom"/>
          </w:tcPr>
          <w:p>
            <w:pPr>
              <w:spacing w:after="0"/>
              <w:rPr>
                <w:sz w:val="20"/>
                <w:szCs w:val="20"/>
                <w:color w:val="auto"/>
              </w:rPr>
            </w:pPr>
            <w:r>
              <w:rPr>
                <w:rFonts w:ascii="Arial" w:cs="Arial" w:eastAsia="Arial" w:hAnsi="Arial"/>
                <w:sz w:val="14"/>
                <w:szCs w:val="14"/>
                <w:color w:val="auto"/>
              </w:rPr>
              <w:t>Represents the U.S. weekly average 30-year</w:t>
            </w:r>
          </w:p>
        </w:tc>
        <w:tc>
          <w:tcPr>
            <w:tcW w:w="1520" w:type="dxa"/>
            <w:vAlign w:val="bottom"/>
            <w:vMerge w:val="restart"/>
          </w:tcPr>
          <w:p>
            <w:pPr>
              <w:ind w:left="180"/>
              <w:spacing w:after="0"/>
              <w:rPr>
                <w:sz w:val="20"/>
                <w:szCs w:val="20"/>
                <w:color w:val="auto"/>
              </w:rPr>
            </w:pPr>
            <w:r>
              <w:rPr>
                <w:rFonts w:ascii="Arial" w:cs="Arial" w:eastAsia="Arial" w:hAnsi="Arial"/>
                <w:sz w:val="124"/>
                <w:szCs w:val="124"/>
                <w:b w:val="1"/>
                <w:bCs w:val="1"/>
                <w:color w:val="2C6937"/>
              </w:rPr>
              <w:t>—</w:t>
            </w:r>
          </w:p>
        </w:tc>
        <w:tc>
          <w:tcPr>
            <w:tcW w:w="2880" w:type="dxa"/>
            <w:vAlign w:val="bottom"/>
          </w:tcPr>
          <w:p>
            <w:pPr>
              <w:ind w:left="80"/>
              <w:spacing w:after="0"/>
              <w:rPr>
                <w:sz w:val="20"/>
                <w:szCs w:val="20"/>
                <w:color w:val="auto"/>
              </w:rPr>
            </w:pPr>
            <w:r>
              <w:rPr>
                <w:rFonts w:ascii="Arial" w:cs="Arial" w:eastAsia="Arial" w:hAnsi="Arial"/>
                <w:sz w:val="14"/>
                <w:szCs w:val="14"/>
                <w:color w:val="auto"/>
              </w:rPr>
              <w:t>Represents the net unamortized cost basis</w:t>
            </w:r>
          </w:p>
        </w:tc>
        <w:tc>
          <w:tcPr>
            <w:tcW w:w="0" w:type="dxa"/>
            <w:vAlign w:val="bottom"/>
          </w:tcPr>
          <w:p>
            <w:pPr>
              <w:spacing w:after="0"/>
              <w:rPr>
                <w:sz w:val="1"/>
                <w:szCs w:val="1"/>
                <w:color w:val="auto"/>
              </w:rPr>
            </w:pPr>
          </w:p>
        </w:tc>
      </w:tr>
      <w:tr>
        <w:trPr>
          <w:trHeight w:val="134"/>
        </w:trPr>
        <w:tc>
          <w:tcPr>
            <w:tcW w:w="2920" w:type="dxa"/>
            <w:vAlign w:val="bottom"/>
          </w:tcPr>
          <w:p>
            <w:pPr>
              <w:spacing w:after="0" w:line="135" w:lineRule="exact"/>
              <w:rPr>
                <w:sz w:val="20"/>
                <w:szCs w:val="20"/>
                <w:color w:val="auto"/>
              </w:rPr>
            </w:pPr>
            <w:r>
              <w:rPr>
                <w:rFonts w:ascii="Arial" w:cs="Arial" w:eastAsia="Arial" w:hAnsi="Arial"/>
                <w:sz w:val="14"/>
                <w:szCs w:val="14"/>
                <w:color w:val="auto"/>
              </w:rPr>
              <w:t>fixed-rate mortgage rate as of June 26, 2025,</w:t>
            </w:r>
          </w:p>
        </w:tc>
        <w:tc>
          <w:tcPr>
            <w:tcW w:w="1520" w:type="dxa"/>
            <w:vAlign w:val="bottom"/>
            <w:vMerge w:val="continue"/>
          </w:tcPr>
          <w:p>
            <w:pPr>
              <w:spacing w:after="0"/>
              <w:rPr>
                <w:sz w:val="11"/>
                <w:szCs w:val="11"/>
                <w:color w:val="auto"/>
              </w:rPr>
            </w:pPr>
          </w:p>
        </w:tc>
        <w:tc>
          <w:tcPr>
            <w:tcW w:w="2880" w:type="dxa"/>
            <w:vAlign w:val="bottom"/>
          </w:tcPr>
          <w:p>
            <w:pPr>
              <w:ind w:left="80"/>
              <w:spacing w:after="0" w:line="135" w:lineRule="exact"/>
              <w:rPr>
                <w:sz w:val="20"/>
                <w:szCs w:val="20"/>
                <w:color w:val="auto"/>
              </w:rPr>
            </w:pPr>
            <w:r>
              <w:rPr>
                <w:rFonts w:ascii="Arial" w:cs="Arial" w:eastAsia="Arial" w:hAnsi="Arial"/>
                <w:sz w:val="14"/>
                <w:szCs w:val="14"/>
                <w:color w:val="auto"/>
                <w:w w:val="97"/>
              </w:rPr>
              <w:t>adjustment balance that will be amortized and</w:t>
            </w:r>
          </w:p>
        </w:tc>
        <w:tc>
          <w:tcPr>
            <w:tcW w:w="0" w:type="dxa"/>
            <w:vAlign w:val="bottom"/>
          </w:tcPr>
          <w:p>
            <w:pPr>
              <w:spacing w:after="0"/>
              <w:rPr>
                <w:sz w:val="1"/>
                <w:szCs w:val="1"/>
                <w:color w:val="auto"/>
              </w:rPr>
            </w:pPr>
          </w:p>
        </w:tc>
      </w:tr>
      <w:tr>
        <w:trPr>
          <w:trHeight w:val="142"/>
        </w:trPr>
        <w:tc>
          <w:tcPr>
            <w:tcW w:w="2920" w:type="dxa"/>
            <w:vAlign w:val="bottom"/>
          </w:tcPr>
          <w:p>
            <w:pPr>
              <w:spacing w:after="0" w:line="142" w:lineRule="exact"/>
              <w:rPr>
                <w:sz w:val="20"/>
                <w:szCs w:val="20"/>
                <w:color w:val="auto"/>
              </w:rPr>
            </w:pPr>
            <w:r>
              <w:rPr>
                <w:rFonts w:ascii="Arial" w:cs="Arial" w:eastAsia="Arial" w:hAnsi="Arial"/>
                <w:sz w:val="14"/>
                <w:szCs w:val="14"/>
                <w:color w:val="auto"/>
              </w:rPr>
              <w:t>according to Freddie Mac’s Primary</w:t>
            </w:r>
          </w:p>
        </w:tc>
        <w:tc>
          <w:tcPr>
            <w:tcW w:w="1520" w:type="dxa"/>
            <w:vAlign w:val="bottom"/>
            <w:vMerge w:val="continue"/>
          </w:tcPr>
          <w:p>
            <w:pPr>
              <w:spacing w:after="0"/>
              <w:rPr>
                <w:sz w:val="12"/>
                <w:szCs w:val="12"/>
                <w:color w:val="auto"/>
              </w:rPr>
            </w:pPr>
          </w:p>
        </w:tc>
        <w:tc>
          <w:tcPr>
            <w:tcW w:w="2880" w:type="dxa"/>
            <w:vAlign w:val="bottom"/>
          </w:tcPr>
          <w:p>
            <w:pPr>
              <w:ind w:left="80"/>
              <w:spacing w:after="0" w:line="142" w:lineRule="exact"/>
              <w:rPr>
                <w:sz w:val="20"/>
                <w:szCs w:val="20"/>
                <w:color w:val="auto"/>
              </w:rPr>
            </w:pPr>
            <w:r>
              <w:rPr>
                <w:rFonts w:ascii="Arial" w:cs="Arial" w:eastAsia="Arial" w:hAnsi="Arial"/>
                <w:sz w:val="14"/>
                <w:szCs w:val="14"/>
                <w:color w:val="auto"/>
              </w:rPr>
              <w:t>recognized through deferred guaranty fee</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Mortgage Market Survey</w:t>
            </w:r>
            <w:r>
              <w:rPr>
                <w:rFonts w:ascii="Arial" w:cs="Arial" w:eastAsia="Arial" w:hAnsi="Arial"/>
                <w:sz w:val="8"/>
                <w:szCs w:val="8"/>
                <w:color w:val="auto"/>
              </w:rPr>
              <w:t>®</w:t>
            </w:r>
            <w:r>
              <w:rPr>
                <w:rFonts w:ascii="Arial" w:cs="Arial" w:eastAsia="Arial" w:hAnsi="Arial"/>
                <w:sz w:val="14"/>
                <w:szCs w:val="14"/>
                <w:color w:val="auto"/>
              </w:rPr>
              <w:t>, the last published</w:t>
            </w:r>
          </w:p>
        </w:tc>
        <w:tc>
          <w:tcPr>
            <w:tcW w:w="1520" w:type="dxa"/>
            <w:vAlign w:val="bottom"/>
            <w:vMerge w:val="continue"/>
          </w:tcPr>
          <w:p>
            <w:pPr>
              <w:spacing w:after="0"/>
              <w:rPr>
                <w:sz w:val="12"/>
                <w:szCs w:val="12"/>
                <w:color w:val="auto"/>
              </w:rPr>
            </w:pPr>
          </w:p>
        </w:tc>
        <w:tc>
          <w:tcPr>
            <w:tcW w:w="2880" w:type="dxa"/>
            <w:vAlign w:val="bottom"/>
          </w:tcPr>
          <w:p>
            <w:pPr>
              <w:ind w:left="80"/>
              <w:spacing w:after="0" w:line="149" w:lineRule="exact"/>
              <w:rPr>
                <w:sz w:val="20"/>
                <w:szCs w:val="20"/>
                <w:color w:val="auto"/>
              </w:rPr>
            </w:pPr>
            <w:r>
              <w:rPr>
                <w:rFonts w:ascii="Arial" w:cs="Arial" w:eastAsia="Arial" w:hAnsi="Arial"/>
                <w:sz w:val="14"/>
                <w:szCs w:val="14"/>
                <w:color w:val="auto"/>
              </w:rPr>
              <w:t>income over the remaining contractual life of</w:t>
            </w:r>
          </w:p>
        </w:tc>
        <w:tc>
          <w:tcPr>
            <w:tcW w:w="0" w:type="dxa"/>
            <w:vAlign w:val="bottom"/>
          </w:tcPr>
          <w:p>
            <w:pPr>
              <w:spacing w:after="0"/>
              <w:rPr>
                <w:sz w:val="1"/>
                <w:szCs w:val="1"/>
                <w:color w:val="auto"/>
              </w:rPr>
            </w:pPr>
          </w:p>
        </w:tc>
      </w:tr>
      <w:tr>
        <w:trPr>
          <w:trHeight w:val="168"/>
        </w:trPr>
        <w:tc>
          <w:tcPr>
            <w:tcW w:w="2920" w:type="dxa"/>
            <w:vAlign w:val="bottom"/>
            <w:vMerge w:val="restart"/>
          </w:tcPr>
          <w:p>
            <w:pPr>
              <w:spacing w:after="0"/>
              <w:rPr>
                <w:sz w:val="20"/>
                <w:szCs w:val="20"/>
                <w:color w:val="auto"/>
              </w:rPr>
            </w:pPr>
            <w:r>
              <w:rPr>
                <w:rFonts w:ascii="Arial" w:cs="Arial" w:eastAsia="Arial" w:hAnsi="Arial"/>
                <w:sz w:val="14"/>
                <w:szCs w:val="14"/>
                <w:color w:val="auto"/>
              </w:rPr>
              <w:t>rate for the quarter ending June 30, 2025.</w:t>
            </w:r>
          </w:p>
        </w:tc>
        <w:tc>
          <w:tcPr>
            <w:tcW w:w="1520" w:type="dxa"/>
            <w:vAlign w:val="bottom"/>
            <w:vMerge w:val="continue"/>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the mortgage loans or debt.</w:t>
            </w:r>
          </w:p>
        </w:tc>
        <w:tc>
          <w:tcPr>
            <w:tcW w:w="0" w:type="dxa"/>
            <w:vAlign w:val="bottom"/>
          </w:tcPr>
          <w:p>
            <w:pPr>
              <w:spacing w:after="0"/>
              <w:rPr>
                <w:sz w:val="1"/>
                <w:szCs w:val="1"/>
                <w:color w:val="auto"/>
              </w:rPr>
            </w:pPr>
          </w:p>
        </w:tc>
      </w:tr>
      <w:tr>
        <w:trPr>
          <w:trHeight w:val="425"/>
        </w:trPr>
        <w:tc>
          <w:tcPr>
            <w:tcW w:w="292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4"/>
                <w:szCs w:val="14"/>
                <w:color w:val="auto"/>
              </w:rPr>
              <w:t>Represents the percentage of single-family</w:t>
            </w:r>
          </w:p>
        </w:tc>
        <w:tc>
          <w:tcPr>
            <w:tcW w:w="1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conventional guaranty book of business by</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select interest rate band based on the</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20"/>
                <w:szCs w:val="20"/>
                <w:color w:val="auto"/>
              </w:rPr>
            </w:pPr>
            <w:r>
              <w:rPr>
                <w:rFonts w:ascii="Arial" w:cs="Arial" w:eastAsia="Arial" w:hAnsi="Arial"/>
                <w:sz w:val="14"/>
                <w:szCs w:val="14"/>
                <w:color w:val="auto"/>
              </w:rPr>
              <w:t>current interest rate of the mortgage loans.</w:t>
            </w:r>
          </w:p>
        </w:tc>
        <w:tc>
          <w:tcPr>
            <w:tcW w:w="1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78" w:lineRule="exact"/>
        <w:rPr>
          <w:sz w:val="20"/>
          <w:szCs w:val="20"/>
          <w:color w:val="auto"/>
        </w:rPr>
      </w:pPr>
    </w:p>
    <w:p>
      <w:pPr>
        <w:sectPr>
          <w:pgSz w:w="11900" w:h="16838" w:orient="portrait"/>
          <w:cols w:equalWidth="0" w:num="2">
            <w:col w:w="2480" w:space="180"/>
            <w:col w:w="8540"/>
          </w:cols>
          <w:pgMar w:left="320" w:top="248" w:right="379" w:bottom="1440" w:gutter="0" w:footer="0" w:header="0"/>
          <w:type w:val="continuous"/>
        </w:sectPr>
      </w:pPr>
    </w:p>
    <w:p>
      <w:pPr>
        <w:ind w:right="20"/>
        <w:spacing w:after="0" w:line="250" w:lineRule="auto"/>
        <w:rPr>
          <w:sz w:val="20"/>
          <w:szCs w:val="20"/>
          <w:color w:val="auto"/>
        </w:rPr>
      </w:pPr>
      <w:r>
        <w:rPr>
          <w:rFonts w:ascii="Arial" w:cs="Arial" w:eastAsia="Arial" w:hAnsi="Arial"/>
          <w:sz w:val="16"/>
          <w:szCs w:val="16"/>
          <w:color w:val="auto"/>
        </w:rPr>
        <w:t>The amount of deferred guaranty fee income we record can vary and is primarily impacted by: (1) the amount of upfront fees we charge on single-family mortgage loans, (2) changes in interest rates, which affect the premiums and discounts we record on newly acquired mortgage loans and newly created debt of consolidated trusts, and (3) the amount by which premiums and discounts on existing loans and debt of consolidated trust are different compared to newly acquired loans and debt. The balance of our unamortized deferred guaranty fees decreased as of June 30, 2025, compared with December 31, 2024, largely as a result of amortization of existing upfront fees on single-family loans and premiums of existing MBS debt. In addition, interest-rate-driven pricing changes in the first half of 2025 resulted in fewer premiums on newly issued MBS debt relative to MBS debt that amortized, which further reduced the balance of unamortized deferred guaranty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608965</wp:posOffset>
            </wp:positionV>
            <wp:extent cx="7007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tabs>
          <w:tab w:leader="none" w:pos="11020" w:val="left"/>
        </w:tabs>
        <w:rPr>
          <w:sz w:val="20"/>
          <w:szCs w:val="20"/>
          <w:color w:val="auto"/>
        </w:rPr>
      </w:pPr>
      <w:r>
        <w:rPr>
          <w:rFonts w:ascii="Arial" w:cs="Arial" w:eastAsia="Arial" w:hAnsi="Arial"/>
          <w:sz w:val="14"/>
          <w:szCs w:val="14"/>
          <w:color w:val="05314D"/>
        </w:rPr>
        <w:t>Fannie Mae Second Quarter 2025 Form 10-Q</w:t>
      </w:r>
      <w:r>
        <w:rPr>
          <w:sz w:val="20"/>
          <w:szCs w:val="20"/>
          <w:color w:val="auto"/>
        </w:rPr>
        <w:tab/>
      </w:r>
      <w:r>
        <w:rPr>
          <w:rFonts w:ascii="Arial" w:cs="Arial" w:eastAsia="Arial" w:hAnsi="Arial"/>
          <w:sz w:val="14"/>
          <w:szCs w:val="14"/>
          <w:color w:val="05314D"/>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10" w:name="page11"/>
    <w:bookmarkEnd w:id="10"/>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2900" w:type="dxa"/>
            <w:vAlign w:val="bottom"/>
            <w:tcBorders>
              <w:top w:val="single" w:sz="8" w:color="2C6937"/>
              <w:bottom w:val="single" w:sz="8" w:color="2C6937"/>
            </w:tcBorders>
            <w:gridSpan w:val="6"/>
          </w:tcPr>
          <w:p>
            <w:pPr>
              <w:jc w:val="center"/>
              <w:spacing w:after="0"/>
              <w:rPr>
                <w:sz w:val="20"/>
                <w:szCs w:val="20"/>
                <w:color w:val="auto"/>
              </w:rPr>
            </w:pPr>
            <w:r>
              <w:rPr>
                <w:rFonts w:ascii="Arial" w:cs="Arial" w:eastAsia="Arial" w:hAnsi="Arial"/>
                <w:sz w:val="15"/>
                <w:szCs w:val="15"/>
                <w:b w:val="1"/>
                <w:bCs w:val="1"/>
                <w:color w:val="auto"/>
              </w:rPr>
              <w:t>For the Three Months Ended June 30,</w:t>
            </w:r>
          </w:p>
        </w:tc>
        <w:tc>
          <w:tcPr>
            <w:tcW w:w="1080" w:type="dxa"/>
            <w:vAlign w:val="bottom"/>
            <w:tcBorders>
              <w:top w:val="single" w:sz="8" w:color="2C6937"/>
              <w:bottom w:val="single" w:sz="8" w:color="2C6937"/>
            </w:tcBorders>
          </w:tcPr>
          <w:p>
            <w:pPr>
              <w:spacing w:after="0"/>
              <w:rPr>
                <w:sz w:val="18"/>
                <w:szCs w:val="18"/>
                <w:color w:val="auto"/>
              </w:rPr>
            </w:pP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2025</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360" w:type="dxa"/>
            <w:vAlign w:val="bottom"/>
            <w:tcBorders>
              <w:bottom w:val="single" w:sz="8" w:color="2C6937"/>
            </w:tcBorders>
          </w:tcPr>
          <w:p>
            <w:pPr>
              <w:spacing w:after="0"/>
              <w:rPr>
                <w:sz w:val="17"/>
                <w:szCs w:val="17"/>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22"/>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49,997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553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4.42 %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46,802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633</w:t>
            </w:r>
          </w:p>
        </w:tc>
        <w:tc>
          <w:tcPr>
            <w:tcW w:w="1360" w:type="dxa"/>
            <w:vAlign w:val="bottom"/>
          </w:tcPr>
          <w:p>
            <w:pPr>
              <w:jc w:val="right"/>
              <w:spacing w:after="0"/>
              <w:rPr>
                <w:sz w:val="20"/>
                <w:szCs w:val="20"/>
                <w:color w:val="auto"/>
              </w:rPr>
            </w:pPr>
            <w:r>
              <w:rPr>
                <w:rFonts w:ascii="Arial" w:cs="Arial" w:eastAsia="Arial" w:hAnsi="Arial"/>
                <w:sz w:val="15"/>
                <w:szCs w:val="15"/>
                <w:color w:val="auto"/>
              </w:rPr>
              <w:t>5.41 %</w:t>
            </w:r>
          </w:p>
        </w:tc>
      </w:tr>
      <w:tr>
        <w:trPr>
          <w:trHeight w:val="193"/>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44,943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499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50,898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693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5.45</w:t>
            </w:r>
          </w:p>
        </w:tc>
      </w:tr>
      <w:tr>
        <w:trPr>
          <w:trHeight w:val="23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81,558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617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51,974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282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2.17</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51,709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542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50,041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568</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4.54</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4,079,998</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37,151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3.64</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4,086,295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35,049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3.43</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4,131,707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37,693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4,136,336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35,617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3.44</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3,420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5.73</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2,962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6.75</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4,311,625</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39,411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3.66 %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4,288,972</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37,275</w:t>
            </w:r>
          </w:p>
        </w:tc>
        <w:tc>
          <w:tcPr>
            <w:tcW w:w="1360" w:type="dxa"/>
            <w:vAlign w:val="bottom"/>
          </w:tcPr>
          <w:p>
            <w:pPr>
              <w:jc w:val="right"/>
              <w:spacing w:after="0"/>
              <w:rPr>
                <w:sz w:val="20"/>
                <w:szCs w:val="20"/>
                <w:color w:val="auto"/>
              </w:rPr>
            </w:pPr>
            <w:r>
              <w:rPr>
                <w:rFonts w:ascii="Arial" w:cs="Arial" w:eastAsia="Arial" w:hAnsi="Arial"/>
                <w:sz w:val="15"/>
                <w:szCs w:val="15"/>
                <w:color w:val="auto"/>
              </w:rPr>
              <w:t>3.48 %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9,735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4.23 %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9,996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(130)</w:t>
            </w:r>
          </w:p>
        </w:tc>
        <w:tc>
          <w:tcPr>
            <w:tcW w:w="1360" w:type="dxa"/>
            <w:vAlign w:val="bottom"/>
          </w:tcPr>
          <w:p>
            <w:pPr>
              <w:jc w:val="right"/>
              <w:spacing w:after="0"/>
              <w:rPr>
                <w:sz w:val="20"/>
                <w:szCs w:val="20"/>
                <w:color w:val="auto"/>
              </w:rPr>
            </w:pPr>
            <w:r>
              <w:rPr>
                <w:rFonts w:ascii="Arial" w:cs="Arial" w:eastAsia="Arial" w:hAnsi="Arial"/>
                <w:sz w:val="15"/>
                <w:szCs w:val="15"/>
                <w:color w:val="auto"/>
              </w:rPr>
              <w:t>5.20 %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120,926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(1,241)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101,671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(921)</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3.62</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1,853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10.79</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2,431</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11.35</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132,514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(1,394)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114,098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(1,120)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3.93</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4,068,546</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(30,862)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3.03</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4,083,048</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(28,887)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2.83</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4,201,060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(32,256)</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3.07 %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4,197,146</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(30,007)</w:t>
            </w:r>
          </w:p>
        </w:tc>
        <w:tc>
          <w:tcPr>
            <w:tcW w:w="1360" w:type="dxa"/>
            <w:vAlign w:val="bottom"/>
          </w:tcPr>
          <w:p>
            <w:pPr>
              <w:jc w:val="right"/>
              <w:spacing w:after="0"/>
              <w:rPr>
                <w:sz w:val="20"/>
                <w:szCs w:val="20"/>
                <w:color w:val="auto"/>
              </w:rPr>
            </w:pPr>
            <w:r>
              <w:rPr>
                <w:rFonts w:ascii="Arial" w:cs="Arial" w:eastAsia="Arial" w:hAnsi="Arial"/>
                <w:sz w:val="15"/>
                <w:szCs w:val="15"/>
                <w:color w:val="auto"/>
              </w:rPr>
              <w:t>2.86 %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7,155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7,268</w:t>
            </w:r>
          </w:p>
        </w:tc>
        <w:tc>
          <w:tcPr>
            <w:tcW w:w="1360" w:type="dxa"/>
            <w:vAlign w:val="bottom"/>
          </w:tcPr>
          <w:p>
            <w:pPr>
              <w:jc w:val="right"/>
              <w:spacing w:after="0"/>
              <w:rPr>
                <w:sz w:val="20"/>
                <w:szCs w:val="20"/>
                <w:color w:val="auto"/>
              </w:rPr>
            </w:pPr>
            <w:r>
              <w:rPr>
                <w:rFonts w:ascii="Arial" w:cs="Arial" w:eastAsia="Arial" w:hAnsi="Arial"/>
                <w:sz w:val="15"/>
                <w:szCs w:val="15"/>
                <w:color w:val="auto"/>
              </w:rPr>
              <w:t>0.68 %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2720" w:type="dxa"/>
            <w:vAlign w:val="bottom"/>
            <w:tcBorders>
              <w:bottom w:val="single" w:sz="8" w:color="2C6937"/>
            </w:tcBorders>
            <w:gridSpan w:val="5"/>
          </w:tcPr>
          <w:p>
            <w:pPr>
              <w:jc w:val="center"/>
              <w:ind w:left="63"/>
              <w:spacing w:after="0"/>
              <w:rPr>
                <w:sz w:val="20"/>
                <w:szCs w:val="20"/>
                <w:color w:val="auto"/>
              </w:rPr>
            </w:pPr>
            <w:r>
              <w:rPr>
                <w:rFonts w:ascii="Arial" w:cs="Arial" w:eastAsia="Arial" w:hAnsi="Arial"/>
                <w:sz w:val="15"/>
                <w:szCs w:val="15"/>
                <w:b w:val="1"/>
                <w:bCs w:val="1"/>
                <w:color w:val="auto"/>
              </w:rPr>
              <w:t>For the Six Months Ended June 30,</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1360" w:type="dxa"/>
            <w:vAlign w:val="bottom"/>
            <w:tcBorders>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2025</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360" w:type="dxa"/>
            <w:vAlign w:val="bottom"/>
            <w:tcBorders>
              <w:bottom w:val="single" w:sz="8" w:color="2C6937"/>
            </w:tcBorders>
          </w:tcPr>
          <w:p>
            <w:pPr>
              <w:spacing w:after="0"/>
              <w:rPr>
                <w:sz w:val="17"/>
                <w:szCs w:val="17"/>
                <w:color w:val="auto"/>
              </w:rPr>
            </w:pPr>
          </w:p>
        </w:tc>
      </w:tr>
      <w:tr>
        <w:trPr>
          <w:trHeight w:val="185"/>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49,768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1,093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4.39 %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46,408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1,254</w:t>
            </w:r>
          </w:p>
        </w:tc>
        <w:tc>
          <w:tcPr>
            <w:tcW w:w="1360" w:type="dxa"/>
            <w:vAlign w:val="bottom"/>
          </w:tcPr>
          <w:p>
            <w:pPr>
              <w:jc w:val="right"/>
              <w:spacing w:after="0"/>
              <w:rPr>
                <w:sz w:val="20"/>
                <w:szCs w:val="20"/>
                <w:color w:val="auto"/>
              </w:rPr>
            </w:pPr>
            <w:r>
              <w:rPr>
                <w:rFonts w:ascii="Arial" w:cs="Arial" w:eastAsia="Arial" w:hAnsi="Arial"/>
                <w:sz w:val="15"/>
                <w:szCs w:val="15"/>
                <w:color w:val="auto"/>
              </w:rPr>
              <w:t>5.40 %</w:t>
            </w:r>
          </w:p>
        </w:tc>
      </w:tr>
      <w:tr>
        <w:trPr>
          <w:trHeight w:val="180"/>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8"/>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43,134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956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48,240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1,315</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5.45</w:t>
            </w:r>
          </w:p>
        </w:tc>
      </w:tr>
      <w:tr>
        <w:trPr>
          <w:trHeight w:val="23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81,530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1,204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52,930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582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2.20</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50,940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1,041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50,396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1,135</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4.50</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4,087,198</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74,051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4,089,520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69,698</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3.41</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4,138,138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75,092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4,139,916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70,833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3.42</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2,901</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5.65</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2,658</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6.70</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4,315,471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78,427</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3.63 %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4,290,152</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74,073</w:t>
            </w:r>
          </w:p>
        </w:tc>
        <w:tc>
          <w:tcPr>
            <w:tcW w:w="1360" w:type="dxa"/>
            <w:vAlign w:val="bottom"/>
          </w:tcPr>
          <w:p>
            <w:pPr>
              <w:jc w:val="right"/>
              <w:spacing w:after="0"/>
              <w:rPr>
                <w:sz w:val="20"/>
                <w:szCs w:val="20"/>
                <w:color w:val="auto"/>
              </w:rPr>
            </w:pPr>
            <w:r>
              <w:rPr>
                <w:rFonts w:ascii="Arial" w:cs="Arial" w:eastAsia="Arial" w:hAnsi="Arial"/>
                <w:sz w:val="15"/>
                <w:szCs w:val="15"/>
                <w:color w:val="auto"/>
              </w:rPr>
              <w:t>3.45 %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9,786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(208)</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4.25 %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12,496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(325)</w:t>
            </w:r>
          </w:p>
        </w:tc>
        <w:tc>
          <w:tcPr>
            <w:tcW w:w="1360" w:type="dxa"/>
            <w:vAlign w:val="bottom"/>
          </w:tcPr>
          <w:p>
            <w:pPr>
              <w:jc w:val="right"/>
              <w:spacing w:after="0"/>
              <w:rPr>
                <w:sz w:val="20"/>
                <w:szCs w:val="20"/>
                <w:color w:val="auto"/>
              </w:rPr>
            </w:pPr>
            <w:r>
              <w:rPr>
                <w:rFonts w:ascii="Arial" w:cs="Arial" w:eastAsia="Arial" w:hAnsi="Arial"/>
                <w:sz w:val="15"/>
                <w:szCs w:val="15"/>
                <w:color w:val="auto"/>
              </w:rPr>
              <w:t>5.20 %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122,113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(2,479)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102,213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(1,840)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3.60</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1,935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10.75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2,536</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11.28</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133,834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(2,791)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117,245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(2,308)</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3.94</w:t>
            </w:r>
          </w:p>
        </w:tc>
      </w:tr>
      <w:tr>
        <w:trPr>
          <w:trHeight w:val="18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1"/>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4,074,700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(61,480)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3.02</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4,085,866</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(57,474)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2.81</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4,208,534</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(64,271)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3.05 %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4,203,111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(59,782)</w:t>
            </w:r>
          </w:p>
        </w:tc>
        <w:tc>
          <w:tcPr>
            <w:tcW w:w="1360" w:type="dxa"/>
            <w:vAlign w:val="bottom"/>
          </w:tcPr>
          <w:p>
            <w:pPr>
              <w:jc w:val="right"/>
              <w:spacing w:after="0"/>
              <w:rPr>
                <w:sz w:val="20"/>
                <w:szCs w:val="20"/>
                <w:color w:val="auto"/>
              </w:rPr>
            </w:pPr>
            <w:r>
              <w:rPr>
                <w:rFonts w:ascii="Arial" w:cs="Arial" w:eastAsia="Arial" w:hAnsi="Arial"/>
                <w:sz w:val="15"/>
                <w:szCs w:val="15"/>
                <w:color w:val="auto"/>
              </w:rPr>
              <w:t>2.84 %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14,156</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14,291</w:t>
            </w:r>
          </w:p>
        </w:tc>
        <w:tc>
          <w:tcPr>
            <w:tcW w:w="1360" w:type="dxa"/>
            <w:vAlign w:val="bottom"/>
          </w:tcPr>
          <w:p>
            <w:pPr>
              <w:jc w:val="right"/>
              <w:spacing w:after="0"/>
              <w:rPr>
                <w:sz w:val="20"/>
                <w:szCs w:val="20"/>
                <w:color w:val="auto"/>
              </w:rPr>
            </w:pPr>
            <w:r>
              <w:rPr>
                <w:rFonts w:ascii="Arial" w:cs="Arial" w:eastAsia="Arial" w:hAnsi="Arial"/>
                <w:sz w:val="15"/>
                <w:szCs w:val="15"/>
                <w:color w:val="auto"/>
              </w:rPr>
              <w:t>0.67 %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ind w:left="260" w:hanging="257"/>
        <w:spacing w:after="0" w:line="195"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1"/>
        </w:numPr>
        <w:rPr>
          <w:rFonts w:ascii="Arial" w:cs="Arial" w:eastAsia="Arial" w:hAnsi="Arial"/>
          <w:sz w:val="9"/>
          <w:szCs w:val="9"/>
          <w:color w:val="auto"/>
        </w:rPr>
      </w:pPr>
      <w:r>
        <w:rPr>
          <w:rFonts w:ascii="Arial" w:cs="Arial" w:eastAsia="Arial" w:hAnsi="Arial"/>
          <w:sz w:val="14"/>
          <w:szCs w:val="14"/>
          <w:color w:val="auto"/>
        </w:rPr>
        <w:t>Consists of U.S. Treasuries not classified as cash equivalents and mortgage-related securities.</w:t>
      </w:r>
    </w:p>
    <w:p>
      <w:pPr>
        <w:spacing w:after="0" w:line="33" w:lineRule="exact"/>
        <w:rPr>
          <w:rFonts w:ascii="Arial" w:cs="Arial" w:eastAsia="Arial" w:hAnsi="Arial"/>
          <w:sz w:val="9"/>
          <w:szCs w:val="9"/>
          <w:color w:val="auto"/>
        </w:rPr>
      </w:pPr>
    </w:p>
    <w:p>
      <w:pPr>
        <w:ind w:left="240" w:right="160" w:hanging="237"/>
        <w:spacing w:after="0" w:line="293" w:lineRule="auto"/>
        <w:tabs>
          <w:tab w:leader="none" w:pos="216" w:val="left"/>
        </w:tabs>
        <w:numPr>
          <w:ilvl w:val="0"/>
          <w:numId w:val="11"/>
        </w:numPr>
        <w:rPr>
          <w:rFonts w:ascii="Arial" w:cs="Arial" w:eastAsia="Arial" w:hAnsi="Arial"/>
          <w:sz w:val="8"/>
          <w:szCs w:val="8"/>
          <w:color w:val="auto"/>
        </w:rPr>
      </w:pPr>
      <w:r>
        <w:rPr>
          <w:rFonts w:ascii="Arial" w:cs="Arial" w:eastAsia="Arial" w:hAnsi="Arial"/>
          <w:sz w:val="13"/>
          <w:szCs w:val="13"/>
          <w:color w:val="auto"/>
        </w:rPr>
        <w:t>Average balance includes mortgage loans on nonaccrual status. Interest income includes loan fees of $743 million and $1.4 billion, respectively, for the second quarter of 2025 and first half of 2025, compared with $699 million and $1.4 billion, respectively, for the second quarter of 2024 and first half of 2024. Loan fees primarily consist of yield maintenance revenue we recognized on the prepayment of multifamily mortgage loans and the amortization of upfront cash fees exchanged when we acquire the mortgage loan.</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(Provision) Benefit for Credit Losses</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table below presents our single-family and multifamily benefit or provision for credit losses and the change in expected credit enhancement recoveries. The benefit or provision for credit losses includes our benefit or provision for loan losses, accrued interest receivable losses, our guaranty loss reserves, and credit losses on our available-for-sale (“AFS”) debt securities.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(Provision) Benefit for Credit Losses and Change in Expected Credit Enhancement Recoveries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260" w:type="dxa"/>
            <w:vAlign w:val="bottom"/>
            <w:tcBorders>
              <w:top w:val="single" w:sz="8" w:color="2C6937"/>
            </w:tcBorders>
          </w:tcPr>
          <w:p>
            <w:pPr>
              <w:spacing w:after="0"/>
              <w:rPr>
                <w:sz w:val="21"/>
                <w:szCs w:val="21"/>
                <w:color w:val="auto"/>
              </w:rPr>
            </w:pPr>
          </w:p>
        </w:tc>
        <w:tc>
          <w:tcPr>
            <w:tcW w:w="100" w:type="dxa"/>
            <w:vAlign w:val="bottom"/>
            <w:tcBorders>
              <w:top w:val="single" w:sz="8" w:color="2C6937"/>
            </w:tcBorders>
          </w:tcPr>
          <w:p>
            <w:pPr>
              <w:spacing w:after="0"/>
              <w:rPr>
                <w:sz w:val="21"/>
                <w:szCs w:val="21"/>
                <w:color w:val="auto"/>
              </w:rPr>
            </w:pPr>
          </w:p>
        </w:tc>
        <w:tc>
          <w:tcPr>
            <w:tcW w:w="2960" w:type="dxa"/>
            <w:vAlign w:val="bottom"/>
            <w:tcBorders>
              <w:top w:val="single" w:sz="8" w:color="2C6937"/>
            </w:tcBorders>
            <w:gridSpan w:val="6"/>
          </w:tcPr>
          <w:p>
            <w:pPr>
              <w:ind w:left="60"/>
              <w:spacing w:after="0"/>
              <w:rPr>
                <w:sz w:val="20"/>
                <w:szCs w:val="20"/>
                <w:color w:val="auto"/>
              </w:rPr>
            </w:pPr>
            <w:r>
              <w:rPr>
                <w:rFonts w:ascii="Arial" w:cs="Arial" w:eastAsia="Arial" w:hAnsi="Arial"/>
                <w:sz w:val="15"/>
                <w:szCs w:val="15"/>
                <w:b w:val="1"/>
                <w:bCs w:val="1"/>
                <w:color w:val="auto"/>
              </w:rPr>
              <w:t>For the Three Months Ended June 30,</w:t>
            </w:r>
          </w:p>
        </w:tc>
        <w:tc>
          <w:tcPr>
            <w:tcW w:w="120" w:type="dxa"/>
            <w:vAlign w:val="bottom"/>
            <w:tcBorders>
              <w:top w:val="single" w:sz="8" w:color="2C6937"/>
            </w:tcBorders>
          </w:tcPr>
          <w:p>
            <w:pPr>
              <w:spacing w:after="0"/>
              <w:rPr>
                <w:sz w:val="21"/>
                <w:szCs w:val="21"/>
                <w:color w:val="auto"/>
              </w:rPr>
            </w:pPr>
          </w:p>
        </w:tc>
        <w:tc>
          <w:tcPr>
            <w:tcW w:w="2760" w:type="dxa"/>
            <w:vAlign w:val="bottom"/>
            <w:tcBorders>
              <w:top w:val="single" w:sz="8" w:color="2C6937"/>
            </w:tcBorders>
            <w:gridSpan w:val="4"/>
          </w:tcPr>
          <w:p>
            <w:pPr>
              <w:jc w:val="right"/>
              <w:ind w:right="83"/>
              <w:spacing w:after="0"/>
              <w:rPr>
                <w:sz w:val="20"/>
                <w:szCs w:val="20"/>
                <w:color w:val="auto"/>
              </w:rPr>
            </w:pPr>
            <w:r>
              <w:rPr>
                <w:rFonts w:ascii="Arial" w:cs="Arial" w:eastAsia="Arial" w:hAnsi="Arial"/>
                <w:sz w:val="15"/>
                <w:szCs w:val="15"/>
                <w:b w:val="1"/>
                <w:bCs w:val="1"/>
                <w:color w:val="auto"/>
              </w:rPr>
              <w:t>For the Six Months Ended June 30,</w:t>
            </w:r>
          </w:p>
        </w:tc>
      </w:tr>
      <w:tr>
        <w:trPr>
          <w:trHeight w:val="229"/>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300" w:type="dxa"/>
            <w:vAlign w:val="bottom"/>
            <w:tcBorders>
              <w:top w:val="single" w:sz="8" w:color="2C6937"/>
              <w:bottom w:val="single" w:sz="8" w:color="2C6937"/>
            </w:tcBorders>
          </w:tcPr>
          <w:p>
            <w:pPr>
              <w:spacing w:after="0"/>
              <w:rPr>
                <w:sz w:val="19"/>
                <w:szCs w:val="19"/>
                <w:color w:val="auto"/>
              </w:rPr>
            </w:pPr>
          </w:p>
        </w:tc>
        <w:tc>
          <w:tcPr>
            <w:tcW w:w="1080" w:type="dxa"/>
            <w:vAlign w:val="bottom"/>
            <w:tcBorders>
              <w:top w:val="single" w:sz="8" w:color="2C6937"/>
              <w:bottom w:val="single" w:sz="8" w:color="2C6937"/>
            </w:tcBorders>
          </w:tcPr>
          <w:p>
            <w:pPr>
              <w:jc w:val="right"/>
              <w:ind w:right="44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9"/>
                <w:szCs w:val="19"/>
                <w:color w:val="auto"/>
              </w:rPr>
            </w:pPr>
          </w:p>
        </w:tc>
        <w:tc>
          <w:tcPr>
            <w:tcW w:w="120" w:type="dxa"/>
            <w:vAlign w:val="bottom"/>
            <w:tcBorders>
              <w:top w:val="single" w:sz="8" w:color="2C6937"/>
              <w:bottom w:val="single" w:sz="8" w:color="2C6937"/>
            </w:tcBorders>
          </w:tcPr>
          <w:p>
            <w:pPr>
              <w:spacing w:after="0"/>
              <w:rPr>
                <w:sz w:val="19"/>
                <w:szCs w:val="19"/>
                <w:color w:val="auto"/>
              </w:rPr>
            </w:pPr>
          </w:p>
        </w:tc>
        <w:tc>
          <w:tcPr>
            <w:tcW w:w="128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top w:val="single" w:sz="8" w:color="2C6937"/>
              <w:bottom w:val="single" w:sz="8" w:color="2C6937"/>
            </w:tcBorders>
          </w:tcPr>
          <w:p>
            <w:pPr>
              <w:spacing w:after="0"/>
              <w:rPr>
                <w:sz w:val="19"/>
                <w:szCs w:val="19"/>
                <w:color w:val="auto"/>
              </w:rPr>
            </w:pPr>
          </w:p>
        </w:tc>
        <w:tc>
          <w:tcPr>
            <w:tcW w:w="320" w:type="dxa"/>
            <w:vAlign w:val="bottom"/>
            <w:tcBorders>
              <w:top w:val="single" w:sz="8" w:color="2C6937"/>
              <w:bottom w:val="single" w:sz="8" w:color="2C6937"/>
            </w:tcBorders>
          </w:tcPr>
          <w:p>
            <w:pPr>
              <w:spacing w:after="0"/>
              <w:rPr>
                <w:sz w:val="19"/>
                <w:szCs w:val="19"/>
                <w:color w:val="auto"/>
              </w:rPr>
            </w:pPr>
          </w:p>
        </w:tc>
        <w:tc>
          <w:tcPr>
            <w:tcW w:w="108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2024</w:t>
            </w:r>
          </w:p>
        </w:tc>
      </w:tr>
      <w:tr>
        <w:trPr>
          <w:trHeight w:val="299"/>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42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9"/>
        </w:trPr>
        <w:tc>
          <w:tcPr>
            <w:tcW w:w="5360" w:type="dxa"/>
            <w:vAlign w:val="bottom"/>
            <w:gridSpan w:val="2"/>
          </w:tcPr>
          <w:p>
            <w:pPr>
              <w:ind w:left="20"/>
              <w:spacing w:after="0"/>
              <w:rPr>
                <w:sz w:val="20"/>
                <w:szCs w:val="20"/>
                <w:color w:val="auto"/>
              </w:rPr>
            </w:pPr>
            <w:r>
              <w:rPr>
                <w:rFonts w:ascii="Arial" w:cs="Arial" w:eastAsia="Arial" w:hAnsi="Arial"/>
                <w:sz w:val="15"/>
                <w:szCs w:val="15"/>
                <w:b w:val="1"/>
                <w:bCs w:val="1"/>
                <w:color w:val="auto"/>
              </w:rPr>
              <w:t>(Provision) benefit for credit losses: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9"/>
        </w:trPr>
        <w:tc>
          <w:tcPr>
            <w:tcW w:w="5360" w:type="dxa"/>
            <w:vAlign w:val="bottom"/>
            <w:gridSpan w:val="2"/>
          </w:tcPr>
          <w:p>
            <w:pPr>
              <w:ind w:left="20"/>
              <w:spacing w:after="0"/>
              <w:rPr>
                <w:sz w:val="20"/>
                <w:szCs w:val="20"/>
                <w:color w:val="auto"/>
              </w:rPr>
            </w:pPr>
            <w:r>
              <w:rPr>
                <w:rFonts w:ascii="Arial" w:cs="Arial" w:eastAsia="Arial" w:hAnsi="Arial"/>
                <w:sz w:val="15"/>
                <w:szCs w:val="15"/>
                <w:color w:val="auto"/>
              </w:rPr>
              <w:t>Single-family (provision) benefit for credit losses</w:t>
            </w:r>
          </w:p>
        </w:tc>
        <w:tc>
          <w:tcPr>
            <w:tcW w:w="940" w:type="dxa"/>
            <w:vAlign w:val="bottom"/>
          </w:tcPr>
          <w:p>
            <w:pPr>
              <w:jc w:val="right"/>
              <w:ind w:right="763"/>
              <w:spacing w:after="0"/>
              <w:rPr>
                <w:sz w:val="20"/>
                <w:szCs w:val="20"/>
                <w:color w:val="auto"/>
              </w:rPr>
            </w:pPr>
            <w:r>
              <w:rPr>
                <w:rFonts w:ascii="Arial" w:cs="Arial" w:eastAsia="Arial" w:hAnsi="Arial"/>
                <w:sz w:val="15"/>
                <w:szCs w:val="15"/>
                <w:b w:val="1"/>
                <w:bCs w:val="1"/>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(737)</w:t>
            </w: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(761)</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883</w:t>
            </w:r>
          </w:p>
        </w:tc>
      </w:tr>
      <w:tr>
        <w:trPr>
          <w:trHeight w:val="303"/>
        </w:trPr>
        <w:tc>
          <w:tcPr>
            <w:tcW w:w="52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(provision) benefit for credit losses</w:t>
            </w:r>
          </w:p>
        </w:tc>
        <w:tc>
          <w:tcPr>
            <w:tcW w:w="100" w:type="dxa"/>
            <w:vAlign w:val="bottom"/>
          </w:tcPr>
          <w:p>
            <w:pPr>
              <w:spacing w:after="0"/>
              <w:rPr>
                <w:sz w:val="24"/>
                <w:szCs w:val="24"/>
                <w:color w:val="auto"/>
              </w:rPr>
            </w:pPr>
          </w:p>
        </w:tc>
        <w:tc>
          <w:tcPr>
            <w:tcW w:w="940" w:type="dxa"/>
            <w:vAlign w:val="bottom"/>
            <w:tcBorders>
              <w:bottom w:val="single" w:sz="8" w:color="216C2B"/>
            </w:tcBorders>
          </w:tcPr>
          <w:p>
            <w:pPr>
              <w:spacing w:after="0"/>
              <w:rPr>
                <w:sz w:val="24"/>
                <w:szCs w:val="24"/>
                <w:color w:val="auto"/>
              </w:rPr>
            </w:pPr>
          </w:p>
        </w:tc>
        <w:tc>
          <w:tcPr>
            <w:tcW w:w="44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24"/>
                <w:szCs w:val="24"/>
                <w:color w:val="auto"/>
              </w:rPr>
            </w:pPr>
          </w:p>
        </w:tc>
        <w:tc>
          <w:tcPr>
            <w:tcW w:w="300" w:type="dxa"/>
            <w:vAlign w:val="bottom"/>
            <w:tcBorders>
              <w:bottom w:val="single" w:sz="8" w:color="216C2B"/>
            </w:tcBorders>
          </w:tcPr>
          <w:p>
            <w:pPr>
              <w:spacing w:after="0"/>
              <w:rPr>
                <w:sz w:val="24"/>
                <w:szCs w:val="24"/>
                <w:color w:val="auto"/>
              </w:rPr>
            </w:pPr>
          </w:p>
        </w:tc>
        <w:tc>
          <w:tcPr>
            <w:tcW w:w="10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24"/>
                <w:szCs w:val="24"/>
                <w:color w:val="auto"/>
              </w:rPr>
            </w:pPr>
          </w:p>
        </w:tc>
        <w:tc>
          <w:tcPr>
            <w:tcW w:w="120" w:type="dxa"/>
            <w:vAlign w:val="bottom"/>
            <w:tcBorders>
              <w:bottom w:val="single" w:sz="8" w:color="216C2B"/>
            </w:tcBorders>
          </w:tcPr>
          <w:p>
            <w:pPr>
              <w:spacing w:after="0"/>
              <w:rPr>
                <w:sz w:val="24"/>
                <w:szCs w:val="24"/>
                <w:color w:val="auto"/>
              </w:rPr>
            </w:pPr>
          </w:p>
        </w:tc>
        <w:tc>
          <w:tcPr>
            <w:tcW w:w="128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(209)</w:t>
            </w:r>
          </w:p>
        </w:tc>
        <w:tc>
          <w:tcPr>
            <w:tcW w:w="80" w:type="dxa"/>
            <w:vAlign w:val="bottom"/>
          </w:tcPr>
          <w:p>
            <w:pPr>
              <w:spacing w:after="0"/>
              <w:rPr>
                <w:sz w:val="24"/>
                <w:szCs w:val="24"/>
                <w:color w:val="auto"/>
              </w:rPr>
            </w:pPr>
          </w:p>
        </w:tc>
        <w:tc>
          <w:tcPr>
            <w:tcW w:w="320" w:type="dxa"/>
            <w:vAlign w:val="bottom"/>
            <w:tcBorders>
              <w:bottom w:val="single" w:sz="8" w:color="216C2B"/>
            </w:tcBorders>
          </w:tcPr>
          <w:p>
            <w:pPr>
              <w:spacing w:after="0"/>
              <w:rPr>
                <w:sz w:val="24"/>
                <w:szCs w:val="24"/>
                <w:color w:val="auto"/>
              </w:rPr>
            </w:pPr>
          </w:p>
        </w:tc>
        <w:tc>
          <w:tcPr>
            <w:tcW w:w="10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(403)</w:t>
            </w:r>
          </w:p>
        </w:tc>
      </w:tr>
      <w:tr>
        <w:trPr>
          <w:trHeight w:val="302"/>
        </w:trPr>
        <w:tc>
          <w:tcPr>
            <w:tcW w:w="52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(provision) benefit for credit losses</w:t>
            </w:r>
          </w:p>
        </w:tc>
        <w:tc>
          <w:tcPr>
            <w:tcW w:w="100" w:type="dxa"/>
            <w:vAlign w:val="bottom"/>
          </w:tcPr>
          <w:p>
            <w:pPr>
              <w:spacing w:after="0"/>
              <w:rPr>
                <w:sz w:val="24"/>
                <w:szCs w:val="24"/>
                <w:color w:val="auto"/>
              </w:rPr>
            </w:pPr>
          </w:p>
        </w:tc>
        <w:tc>
          <w:tcPr>
            <w:tcW w:w="940" w:type="dxa"/>
            <w:vAlign w:val="bottom"/>
            <w:tcBorders>
              <w:bottom w:val="single" w:sz="8" w:color="2C6937"/>
            </w:tcBorders>
          </w:tcPr>
          <w:p>
            <w:pPr>
              <w:jc w:val="right"/>
              <w:ind w:right="763"/>
              <w:spacing w:after="0"/>
              <w:rPr>
                <w:sz w:val="20"/>
                <w:szCs w:val="20"/>
                <w:color w:val="auto"/>
              </w:rPr>
            </w:pPr>
            <w:r>
              <w:rPr>
                <w:rFonts w:ascii="Arial" w:cs="Arial" w:eastAsia="Arial" w:hAnsi="Arial"/>
                <w:sz w:val="15"/>
                <w:szCs w:val="15"/>
                <w:b w:val="1"/>
                <w:bCs w:val="1"/>
                <w:color w:val="auto"/>
                <w:w w:val="95"/>
              </w:rPr>
              <w:t>$</w:t>
            </w: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(946)</w:t>
            </w:r>
          </w:p>
        </w:tc>
        <w:tc>
          <w:tcPr>
            <w:tcW w:w="100" w:type="dxa"/>
            <w:vAlign w:val="bottom"/>
          </w:tcPr>
          <w:p>
            <w:pPr>
              <w:spacing w:after="0"/>
              <w:rPr>
                <w:sz w:val="24"/>
                <w:szCs w:val="24"/>
                <w:color w:val="auto"/>
              </w:rPr>
            </w:pPr>
          </w:p>
        </w:tc>
        <w:tc>
          <w:tcPr>
            <w:tcW w:w="30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(970)</w:t>
            </w:r>
          </w:p>
        </w:tc>
        <w:tc>
          <w:tcPr>
            <w:tcW w:w="8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480</w:t>
            </w:r>
          </w:p>
        </w:tc>
      </w:tr>
      <w:tr>
        <w:trPr>
          <w:trHeight w:val="20"/>
        </w:trPr>
        <w:tc>
          <w:tcPr>
            <w:tcW w:w="5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r>
      <w:tr>
        <w:trPr>
          <w:trHeight w:val="357"/>
        </w:trPr>
        <w:tc>
          <w:tcPr>
            <w:tcW w:w="53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(1)</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9"/>
        </w:trPr>
        <w:tc>
          <w:tcPr>
            <w:tcW w:w="536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940" w:type="dxa"/>
            <w:vAlign w:val="bottom"/>
          </w:tcPr>
          <w:p>
            <w:pPr>
              <w:jc w:val="right"/>
              <w:ind w:right="763"/>
              <w:spacing w:after="0"/>
              <w:rPr>
                <w:sz w:val="20"/>
                <w:szCs w:val="20"/>
                <w:color w:val="auto"/>
              </w:rPr>
            </w:pPr>
            <w:r>
              <w:rPr>
                <w:rFonts w:ascii="Arial" w:cs="Arial" w:eastAsia="Arial" w:hAnsi="Arial"/>
                <w:sz w:val="15"/>
                <w:szCs w:val="15"/>
                <w:b w:val="1"/>
                <w:bCs w:val="1"/>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2"/>
                <w:szCs w:val="22"/>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80" w:type="dxa"/>
            <w:vAlign w:val="bottom"/>
          </w:tcPr>
          <w:p>
            <w:pPr>
              <w:spacing w:after="0"/>
              <w:rPr>
                <w:sz w:val="22"/>
                <w:szCs w:val="22"/>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303"/>
        </w:trPr>
        <w:tc>
          <w:tcPr>
            <w:tcW w:w="52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2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62</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189</w:t>
            </w:r>
          </w:p>
        </w:tc>
      </w:tr>
      <w:tr>
        <w:trPr>
          <w:trHeight w:val="302"/>
        </w:trPr>
        <w:tc>
          <w:tcPr>
            <w:tcW w:w="536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p>
        </w:tc>
        <w:tc>
          <w:tcPr>
            <w:tcW w:w="940" w:type="dxa"/>
            <w:vAlign w:val="bottom"/>
          </w:tcPr>
          <w:p>
            <w:pPr>
              <w:jc w:val="right"/>
              <w:ind w:right="763"/>
              <w:spacing w:after="0"/>
              <w:rPr>
                <w:sz w:val="20"/>
                <w:szCs w:val="20"/>
                <w:color w:val="auto"/>
              </w:rPr>
            </w:pPr>
            <w:r>
              <w:rPr>
                <w:rFonts w:ascii="Arial" w:cs="Arial" w:eastAsia="Arial" w:hAnsi="Arial"/>
                <w:sz w:val="15"/>
                <w:szCs w:val="15"/>
                <w:b w:val="1"/>
                <w:bCs w:val="1"/>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3"/>
              <w:spacing w:after="0"/>
              <w:rPr>
                <w:sz w:val="20"/>
                <w:szCs w:val="20"/>
                <w:color w:val="auto"/>
              </w:rPr>
            </w:pPr>
            <w:r>
              <w:rPr>
                <w:rFonts w:ascii="Arial" w:cs="Arial" w:eastAsia="Arial" w:hAnsi="Arial"/>
                <w:sz w:val="15"/>
                <w:szCs w:val="15"/>
                <w:b w:val="1"/>
                <w:bCs w:val="1"/>
                <w:color w:val="auto"/>
              </w:rPr>
              <w:t>50</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100</w:t>
            </w:r>
          </w:p>
        </w:tc>
      </w:tr>
      <w:tr>
        <w:trPr>
          <w:trHeight w:val="20"/>
        </w:trPr>
        <w:tc>
          <w:tcPr>
            <w:tcW w:w="526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226600"/>
              <w:bottom w:val="single" w:sz="8" w:color="226600"/>
            </w:tcBorders>
          </w:tcPr>
          <w:p>
            <w:pPr>
              <w:spacing w:after="0" w:line="20" w:lineRule="exact"/>
              <w:rPr>
                <w:sz w:val="1"/>
                <w:szCs w:val="1"/>
                <w:color w:val="auto"/>
              </w:rPr>
            </w:pPr>
          </w:p>
        </w:tc>
        <w:tc>
          <w:tcPr>
            <w:tcW w:w="44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26600"/>
              <w:bottom w:val="single" w:sz="8" w:color="226600"/>
            </w:tcBorders>
          </w:tcPr>
          <w:p>
            <w:pPr>
              <w:spacing w:after="0" w:line="20" w:lineRule="exact"/>
              <w:rPr>
                <w:sz w:val="1"/>
                <w:szCs w:val="1"/>
                <w:color w:val="auto"/>
              </w:rPr>
            </w:pPr>
          </w:p>
        </w:tc>
        <w:tc>
          <w:tcPr>
            <w:tcW w:w="108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26600"/>
              <w:bottom w:val="single" w:sz="8" w:color="226600"/>
            </w:tcBorders>
          </w:tcPr>
          <w:p>
            <w:pPr>
              <w:spacing w:after="0" w:line="20" w:lineRule="exact"/>
              <w:rPr>
                <w:sz w:val="1"/>
                <w:szCs w:val="1"/>
                <w:color w:val="auto"/>
              </w:rPr>
            </w:pPr>
          </w:p>
        </w:tc>
        <w:tc>
          <w:tcPr>
            <w:tcW w:w="128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26600"/>
              <w:bottom w:val="single" w:sz="8" w:color="226600"/>
            </w:tcBorders>
          </w:tcPr>
          <w:p>
            <w:pPr>
              <w:spacing w:after="0" w:line="20" w:lineRule="exact"/>
              <w:rPr>
                <w:sz w:val="1"/>
                <w:szCs w:val="1"/>
                <w:color w:val="auto"/>
              </w:rPr>
            </w:pPr>
          </w:p>
        </w:tc>
        <w:tc>
          <w:tcPr>
            <w:tcW w:w="1080" w:type="dxa"/>
            <w:vAlign w:val="bottom"/>
            <w:tcBorders>
              <w:top w:val="single" w:sz="8" w:color="226600"/>
              <w:bottom w:val="single" w:sz="8" w:color="226600"/>
            </w:tcBorders>
          </w:tcPr>
          <w:p>
            <w:pPr>
              <w:spacing w:after="0" w:line="20" w:lineRule="exact"/>
              <w:rPr>
                <w:sz w:val="1"/>
                <w:szCs w:val="1"/>
                <w:color w:val="auto"/>
              </w:rPr>
            </w:pPr>
          </w:p>
        </w:tc>
      </w:tr>
    </w:tbl>
    <w:p>
      <w:pPr>
        <w:spacing w:after="0" w:line="83" w:lineRule="exact"/>
        <w:rPr>
          <w:sz w:val="20"/>
          <w:szCs w:val="20"/>
          <w:color w:val="auto"/>
        </w:rPr>
      </w:pPr>
    </w:p>
    <w:p>
      <w:pPr>
        <w:ind w:left="240" w:right="240" w:hanging="237"/>
        <w:spacing w:after="0" w:line="278" w:lineRule="auto"/>
        <w:tabs>
          <w:tab w:leader="none" w:pos="233" w:val="left"/>
        </w:tabs>
        <w:numPr>
          <w:ilvl w:val="0"/>
          <w:numId w:val="12"/>
        </w:numPr>
        <w:rPr>
          <w:rFonts w:ascii="Arial" w:cs="Arial" w:eastAsia="Arial" w:hAnsi="Arial"/>
          <w:sz w:val="9"/>
          <w:szCs w:val="9"/>
          <w:color w:val="auto"/>
        </w:rPr>
      </w:pPr>
      <w:r>
        <w:rPr>
          <w:rFonts w:ascii="Arial" w:cs="Arial" w:eastAsia="Arial" w:hAnsi="Arial"/>
          <w:sz w:val="14"/>
          <w:szCs w:val="14"/>
          <w:color w:val="auto"/>
        </w:rPr>
        <w:t>Consists of estimated changes in benefits from our freestanding credit enhancements, which are recognized as a component of “Other income (expenses), net” in our condensed consolidated statements of operations and comprehensive income.</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(Provision) Benefit for Credit Losses</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single-family provision for credit losses in the second quarter and first half of 2025 was primarily driven by lower actual and projected home price growth. During the second quarter and first half of 2025, forecasted home price growth was revised downwards compared to our previous estimates. In addition, actual home prices came in lower than we had previously projected. Lower home prices heighten the likelihood that loans will default and increase the amount of losses on loans that default, which impacts our estimate of losses and ultimately increases our loss reserves and provision for credit losses.</w:t>
      </w:r>
    </w:p>
    <w:p>
      <w:pPr>
        <w:spacing w:after="0" w:line="35"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See “Key Market Economic Indicators” in our 2024 Form 10-K for additional information about how home prices affect our credit loss estimates. See “Key Market Economic Indicators” in this report for a discussion of home price growth and our home price forecast. Also see “Critical Accounting Estimates” in this report for more information about our home price and interest rate forecasts and how they can impact our single-family (provision) benefit for credit losses.</w:t>
      </w:r>
    </w:p>
    <w:p>
      <w:pPr>
        <w:spacing w:after="0" w:line="3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single-family benefit for credit losses in the second quarter and first half of 2024 was primarily driven by a benefit from actual and forecasted home price growth, partially offset by a provision from changes in loan activity, as described below:</w:t>
      </w:r>
    </w:p>
    <w:p>
      <w:pPr>
        <w:spacing w:after="0" w:line="28" w:lineRule="exact"/>
        <w:rPr>
          <w:sz w:val="20"/>
          <w:szCs w:val="20"/>
          <w:color w:val="auto"/>
        </w:rPr>
      </w:pPr>
    </w:p>
    <w:p>
      <w:pPr>
        <w:ind w:left="620" w:right="120" w:hanging="307"/>
        <w:spacing w:after="0" w:line="293"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second quarter and first half of 2024, actual home prices appreciated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originally projected and our forecast of future home prices also improved.</w:t>
      </w:r>
    </w:p>
    <w:p>
      <w:pPr>
        <w:spacing w:after="0" w:line="14" w:lineRule="exact"/>
        <w:rPr>
          <w:rFonts w:ascii="Arial" w:cs="Arial" w:eastAsia="Arial" w:hAnsi="Arial"/>
          <w:sz w:val="16"/>
          <w:szCs w:val="16"/>
          <w:color w:val="auto"/>
        </w:rPr>
      </w:pPr>
    </w:p>
    <w:p>
      <w:pPr>
        <w:ind w:left="620" w:right="80" w:hanging="307"/>
        <w:spacing w:after="0" w:line="266"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single-family acquisitions for the second quarter and first half of 2024, which primarily consisted of purchase loans. Purchase loans generally have higher original loan-to-value (“LTV”) ratios than refinance loans; therefore, purchase loans have a higher estimated risk of default and loss severity in the allowance than refinance loans and a correspondingly higher credit loss provision at the time of acquisition.</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(Provision) Benefit for Credit Losses</w:t>
      </w:r>
    </w:p>
    <w:p>
      <w:pPr>
        <w:spacing w:after="0" w:line="67"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multifamily provision for credit losses in the second quarter and first half of 2025 was primarily driven by declines in actual and estimated near-term projected multifamily property values and new delinquencies during the second quarter.</w:t>
      </w:r>
    </w:p>
    <w:p>
      <w:pPr>
        <w:spacing w:after="0" w:line="28"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Our multifamily provision for credit losses in the second quarter of 2024 was primarily driven by continued declines in estimated actual and near-term projected multifamily property values and the impact of the then-new 30-day loan delinquencies in our multifamily guaranty book of business, including provision attributable to a portfolio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$600 million of adjustable-rate conventional loans that we anticipated would become seriously delinquent in the near term.</w:t>
      </w:r>
    </w:p>
    <w:p>
      <w:pPr>
        <w:spacing w:after="0" w:line="87"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Our multifamily provision for credit losses in the first half of 2024 was primarily driven by declines in estimated actual and near-term projected multifamily property values, the impact of the then-new 30-day loan delinquencies in our multifamily guaranty book of business, and increases in actual and projected interest rates.</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(Losses), Net</w:t>
      </w:r>
    </w:p>
    <w:p>
      <w:pPr>
        <w:spacing w:after="0" w:line="63"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(Losses),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Borders>
              <w:top w:val="single" w:sz="8" w:color="2C6937"/>
            </w:tcBorders>
          </w:tcPr>
          <w:p>
            <w:pPr>
              <w:spacing w:after="0"/>
              <w:rPr>
                <w:sz w:val="14"/>
                <w:szCs w:val="14"/>
                <w:color w:val="auto"/>
              </w:rPr>
            </w:pPr>
          </w:p>
        </w:tc>
        <w:tc>
          <w:tcPr>
            <w:tcW w:w="140" w:type="dxa"/>
            <w:vAlign w:val="bottom"/>
            <w:tcBorders>
              <w:top w:val="single" w:sz="8" w:color="2C6937"/>
            </w:tcBorders>
          </w:tcPr>
          <w:p>
            <w:pPr>
              <w:spacing w:after="0"/>
              <w:rPr>
                <w:sz w:val="14"/>
                <w:szCs w:val="14"/>
                <w:color w:val="auto"/>
              </w:rPr>
            </w:pPr>
          </w:p>
        </w:tc>
        <w:tc>
          <w:tcPr>
            <w:tcW w:w="2140" w:type="dxa"/>
            <w:vAlign w:val="bottom"/>
            <w:tcBorders>
              <w:top w:val="single" w:sz="8" w:color="2C6937"/>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top w:val="single" w:sz="8" w:color="2C6937"/>
            </w:tcBorders>
          </w:tcPr>
          <w:p>
            <w:pPr>
              <w:spacing w:after="0"/>
              <w:rPr>
                <w:sz w:val="14"/>
                <w:szCs w:val="14"/>
                <w:color w:val="auto"/>
              </w:rPr>
            </w:pPr>
          </w:p>
        </w:tc>
        <w:tc>
          <w:tcPr>
            <w:tcW w:w="1860" w:type="dxa"/>
            <w:vAlign w:val="bottom"/>
            <w:tcBorders>
              <w:top w:val="single" w:sz="8" w:color="2C6937"/>
            </w:tcBorders>
            <w:gridSpan w:val="4"/>
          </w:tcPr>
          <w:p>
            <w:pPr>
              <w:jc w:val="right"/>
              <w:ind w:right="63"/>
              <w:spacing w:after="0"/>
              <w:rPr>
                <w:sz w:val="20"/>
                <w:szCs w:val="20"/>
                <w:color w:val="auto"/>
              </w:rPr>
            </w:pPr>
            <w:r>
              <w:rPr>
                <w:rFonts w:ascii="Arial" w:cs="Arial" w:eastAsia="Arial" w:hAnsi="Arial"/>
                <w:sz w:val="14"/>
                <w:szCs w:val="14"/>
                <w:b w:val="1"/>
                <w:bCs w:val="1"/>
                <w:color w:val="auto"/>
                <w:w w:val="98"/>
              </w:rPr>
              <w:t>For the Six Months Ended</w:t>
            </w:r>
          </w:p>
        </w:tc>
      </w:tr>
      <w:tr>
        <w:trPr>
          <w:trHeight w:val="177"/>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5"/>
                <w:szCs w:val="15"/>
                <w:color w:val="auto"/>
              </w:rPr>
            </w:pPr>
          </w:p>
        </w:tc>
      </w:tr>
      <w:tr>
        <w:trPr>
          <w:trHeight w:val="18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2024</w:t>
            </w:r>
          </w:p>
        </w:tc>
      </w:tr>
      <w:tr>
        <w:trPr>
          <w:trHeight w:val="18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4"/>
        </w:trPr>
        <w:tc>
          <w:tcPr>
            <w:tcW w:w="710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 management derivatives fair value gains (losses) attributable to:</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4"/>
        </w:trPr>
        <w:tc>
          <w:tcPr>
            <w:tcW w:w="7100" w:type="dxa"/>
            <w:vAlign w:val="bottom"/>
            <w:gridSpan w:val="2"/>
          </w:tcPr>
          <w:p>
            <w:pPr>
              <w:ind w:left="180"/>
              <w:spacing w:after="0" w:line="225" w:lineRule="exact"/>
              <w:rPr>
                <w:sz w:val="20"/>
                <w:szCs w:val="20"/>
                <w:color w:val="auto"/>
              </w:rPr>
            </w:pPr>
            <w:r>
              <w:rPr>
                <w:rFonts w:ascii="Arial" w:cs="Arial" w:eastAsia="Arial" w:hAnsi="Arial"/>
                <w:sz w:val="15"/>
                <w:szCs w:val="15"/>
                <w:color w:val="auto"/>
              </w:rPr>
              <w:t>Net contractual interest income (expense) on interest-rate swaps</w:t>
            </w:r>
            <w:r>
              <w:rPr>
                <w:rFonts w:ascii="Arial" w:cs="Arial" w:eastAsia="Arial" w:hAnsi="Arial"/>
                <w:sz w:val="20"/>
                <w:szCs w:val="20"/>
                <w:color w:val="auto"/>
                <w:vertAlign w:val="superscript"/>
              </w:rPr>
              <w:t>(1)</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(152)</w:t>
            </w:r>
          </w:p>
        </w:tc>
        <w:tc>
          <w:tcPr>
            <w:tcW w:w="14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(288)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(337)</w:t>
            </w:r>
          </w:p>
        </w:tc>
        <w:tc>
          <w:tcPr>
            <w:tcW w:w="14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(588)</w:t>
            </w:r>
          </w:p>
        </w:tc>
      </w:tr>
      <w:tr>
        <w:trPr>
          <w:trHeight w:val="206"/>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change in fair value during the period</w:t>
            </w:r>
          </w:p>
        </w:tc>
        <w:tc>
          <w:tcPr>
            <w:tcW w:w="2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136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53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1,029</w:t>
            </w:r>
          </w:p>
        </w:tc>
      </w:tr>
      <w:tr>
        <w:trPr>
          <w:trHeight w:val="208"/>
        </w:trPr>
        <w:tc>
          <w:tcPr>
            <w:tcW w:w="6960" w:type="dxa"/>
            <w:vAlign w:val="bottom"/>
            <w:tcBorders>
              <w:bottom w:val="single" w:sz="8" w:color="2C6937"/>
            </w:tcBorders>
          </w:tcPr>
          <w:p>
            <w:pPr>
              <w:ind w:left="180"/>
              <w:spacing w:after="0" w:line="207"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108</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109</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300</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256</w:t>
            </w:r>
          </w:p>
        </w:tc>
      </w:tr>
      <w:tr>
        <w:trPr>
          <w:trHeight w:val="224"/>
        </w:trPr>
        <w:tc>
          <w:tcPr>
            <w:tcW w:w="7100" w:type="dxa"/>
            <w:vAlign w:val="bottom"/>
            <w:gridSpan w:val="2"/>
          </w:tcPr>
          <w:p>
            <w:pPr>
              <w:ind w:left="320"/>
              <w:spacing w:after="0"/>
              <w:rPr>
                <w:sz w:val="20"/>
                <w:szCs w:val="20"/>
                <w:color w:val="auto"/>
              </w:rPr>
            </w:pPr>
            <w:r>
              <w:rPr>
                <w:rFonts w:ascii="Arial" w:cs="Arial" w:eastAsia="Arial" w:hAnsi="Arial"/>
                <w:sz w:val="15"/>
                <w:szCs w:val="15"/>
                <w:color w:val="auto"/>
              </w:rPr>
              <w:t>Risk management derivatives fair value gains (losses), net</w:t>
            </w:r>
          </w:p>
        </w:tc>
        <w:tc>
          <w:tcPr>
            <w:tcW w:w="2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697</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(147)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(389)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301</w:t>
            </w: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r>
      <w:tr>
        <w:trPr>
          <w:trHeight w:val="198"/>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984</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Trading securities gains (losses), net</w:t>
            </w:r>
          </w:p>
        </w:tc>
        <w:tc>
          <w:tcPr>
            <w:tcW w:w="2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329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983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(140)</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(losses), net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(379)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128</w:t>
            </w:r>
          </w:p>
        </w:tc>
      </w:tr>
      <w:tr>
        <w:trPr>
          <w:trHeight w:val="208"/>
        </w:trPr>
        <w:tc>
          <w:tcPr>
            <w:tcW w:w="69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(3)</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16</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131</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r>
      <w:tr>
        <w:trPr>
          <w:trHeight w:val="19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net</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211</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447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334</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927</w:t>
            </w: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20" w:hanging="237"/>
        <w:spacing w:after="0" w:line="226" w:lineRule="auto"/>
        <w:tabs>
          <w:tab w:leader="none" w:pos="23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“Net contractual interest income (expense) on interest-rate swaps” is primarily impacted by changes in interest rates and changes in the composition of our interest-rate swaps portfolio.</w:t>
      </w:r>
    </w:p>
    <w:p>
      <w:pPr>
        <w:spacing w:after="0" w:line="14" w:lineRule="exact"/>
        <w:rPr>
          <w:rFonts w:ascii="Arial" w:cs="Arial" w:eastAsia="Arial" w:hAnsi="Arial"/>
          <w:sz w:val="18"/>
          <w:szCs w:val="18"/>
          <w:color w:val="auto"/>
          <w:vertAlign w:val="superscript"/>
        </w:rPr>
      </w:pPr>
    </w:p>
    <w:p>
      <w:pPr>
        <w:ind w:left="240" w:right="180" w:hanging="237"/>
        <w:spacing w:after="0" w:line="275" w:lineRule="auto"/>
        <w:tabs>
          <w:tab w:leader="none" w:pos="233"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that are recognized in “Net interest income.”</w:t>
      </w:r>
    </w:p>
    <w:p>
      <w:pPr>
        <w:ind w:left="220" w:hanging="217"/>
        <w:spacing w:after="0"/>
        <w:tabs>
          <w:tab w:leader="none" w:pos="2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Consists primarily of fair value gains and losses on mortgage loans held at fair value.</w:t>
      </w:r>
    </w:p>
    <w:p>
      <w:pPr>
        <w:spacing w:after="0" w:line="53" w:lineRule="exact"/>
        <w:rPr>
          <w:sz w:val="20"/>
          <w:szCs w:val="20"/>
          <w:color w:val="auto"/>
        </w:rPr>
      </w:pPr>
    </w:p>
    <w:p>
      <w:pPr>
        <w:jc w:val="both"/>
        <w:ind w:right="380"/>
        <w:spacing w:after="0" w:line="270" w:lineRule="auto"/>
        <w:rPr>
          <w:sz w:val="20"/>
          <w:szCs w:val="20"/>
          <w:color w:val="auto"/>
        </w:rPr>
      </w:pPr>
      <w:r>
        <w:rPr>
          <w:rFonts w:ascii="Arial" w:cs="Arial" w:eastAsia="Arial" w:hAnsi="Arial"/>
          <w:sz w:val="16"/>
          <w:szCs w:val="16"/>
          <w:color w:val="auto"/>
        </w:rPr>
        <w:t>Fair value gains, net in the second quarter and first half of 2025 were primarily driven by declining interest rates, resulting in gains on fixed-rate trading securities, partially offset by losses on mortgage commitment derivatives, long-term debt of consolidated trusts held at fair value, and risk management derivatives excluding the impact of hedge accounting.</w:t>
      </w:r>
    </w:p>
    <w:p>
      <w:pPr>
        <w:spacing w:after="0" w:line="33"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Fair value gains, net in the second quarter and first half of 2024 were primarily driven by rising interest rates, resulting in gains on risk management derivatives and mortgage commitment derivatives. Also contributing to fair value gains, net in the second quarter of 2024 were fair value gains on trading securities, which were primarily driven by our holdings of U.S. Treasury securities moving closer to maturity, which resulted in the reversal of previously recognized fair value losses.</w:t>
      </w:r>
    </w:p>
    <w:p>
      <w:pPr>
        <w:spacing w:after="0" w:line="3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impact of hedge accounting resulted in incremental gains for each of the respective periods. Our hedge accounting program is designed to hedge our exposure to changes in benchmark interest rates and, therefore, offsets a portion of the fair value volatility we would otherwise experience. The fair value gains and losses after the impact of hedge accounting primarily relate to spreads, convexity, and other components that are not effectively or intended to be captured by our hedge accounting program.</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Legislative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legislative assessments.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Legislative Assessments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60" w:type="dxa"/>
            <w:vAlign w:val="bottom"/>
            <w:tcBorders>
              <w:top w:val="single" w:sz="8" w:color="2C6937"/>
            </w:tcBorders>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2480" w:type="dxa"/>
            <w:vAlign w:val="bottom"/>
            <w:tcBorders>
              <w:top w:val="single" w:sz="8" w:color="2C6937"/>
            </w:tcBorders>
            <w:gridSpan w:val="6"/>
          </w:tcPr>
          <w:p>
            <w:pPr>
              <w:ind w:left="140"/>
              <w:spacing w:after="0" w:line="161" w:lineRule="exact"/>
              <w:rPr>
                <w:sz w:val="20"/>
                <w:szCs w:val="20"/>
                <w:color w:val="auto"/>
              </w:rPr>
            </w:pPr>
            <w:r>
              <w:rPr>
                <w:rFonts w:ascii="Arial" w:cs="Arial" w:eastAsia="Arial" w:hAnsi="Arial"/>
                <w:sz w:val="15"/>
                <w:szCs w:val="15"/>
                <w:b w:val="1"/>
                <w:bCs w:val="1"/>
                <w:color w:val="auto"/>
              </w:rPr>
              <w:t>For the Three Months Ended</w:t>
            </w:r>
          </w:p>
        </w:tc>
        <w:tc>
          <w:tcPr>
            <w:tcW w:w="2400" w:type="dxa"/>
            <w:vAlign w:val="bottom"/>
            <w:tcBorders>
              <w:top w:val="single" w:sz="8" w:color="2C6937"/>
            </w:tcBorders>
            <w:gridSpan w:val="6"/>
          </w:tcPr>
          <w:p>
            <w:pPr>
              <w:jc w:val="right"/>
              <w:spacing w:after="0" w:line="161" w:lineRule="exact"/>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gridSpan w:val="3"/>
          </w:tcPr>
          <w:p>
            <w:pPr>
              <w:jc w:val="right"/>
              <w:ind w:right="180"/>
              <w:spacing w:after="0"/>
              <w:rPr>
                <w:sz w:val="20"/>
                <w:szCs w:val="20"/>
                <w:color w:val="auto"/>
              </w:rPr>
            </w:pPr>
            <w:r>
              <w:rPr>
                <w:rFonts w:ascii="Arial" w:cs="Arial" w:eastAsia="Arial" w:hAnsi="Arial"/>
                <w:sz w:val="15"/>
                <w:szCs w:val="15"/>
                <w:b w:val="1"/>
                <w:bCs w:val="1"/>
                <w:color w:val="auto"/>
                <w:w w:val="95"/>
              </w:rPr>
              <w:t>30,</w:t>
            </w:r>
          </w:p>
        </w:tc>
        <w:tc>
          <w:tcPr>
            <w:tcW w:w="900" w:type="dxa"/>
            <w:vAlign w:val="bottom"/>
            <w:tcBorders>
              <w:bottom w:val="single" w:sz="8" w:color="2C6937"/>
            </w:tcBorders>
          </w:tcPr>
          <w:p>
            <w:pPr>
              <w:spacing w:after="0"/>
              <w:rPr>
                <w:sz w:val="17"/>
                <w:szCs w:val="17"/>
                <w:color w:val="auto"/>
              </w:rPr>
            </w:pPr>
          </w:p>
        </w:tc>
      </w:tr>
      <w:tr>
        <w:trPr>
          <w:trHeight w:val="199"/>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3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r>
      <w:tr>
        <w:trPr>
          <w:trHeight w:val="207"/>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4"/>
          </w:tcPr>
          <w:p>
            <w:pPr>
              <w:jc w:val="right"/>
              <w:ind w:right="343"/>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(1)</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856</w:t>
            </w:r>
          </w:p>
        </w:tc>
        <w:tc>
          <w:tcPr>
            <w:tcW w:w="100" w:type="dxa"/>
            <w:vAlign w:val="bottom"/>
          </w:tcPr>
          <w:p>
            <w:pPr>
              <w:spacing w:after="0"/>
              <w:rPr>
                <w:sz w:val="20"/>
                <w:szCs w:val="20"/>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20"/>
                <w:szCs w:val="20"/>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1,715</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1,719</w:t>
            </w:r>
          </w:p>
        </w:tc>
      </w:tr>
      <w:tr>
        <w:trPr>
          <w:trHeight w:val="219"/>
        </w:trPr>
        <w:tc>
          <w:tcPr>
            <w:tcW w:w="636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FHFA assessments</w:t>
            </w:r>
            <w:r>
              <w:rPr>
                <w:rFonts w:ascii="Arial" w:cs="Arial" w:eastAsia="Arial" w:hAnsi="Arial"/>
                <w:sz w:val="20"/>
                <w:szCs w:val="20"/>
                <w:color w:val="auto"/>
                <w:vertAlign w:val="superscript"/>
              </w:rPr>
              <w:t>(2)</w:t>
            </w:r>
          </w:p>
        </w:tc>
        <w:tc>
          <w:tcPr>
            <w:tcW w:w="780" w:type="dxa"/>
            <w:vAlign w:val="bottom"/>
          </w:tcPr>
          <w:p>
            <w:pPr>
              <w:spacing w:after="0"/>
              <w:rPr>
                <w:sz w:val="19"/>
                <w:szCs w:val="19"/>
                <w:color w:val="auto"/>
              </w:rPr>
            </w:pP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04"/>
        </w:trPr>
        <w:tc>
          <w:tcPr>
            <w:tcW w:w="6360" w:type="dxa"/>
            <w:vAlign w:val="bottom"/>
            <w:gridSpan w:val="2"/>
          </w:tcPr>
          <w:p>
            <w:pPr>
              <w:ind w:left="20"/>
              <w:spacing w:after="0" w:line="205" w:lineRule="exact"/>
              <w:rPr>
                <w:sz w:val="20"/>
                <w:szCs w:val="20"/>
                <w:color w:val="auto"/>
              </w:rPr>
            </w:pPr>
            <w:r>
              <w:rPr>
                <w:rFonts w:ascii="Arial" w:cs="Arial" w:eastAsia="Arial" w:hAnsi="Arial"/>
                <w:sz w:val="15"/>
                <w:szCs w:val="15"/>
                <w:color w:val="auto"/>
              </w:rPr>
              <w:t>Affordable housing allocations:</w:t>
            </w:r>
            <w:r>
              <w:rPr>
                <w:rFonts w:ascii="Arial" w:cs="Arial" w:eastAsia="Arial" w:hAnsi="Arial"/>
                <w:sz w:val="20"/>
                <w:szCs w:val="20"/>
                <w:color w:val="auto"/>
                <w:vertAlign w:val="superscript"/>
              </w:rPr>
              <w:t>(3)</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6360" w:type="dxa"/>
            <w:vAlign w:val="bottom"/>
            <w:gridSpan w:val="2"/>
          </w:tcPr>
          <w:p>
            <w:pPr>
              <w:ind w:left="120"/>
              <w:spacing w:after="0"/>
              <w:rPr>
                <w:sz w:val="20"/>
                <w:szCs w:val="20"/>
                <w:color w:val="auto"/>
              </w:rPr>
            </w:pPr>
            <w:r>
              <w:rPr>
                <w:rFonts w:ascii="Arial" w:cs="Arial" w:eastAsia="Arial" w:hAnsi="Arial"/>
                <w:sz w:val="15"/>
                <w:szCs w:val="15"/>
                <w:color w:val="auto"/>
              </w:rPr>
              <w:t>Treasury’s Capital Magnet Fund</w:t>
            </w:r>
          </w:p>
        </w:tc>
        <w:tc>
          <w:tcPr>
            <w:tcW w:w="780" w:type="dxa"/>
            <w:vAlign w:val="bottom"/>
          </w:tcPr>
          <w:p>
            <w:pPr>
              <w:spacing w:after="0"/>
              <w:rPr>
                <w:sz w:val="17"/>
                <w:szCs w:val="17"/>
                <w:color w:val="auto"/>
              </w:rPr>
            </w:pP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8"/>
        </w:trPr>
        <w:tc>
          <w:tcPr>
            <w:tcW w:w="626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HUD’s Housing Trust Fund</w:t>
            </w:r>
          </w:p>
        </w:tc>
        <w:tc>
          <w:tcPr>
            <w:tcW w:w="10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27</w:t>
            </w: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w:t>
            </w:r>
          </w:p>
        </w:tc>
        <w:tc>
          <w:tcPr>
            <w:tcW w:w="6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r>
      <w:tr>
        <w:trPr>
          <w:trHeight w:val="199"/>
        </w:trPr>
        <w:tc>
          <w:tcPr>
            <w:tcW w:w="62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affordable housing allocations</w:t>
            </w:r>
          </w:p>
        </w:tc>
        <w:tc>
          <w:tcPr>
            <w:tcW w:w="100" w:type="dxa"/>
            <w:vAlign w:val="bottom"/>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42</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74</w:t>
            </w:r>
          </w:p>
        </w:tc>
        <w:tc>
          <w:tcPr>
            <w:tcW w:w="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70</w:t>
            </w:r>
          </w:p>
        </w:tc>
      </w:tr>
      <w:tr>
        <w:trPr>
          <w:trHeight w:val="199"/>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Total legislative assessments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939</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939</w:t>
            </w:r>
          </w:p>
        </w:tc>
        <w:tc>
          <w:tcPr>
            <w:tcW w:w="10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1,870</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1,869</w:t>
            </w:r>
          </w:p>
        </w:tc>
      </w:tr>
      <w:tr>
        <w:trPr>
          <w:trHeight w:val="20"/>
        </w:trPr>
        <w:tc>
          <w:tcPr>
            <w:tcW w:w="6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r>
    </w:tbl>
    <w:p>
      <w:pPr>
        <w:spacing w:after="0" w:line="186" w:lineRule="exact"/>
        <w:rPr>
          <w:sz w:val="20"/>
          <w:szCs w:val="20"/>
          <w:color w:val="auto"/>
        </w:rPr>
      </w:pPr>
    </w:p>
    <w:p>
      <w:pPr>
        <w:ind w:left="240" w:right="40" w:hanging="237"/>
        <w:spacing w:after="0" w:line="226"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TCCA fees are expenses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27" w:lineRule="exact"/>
        <w:rPr>
          <w:rFonts w:ascii="Arial" w:cs="Arial" w:eastAsia="Arial" w:hAnsi="Arial"/>
          <w:sz w:val="18"/>
          <w:szCs w:val="18"/>
          <w:color w:val="auto"/>
          <w:vertAlign w:val="superscript"/>
        </w:rPr>
      </w:pPr>
    </w:p>
    <w:p>
      <w:pPr>
        <w:ind w:left="240" w:right="100" w:hanging="237"/>
        <w:spacing w:after="0" w:line="218"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FHFA assessments are expenses relating to our obligation under the Federal Housing Enterprises Financial Safety and Soundness Act of 1992, as amended (the “GSE Act”) to pay FHFA to cover a portion of its costs, expenses and working capital.</w:t>
      </w:r>
    </w:p>
    <w:p>
      <w:pPr>
        <w:spacing w:after="0" w:line="26" w:lineRule="exact"/>
        <w:rPr>
          <w:rFonts w:ascii="Arial" w:cs="Arial" w:eastAsia="Arial" w:hAnsi="Arial"/>
          <w:sz w:val="18"/>
          <w:szCs w:val="18"/>
          <w:color w:val="auto"/>
          <w:vertAlign w:val="superscript"/>
        </w:rPr>
      </w:pPr>
    </w:p>
    <w:p>
      <w:pPr>
        <w:ind w:left="240" w:right="20" w:hanging="237"/>
        <w:spacing w:after="0" w:line="257" w:lineRule="auto"/>
        <w:tabs>
          <w:tab w:leader="none" w:pos="233" w:val="left"/>
        </w:tabs>
        <w:numPr>
          <w:ilvl w:val="0"/>
          <w:numId w:val="15"/>
        </w:numPr>
        <w:rPr>
          <w:rFonts w:ascii="Arial" w:cs="Arial" w:eastAsia="Arial" w:hAnsi="Arial"/>
          <w:sz w:val="9"/>
          <w:szCs w:val="9"/>
          <w:color w:val="auto"/>
        </w:rPr>
      </w:pPr>
      <w:r>
        <w:rPr>
          <w:rFonts w:ascii="Arial" w:cs="Arial" w:eastAsia="Arial" w:hAnsi="Arial"/>
          <w:sz w:val="14"/>
          <w:szCs w:val="14"/>
          <w:color w:val="auto"/>
        </w:rPr>
        <w:t>Affordable housing allocations relates to the GSE Act requirement to set aside each year an amount equal to 4.2 basis points of the unpaid principal balance of our new business purchases and to pay this amount to specified U.S. Department of Housing and Urban Development (“HUD”) and Treasury funds in support of affordable housing. In March 2025, we paid $160 million to the funds based on our new business purchases in 2024. For the first half of 2025, we recognized an expense of $74 million related to this obligation based on $176.7 billion in new business purchases during the period. We expect to pay this amount to the funds in 2026, plus additional amounts to be accrued based on our new business purchases in the second half of 2025.</w:t>
      </w:r>
    </w:p>
    <w:p>
      <w:pPr>
        <w:spacing w:after="0" w:line="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Administrative Expenses</w:t>
      </w:r>
    </w:p>
    <w:p>
      <w:pPr>
        <w:spacing w:after="0" w:line="7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Administrative expenses decreased from $899 million in the second quarter of 2024 to $847 million in the second quarter of 2025, primarily driven by fewer employees and contractors partially offset by an increase in occupancy expense primarily as a result of our lease modifications in 2024. Administrative expenses increased from $1,788 million in the first half of 2024 to $1,839 million in the first half of 2025, primarily driven by an increase in severance accruals partially offset by a decrease driven by fewer contractors.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620" w:type="dxa"/>
            <w:vAlign w:val="bottom"/>
            <w:tcBorders>
              <w:top w:val="single" w:sz="8" w:color="2C6937"/>
              <w:bottom w:val="single" w:sz="8" w:color="2C6937"/>
            </w:tcBorders>
            <w:gridSpan w:val="3"/>
          </w:tcPr>
          <w:p>
            <w:pPr>
              <w:ind w:left="104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40" w:type="dxa"/>
            <w:vAlign w:val="bottom"/>
            <w:tcBorders>
              <w:top w:val="single" w:sz="8" w:color="2C6937"/>
            </w:tcBorders>
          </w:tcPr>
          <w:p>
            <w:pPr>
              <w:spacing w:after="0"/>
              <w:rPr>
                <w:sz w:val="17"/>
                <w:szCs w:val="17"/>
                <w:color w:val="auto"/>
              </w:rPr>
            </w:pPr>
          </w:p>
        </w:tc>
        <w:tc>
          <w:tcPr>
            <w:tcW w:w="108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June 30, 2025</w:t>
            </w:r>
          </w:p>
        </w:tc>
        <w:tc>
          <w:tcPr>
            <w:tcW w:w="144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38,229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38,853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Restricted cash and cash equivalents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40,323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39,958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23,753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15,975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7,778</w:t>
            </w:r>
          </w:p>
        </w:tc>
        <w:tc>
          <w:tcPr>
            <w:tcW w:w="0" w:type="dxa"/>
            <w:vAlign w:val="bottom"/>
          </w:tcPr>
          <w:p>
            <w:pPr>
              <w:spacing w:after="0"/>
              <w:rPr>
                <w:sz w:val="1"/>
                <w:szCs w:val="1"/>
                <w:color w:val="auto"/>
              </w:rPr>
            </w:pPr>
          </w:p>
        </w:tc>
      </w:tr>
      <w:tr>
        <w:trPr>
          <w:trHeight w:val="208"/>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77,430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79,197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(1,767)</w:t>
            </w:r>
          </w:p>
        </w:tc>
        <w:tc>
          <w:tcPr>
            <w:tcW w:w="0" w:type="dxa"/>
            <w:vAlign w:val="bottom"/>
          </w:tcPr>
          <w:p>
            <w:pPr>
              <w:spacing w:after="0"/>
              <w:rPr>
                <w:sz w:val="1"/>
                <w:szCs w:val="1"/>
                <w:color w:val="auto"/>
              </w:rPr>
            </w:pPr>
          </w:p>
        </w:tc>
      </w:tr>
      <w:tr>
        <w:trPr>
          <w:trHeight w:val="204"/>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52,293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50,408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1,885</w:t>
            </w:r>
          </w:p>
        </w:tc>
        <w:tc>
          <w:tcPr>
            <w:tcW w:w="0" w:type="dxa"/>
            <w:vAlign w:val="bottom"/>
          </w:tcPr>
          <w:p>
            <w:pPr>
              <w:spacing w:after="0"/>
              <w:rPr>
                <w:sz w:val="1"/>
                <w:szCs w:val="1"/>
                <w:color w:val="auto"/>
              </w:rPr>
            </w:pPr>
          </w:p>
        </w:tc>
      </w:tr>
      <w:tr>
        <w:trPr>
          <w:trHeight w:val="206"/>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4,076,085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4,095,305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(19,220)</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(8,247)</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(7,707)</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(540)</w:t>
            </w:r>
          </w:p>
        </w:tc>
        <w:tc>
          <w:tcPr>
            <w:tcW w:w="0" w:type="dxa"/>
            <w:vAlign w:val="bottom"/>
          </w:tcPr>
          <w:p>
            <w:pPr>
              <w:spacing w:after="0"/>
              <w:rPr>
                <w:sz w:val="1"/>
                <w:szCs w:val="1"/>
                <w:color w:val="auto"/>
              </w:rPr>
            </w:pPr>
          </w:p>
        </w:tc>
      </w:tr>
      <w:tr>
        <w:trPr>
          <w:trHeight w:val="198"/>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4,120,131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4,138,006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(17,875)</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10,127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10,545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28,234</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27,197</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1,037</w:t>
            </w:r>
          </w:p>
        </w:tc>
        <w:tc>
          <w:tcPr>
            <w:tcW w:w="0" w:type="dxa"/>
            <w:vAlign w:val="bottom"/>
          </w:tcPr>
          <w:p>
            <w:pPr>
              <w:spacing w:after="0"/>
              <w:rPr>
                <w:sz w:val="1"/>
                <w:szCs w:val="1"/>
                <w:color w:val="auto"/>
              </w:rPr>
            </w:pPr>
          </w:p>
        </w:tc>
      </w:tr>
      <w:tr>
        <w:trPr>
          <w:trHeight w:val="199"/>
        </w:trPr>
        <w:tc>
          <w:tcPr>
            <w:tcW w:w="6960" w:type="dxa"/>
            <w:vAlign w:val="bottom"/>
            <w:tcBorders>
              <w:bottom w:val="single" w:sz="8" w:color="2C6937"/>
            </w:tcBorders>
          </w:tcPr>
          <w:p>
            <w:pPr>
              <w:ind w:left="60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4,338,227</w:t>
            </w:r>
          </w:p>
        </w:tc>
        <w:tc>
          <w:tcPr>
            <w:tcW w:w="100" w:type="dxa"/>
            <w:vAlign w:val="bottom"/>
          </w:tcPr>
          <w:p>
            <w:pPr>
              <w:spacing w:after="0"/>
              <w:rPr>
                <w:sz w:val="17"/>
                <w:szCs w:val="17"/>
                <w:color w:val="auto"/>
              </w:rPr>
            </w:pPr>
          </w:p>
        </w:tc>
        <w:tc>
          <w:tcPr>
            <w:tcW w:w="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4,349,731</w:t>
            </w:r>
          </w:p>
        </w:tc>
        <w:tc>
          <w:tcPr>
            <w:tcW w:w="100" w:type="dxa"/>
            <w:vAlign w:val="bottom"/>
          </w:tcPr>
          <w:p>
            <w:pPr>
              <w:spacing w:after="0"/>
              <w:rPr>
                <w:sz w:val="17"/>
                <w:szCs w:val="17"/>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(11,504)</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6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2C6937"/>
            </w:tcBorders>
          </w:tcPr>
          <w:p>
            <w:pPr>
              <w:spacing w:after="0"/>
              <w:rPr>
                <w:sz w:val="17"/>
                <w:szCs w:val="17"/>
                <w:color w:val="auto"/>
              </w:rPr>
            </w:pPr>
          </w:p>
        </w:tc>
        <w:tc>
          <w:tcPr>
            <w:tcW w:w="108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128,316</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139,422</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(11,106)</w:t>
            </w:r>
          </w:p>
        </w:tc>
        <w:tc>
          <w:tcPr>
            <w:tcW w:w="0" w:type="dxa"/>
            <w:vAlign w:val="bottom"/>
          </w:tcPr>
          <w:p>
            <w:pPr>
              <w:spacing w:after="0"/>
              <w:rPr>
                <w:sz w:val="1"/>
                <w:szCs w:val="1"/>
                <w:color w:val="auto"/>
              </w:rPr>
            </w:pPr>
          </w:p>
        </w:tc>
      </w:tr>
      <w:tr>
        <w:trPr>
          <w:trHeight w:val="206"/>
        </w:trPr>
        <w:tc>
          <w:tcPr>
            <w:tcW w:w="706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4,082,196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4,088,675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(6,479)</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26,079</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26,977</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(898)</w:t>
            </w:r>
          </w:p>
        </w:tc>
        <w:tc>
          <w:tcPr>
            <w:tcW w:w="0" w:type="dxa"/>
            <w:vAlign w:val="bottom"/>
          </w:tcPr>
          <w:p>
            <w:pPr>
              <w:spacing w:after="0"/>
              <w:rPr>
                <w:sz w:val="1"/>
                <w:szCs w:val="1"/>
                <w:color w:val="auto"/>
              </w:rPr>
            </w:pPr>
          </w:p>
        </w:tc>
      </w:tr>
      <w:tr>
        <w:trPr>
          <w:trHeight w:val="198"/>
        </w:trPr>
        <w:tc>
          <w:tcPr>
            <w:tcW w:w="706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4,236,591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4,255,074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(18,483)</w:t>
            </w:r>
          </w:p>
        </w:tc>
        <w:tc>
          <w:tcPr>
            <w:tcW w:w="0" w:type="dxa"/>
            <w:vAlign w:val="bottom"/>
          </w:tcPr>
          <w:p>
            <w:pPr>
              <w:spacing w:after="0"/>
              <w:rPr>
                <w:sz w:val="1"/>
                <w:szCs w:val="1"/>
                <w:color w:val="auto"/>
              </w:rPr>
            </w:pP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stockholders’ equity</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101,636</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94,657</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6,979</w:t>
            </w:r>
          </w:p>
        </w:tc>
        <w:tc>
          <w:tcPr>
            <w:tcW w:w="0" w:type="dxa"/>
            <w:vAlign w:val="bottom"/>
          </w:tcPr>
          <w:p>
            <w:pPr>
              <w:spacing w:after="0"/>
              <w:rPr>
                <w:sz w:val="1"/>
                <w:szCs w:val="1"/>
                <w:color w:val="auto"/>
              </w:rPr>
            </w:pPr>
          </w:p>
        </w:tc>
      </w:tr>
      <w:tr>
        <w:trPr>
          <w:trHeight w:val="199"/>
        </w:trPr>
        <w:tc>
          <w:tcPr>
            <w:tcW w:w="7060" w:type="dxa"/>
            <w:vAlign w:val="bottom"/>
            <w:gridSpan w:val="2"/>
          </w:tcPr>
          <w:p>
            <w:pPr>
              <w:ind w:left="600"/>
              <w:spacing w:after="0"/>
              <w:rPr>
                <w:sz w:val="20"/>
                <w:szCs w:val="20"/>
                <w:color w:val="auto"/>
              </w:rPr>
            </w:pPr>
            <w:r>
              <w:rPr>
                <w:rFonts w:ascii="Arial" w:cs="Arial" w:eastAsia="Arial" w:hAnsi="Arial"/>
                <w:sz w:val="15"/>
                <w:szCs w:val="15"/>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4,338,227</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4,349,731</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(11,504)</w:t>
            </w:r>
          </w:p>
        </w:tc>
        <w:tc>
          <w:tcPr>
            <w:tcW w:w="0" w:type="dxa"/>
            <w:vAlign w:val="bottom"/>
          </w:tcPr>
          <w:p>
            <w:pPr>
              <w:spacing w:after="0"/>
              <w:rPr>
                <w:sz w:val="1"/>
                <w:szCs w:val="1"/>
                <w:color w:val="auto"/>
              </w:rPr>
            </w:pP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Securities Purchased Under Agreements to Resell</w:t>
      </w:r>
    </w:p>
    <w:p>
      <w:pPr>
        <w:spacing w:after="0" w:line="6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The increase in securities purchased under agreements to resell from December 31, 2024 to June 30, 2025 was primarily due to the reinvestment of proceeds from sales of MBS securities held in our retained mortgage portfolio.</w:t>
      </w:r>
    </w:p>
    <w:p>
      <w:pPr>
        <w:spacing w:after="0" w:line="7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 for Loan Losses</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held for sale (“HFS”) or held for investment (“HFI”) and include loans owned by Fannie Mae and loans held in consolidated trusts.</w:t>
      </w:r>
    </w:p>
    <w:p>
      <w:pPr>
        <w:spacing w:after="0" w:line="1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Mortgage loans, net of allowance for loan losses decreased from December 31, 2024 to June 30, 2025, driven primarily by loan paydowns, liquidations and sales outpacing acquisitions during the first half of 2025.</w:t>
      </w:r>
    </w:p>
    <w:p>
      <w:pPr>
        <w:spacing w:after="0" w:line="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Loan Losses.”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Debt of Fannie Mae decreased from December 31, 2024 to June 30, 2025 as our funding needs were primarily satisfied by earnings retained from our operations. The decrease in debt of consolidated trusts from December 31, 2024 to June 30, 2025 was primarily driven by liquidations and extinguishments outpacing issuance activities, offset by sales of MBS held in our retained mortgage portfolio. See “Liquidity and Capital Management—Liquidity Management—Debt Funding” for a summary of activity in debt of Fannie Mae and information on our outstanding short-term and long-term debt. Also see “Note 8, Short-Term and Long-Term Debt” for additional information on our total outstanding debt.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ind w:left="900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portfolio securitization transactions and to support our loss mitigation activities.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 classify our retained mortgage portfolio into three categories:</w:t>
      </w:r>
    </w:p>
    <w:p>
      <w:pPr>
        <w:spacing w:after="0" w:line="61" w:lineRule="exact"/>
        <w:rPr>
          <w:sz w:val="20"/>
          <w:szCs w:val="20"/>
          <w:color w:val="auto"/>
        </w:rPr>
      </w:pPr>
    </w:p>
    <w:p>
      <w:pPr>
        <w:ind w:left="620" w:right="320" w:hanging="307"/>
        <w:spacing w:after="0" w:line="293"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Lender liquidity </w:t>
      </w:r>
      <w:r>
        <w:rPr>
          <w:rFonts w:ascii="Arial" w:cs="Arial" w:eastAsia="Arial" w:hAnsi="Arial"/>
          <w:sz w:val="16"/>
          <w:szCs w:val="16"/>
          <w:color w:val="auto"/>
        </w:rPr>
        <w:t>includes balances related to our portfolio securitization activity, which supports our efforts to provide liquidity to the single-family</w:t>
      </w:r>
      <w:r>
        <w:rPr>
          <w:rFonts w:ascii="Arial" w:cs="Arial" w:eastAsia="Arial" w:hAnsi="Arial"/>
          <w:sz w:val="16"/>
          <w:szCs w:val="16"/>
          <w:i w:val="1"/>
          <w:iCs w:val="1"/>
          <w:color w:val="auto"/>
        </w:rPr>
        <w:t xml:space="preserve"> </w:t>
      </w:r>
      <w:r>
        <w:rPr>
          <w:rFonts w:ascii="Arial" w:cs="Arial" w:eastAsia="Arial" w:hAnsi="Arial"/>
          <w:sz w:val="16"/>
          <w:szCs w:val="16"/>
          <w:color w:val="auto"/>
        </w:rPr>
        <w:t>and 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includes delinquent mortgage loans from our MBS trusts, which enables us to initiate certain loss mitigation efforts.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primarily represents assets that we previously purchased for investment purposes.</w:t>
      </w:r>
    </w:p>
    <w:p>
      <w:pPr>
        <w:spacing w:after="0" w:line="87"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The following table displays the components of our retained mortgage portfolio. Based on the nature of the asset, these balances are included in either “Investments in securities, at fair value” or “Mortgage loans, net of allowance for loan losses” in our “Summary of Condensed Consolidated Balance Sheets.”</w:t>
      </w:r>
    </w:p>
    <w:p>
      <w:pPr>
        <w:spacing w:after="0" w:line="32"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auto"/>
        </w:rPr>
        <w:t>The decrease in our retained mortgage portfolio as of June 30, 2025 compared with December 31, 2024 was primarily due to a decrease in our lender liquidity portfolio driven by lower holdings in agency securities and mortgage loans.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1543"/>
        </w:rPr>
        <w:t>Retained Mortgage Portfolio</w:t>
      </w:r>
    </w:p>
    <w:p>
      <w:pPr>
        <w:spacing w:after="0" w:line="41"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6920" w:type="dxa"/>
            <w:vAlign w:val="bottom"/>
            <w:tcBorders>
              <w:top w:val="single" w:sz="8" w:color="2C6937"/>
            </w:tcBorders>
          </w:tcPr>
          <w:p>
            <w:pPr>
              <w:spacing w:after="0"/>
              <w:rPr>
                <w:sz w:val="20"/>
                <w:szCs w:val="20"/>
                <w:color w:val="auto"/>
              </w:rPr>
            </w:pPr>
          </w:p>
        </w:tc>
        <w:tc>
          <w:tcPr>
            <w:tcW w:w="140" w:type="dxa"/>
            <w:vAlign w:val="bottom"/>
            <w:tcBorders>
              <w:top w:val="single" w:sz="8" w:color="2C6937"/>
            </w:tcBorders>
          </w:tcPr>
          <w:p>
            <w:pPr>
              <w:spacing w:after="0"/>
              <w:rPr>
                <w:sz w:val="20"/>
                <w:szCs w:val="20"/>
                <w:color w:val="auto"/>
              </w:rPr>
            </w:pPr>
          </w:p>
        </w:tc>
        <w:tc>
          <w:tcPr>
            <w:tcW w:w="280" w:type="dxa"/>
            <w:vAlign w:val="bottom"/>
            <w:tcBorders>
              <w:top w:val="single" w:sz="8" w:color="2C6937"/>
              <w:bottom w:val="single" w:sz="8" w:color="2C6937"/>
            </w:tcBorders>
          </w:tcPr>
          <w:p>
            <w:pPr>
              <w:spacing w:after="0"/>
              <w:rPr>
                <w:sz w:val="20"/>
                <w:szCs w:val="20"/>
                <w:color w:val="auto"/>
              </w:rPr>
            </w:pPr>
          </w:p>
        </w:tc>
        <w:tc>
          <w:tcPr>
            <w:tcW w:w="198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72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76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7"/>
        </w:trPr>
        <w:tc>
          <w:tcPr>
            <w:tcW w:w="70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Lender liquidity:</w:t>
            </w:r>
          </w:p>
        </w:tc>
        <w:tc>
          <w:tcPr>
            <w:tcW w:w="280" w:type="dxa"/>
            <w:vAlign w:val="bottom"/>
          </w:tcPr>
          <w:p>
            <w:pPr>
              <w:spacing w:after="0"/>
              <w:rPr>
                <w:sz w:val="17"/>
                <w:szCs w:val="17"/>
                <w:color w:val="auto"/>
              </w:rPr>
            </w:pPr>
          </w:p>
        </w:tc>
        <w:tc>
          <w:tcPr>
            <w:tcW w:w="3700" w:type="dxa"/>
            <w:vAlign w:val="bottom"/>
            <w:gridSpan w:val="4"/>
          </w:tcPr>
          <w:p>
            <w:pPr>
              <w:jc w:val="right"/>
              <w:ind w:right="120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199"/>
        </w:trPr>
        <w:tc>
          <w:tcPr>
            <w:tcW w:w="7060" w:type="dxa"/>
            <w:vAlign w:val="bottom"/>
            <w:gridSpan w:val="2"/>
            <w:vMerge w:val="continue"/>
          </w:tcPr>
          <w:p>
            <w:pPr>
              <w:spacing w:after="0"/>
              <w:rPr>
                <w:sz w:val="17"/>
                <w:szCs w:val="17"/>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28,893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80"/>
              <w:spacing w:after="0" w:line="205"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2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40,550</w:t>
            </w:r>
          </w:p>
        </w:tc>
        <w:tc>
          <w:tcPr>
            <w:tcW w:w="0" w:type="dxa"/>
            <w:vAlign w:val="bottom"/>
          </w:tcPr>
          <w:p>
            <w:pPr>
              <w:spacing w:after="0"/>
              <w:rPr>
                <w:sz w:val="1"/>
                <w:szCs w:val="1"/>
                <w:color w:val="auto"/>
              </w:rPr>
            </w:pPr>
          </w:p>
        </w:tc>
      </w:tr>
      <w:tr>
        <w:trPr>
          <w:trHeight w:val="208"/>
        </w:trPr>
        <w:tc>
          <w:tcPr>
            <w:tcW w:w="692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w:t>
            </w:r>
          </w:p>
        </w:tc>
        <w:tc>
          <w:tcPr>
            <w:tcW w:w="14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6,869</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8,093</w:t>
            </w:r>
          </w:p>
        </w:tc>
        <w:tc>
          <w:tcPr>
            <w:tcW w:w="0" w:type="dxa"/>
            <w:vAlign w:val="bottom"/>
          </w:tcPr>
          <w:p>
            <w:pPr>
              <w:spacing w:after="0"/>
              <w:rPr>
                <w:sz w:val="1"/>
                <w:szCs w:val="1"/>
                <w:color w:val="auto"/>
              </w:rPr>
            </w:pPr>
          </w:p>
        </w:tc>
      </w:tr>
      <w:tr>
        <w:trPr>
          <w:trHeight w:val="198"/>
        </w:trPr>
        <w:tc>
          <w:tcPr>
            <w:tcW w:w="7060" w:type="dxa"/>
            <w:vAlign w:val="bottom"/>
            <w:gridSpan w:val="2"/>
          </w:tcPr>
          <w:p>
            <w:pPr>
              <w:ind w:left="120"/>
              <w:spacing w:after="0"/>
              <w:rPr>
                <w:sz w:val="20"/>
                <w:szCs w:val="20"/>
                <w:color w:val="auto"/>
              </w:rPr>
            </w:pPr>
            <w:r>
              <w:rPr>
                <w:rFonts w:ascii="Arial" w:cs="Arial" w:eastAsia="Arial" w:hAnsi="Arial"/>
                <w:sz w:val="15"/>
                <w:szCs w:val="15"/>
                <w:color w:val="auto"/>
              </w:rPr>
              <w:t>Total lender liquidity</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35,762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48,643</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line="207"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43,429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40,194</w:t>
            </w:r>
          </w:p>
        </w:tc>
        <w:tc>
          <w:tcPr>
            <w:tcW w:w="0" w:type="dxa"/>
            <w:vAlign w:val="bottom"/>
          </w:tcPr>
          <w:p>
            <w:pPr>
              <w:spacing w:after="0"/>
              <w:rPr>
                <w:sz w:val="1"/>
                <w:szCs w:val="1"/>
                <w:color w:val="auto"/>
              </w:rPr>
            </w:pPr>
          </w:p>
        </w:tc>
      </w:tr>
      <w:tr>
        <w:trPr>
          <w:trHeight w:val="208"/>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2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80"/>
              <w:spacing w:after="0" w:line="205"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2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3,542</w:t>
            </w:r>
          </w:p>
        </w:tc>
        <w:tc>
          <w:tcPr>
            <w:tcW w:w="0" w:type="dxa"/>
            <w:vAlign w:val="bottom"/>
          </w:tcPr>
          <w:p>
            <w:pPr>
              <w:spacing w:after="0"/>
              <w:rPr>
                <w:sz w:val="1"/>
                <w:szCs w:val="1"/>
                <w:color w:val="auto"/>
              </w:rPr>
            </w:pPr>
          </w:p>
        </w:tc>
      </w:tr>
      <w:tr>
        <w:trPr>
          <w:trHeight w:val="208"/>
        </w:trPr>
        <w:tc>
          <w:tcPr>
            <w:tcW w:w="6920" w:type="dxa"/>
            <w:vAlign w:val="bottom"/>
            <w:tcBorders>
              <w:bottom w:val="single" w:sz="8" w:color="2C6937"/>
            </w:tcBorders>
          </w:tcPr>
          <w:p>
            <w:pPr>
              <w:ind w:left="280"/>
              <w:spacing w:after="0" w:line="20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4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2,583</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2,502</w:t>
            </w:r>
          </w:p>
        </w:tc>
        <w:tc>
          <w:tcPr>
            <w:tcW w:w="0" w:type="dxa"/>
            <w:vAlign w:val="bottom"/>
          </w:tcPr>
          <w:p>
            <w:pPr>
              <w:spacing w:after="0"/>
              <w:rPr>
                <w:sz w:val="1"/>
                <w:szCs w:val="1"/>
                <w:color w:val="auto"/>
              </w:rPr>
            </w:pPr>
          </w:p>
        </w:tc>
      </w:tr>
      <w:tr>
        <w:trPr>
          <w:trHeight w:val="199"/>
        </w:trPr>
        <w:tc>
          <w:tcPr>
            <w:tcW w:w="69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4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5,628</w:t>
            </w:r>
          </w:p>
        </w:tc>
        <w:tc>
          <w:tcPr>
            <w:tcW w:w="12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6,044</w:t>
            </w:r>
          </w:p>
        </w:tc>
        <w:tc>
          <w:tcPr>
            <w:tcW w:w="0" w:type="dxa"/>
            <w:vAlign w:val="bottom"/>
          </w:tcPr>
          <w:p>
            <w:pPr>
              <w:spacing w:after="0"/>
              <w:rPr>
                <w:sz w:val="1"/>
                <w:szCs w:val="1"/>
                <w:color w:val="auto"/>
              </w:rPr>
            </w:pPr>
          </w:p>
        </w:tc>
      </w:tr>
      <w:tr>
        <w:trPr>
          <w:trHeight w:val="199"/>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Total retained mortgage portfolio</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84,819</w:t>
            </w:r>
          </w:p>
        </w:tc>
        <w:tc>
          <w:tcPr>
            <w:tcW w:w="12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94,881</w:t>
            </w:r>
          </w:p>
        </w:tc>
        <w:tc>
          <w:tcPr>
            <w:tcW w:w="0" w:type="dxa"/>
            <w:vAlign w:val="bottom"/>
          </w:tcPr>
          <w:p>
            <w:pPr>
              <w:spacing w:after="0"/>
              <w:rPr>
                <w:sz w:val="1"/>
                <w:szCs w:val="1"/>
                <w:color w:val="auto"/>
              </w:rPr>
            </w:pPr>
          </w:p>
        </w:tc>
      </w:tr>
      <w:tr>
        <w:trPr>
          <w:trHeight w:val="20"/>
        </w:trPr>
        <w:tc>
          <w:tcPr>
            <w:tcW w:w="69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6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7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78,787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2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89,308</w:t>
            </w:r>
          </w:p>
        </w:tc>
        <w:tc>
          <w:tcPr>
            <w:tcW w:w="0" w:type="dxa"/>
            <w:vAlign w:val="bottom"/>
          </w:tcPr>
          <w:p>
            <w:pPr>
              <w:spacing w:after="0"/>
              <w:rPr>
                <w:sz w:val="1"/>
                <w:szCs w:val="1"/>
                <w:color w:val="auto"/>
              </w:rPr>
            </w:pPr>
          </w:p>
        </w:tc>
      </w:tr>
      <w:tr>
        <w:trPr>
          <w:trHeight w:val="214"/>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6,032</w:t>
            </w:r>
          </w:p>
        </w:tc>
        <w:tc>
          <w:tcPr>
            <w:tcW w:w="120" w:type="dxa"/>
            <w:vAlign w:val="bottom"/>
          </w:tcPr>
          <w:p>
            <w:pPr>
              <w:spacing w:after="0"/>
              <w:rPr>
                <w:sz w:val="18"/>
                <w:szCs w:val="18"/>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5,573</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00" w:hanging="237"/>
        <w:spacing w:after="0" w:line="218"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26" w:lineRule="exact"/>
        <w:rPr>
          <w:rFonts w:ascii="Arial" w:cs="Arial" w:eastAsia="Arial" w:hAnsi="Arial"/>
          <w:sz w:val="18"/>
          <w:szCs w:val="18"/>
          <w:color w:val="auto"/>
          <w:vertAlign w:val="superscript"/>
        </w:rPr>
      </w:pPr>
    </w:p>
    <w:p>
      <w:pPr>
        <w:ind w:left="240" w:right="400" w:hanging="237"/>
        <w:spacing w:after="0" w:line="226"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$11.3 billion and $10.3 billion as of June 30, 2025 and December 31, 2024, respectively. Also includes multifamily loans on nonaccrual status of $2.8 billion and $2.9 billion as of June 30, 2025 and December 31, 2024, respectively.</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 We stopped acquiring newly originated reverse mortgage loans in 2010.</w:t>
      </w:r>
    </w:p>
    <w:p>
      <w:pPr>
        <w:spacing w:after="0" w:line="37" w:lineRule="exact"/>
        <w:rPr>
          <w:rFonts w:ascii="Arial" w:cs="Arial" w:eastAsia="Arial" w:hAnsi="Arial"/>
          <w:sz w:val="18"/>
          <w:szCs w:val="18"/>
          <w:color w:val="auto"/>
          <w:vertAlign w:val="superscript"/>
        </w:rPr>
      </w:pPr>
    </w:p>
    <w:p>
      <w:pPr>
        <w:ind w:left="240" w:right="280" w:hanging="237"/>
        <w:spacing w:after="0" w:line="210"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Other mortgage loans primarily includes multifamily loans on accrual status and single-family loans that are not included in the loss mitigation or lender liquidity categories. Other mortgage securities primarily includes private-label securities and mortgage revenue bonds.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are also subject to specified limitations on the composition of our retained mortgage portfolio pursuant to FHFA guidance.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7" w:name="page18"/>
    <w:bookmarkEnd w:id="17"/>
    <w:p>
      <w:pPr>
        <w:ind w:left="900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include 10% of the notional value of the interest-only securities we hold in calculating the size of the retained mortgage portfolio for the purpose of determining compliance with the senior preferred stock purchase agreement mortgage assets cap and associated FHFA instructions. As of June 30, 2025, 10% of the notional value of our interest-only securities was $1.6 billion, which is not included in the table above.</w:t>
      </w:r>
    </w:p>
    <w:p>
      <w:pPr>
        <w:spacing w:after="0" w:line="4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FHFA has also provided us with instruction on our single-family delinquent loan buyout policy. The purchase price for these loans is the unpaid principal balance of the loans plus accrued interest. In support of our loss mitigation strategies, we purchased $7.8 billion of loans from our single-family MBS trusts in the first half of 2025, the substantial majority of which were delinquent, compared with $6.3 billion of loans in the first half of 2024.</w:t>
      </w:r>
    </w:p>
    <w:p>
      <w:pPr>
        <w:spacing w:after="0" w:line="29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When we securitize mortgage loans originated by lenders into Fannie Mae mortgage-backed securities, we issue guarantees, assuming the credit risk for those mortgage loans. Our guaranty book of business offers insight into both the guarantees we’ve issued and the credit risk of the loans we’ve acquired that back our MBS outstanding or that are held in our retained mortgage portfolio.</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“guaranty book of business” consists of: (1) Fannie Mae MBS outstanding, excluding the portions of any structured securities we issue that are backed by Freddie Mac securities, (2) mortgage loans of Fannie Mae held in our retained mortgage portfolio, and (3) other credit enhancements that we provide on mortgage assets. These components are categorized as either conventional or government based on whether the underlying mortgage loans or securities are fully or partially guaranteed or insured by the U.S. government (referred to as “government”) or are not fully or partially guaranteed or insured by the U.S. government (referred to as “conventional”).</w:t>
      </w:r>
    </w:p>
    <w:p>
      <w:pPr>
        <w:spacing w:after="0" w:line="38"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We use the term “Fannie Mae MBS” or “our MBS” to refer to any type of mortgage-backed security that we issue, including Fannie Mae-issued uniform mortgage-backed securities, or “UMBS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structured securities such as Supers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Real Estate Mortgage Investment Conduit securities (“REMICs”).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and Freddie Mac each issue single-family UMBS. In some instances, our MBS are resecuritizations of securities backed in whole or in part by Freddie Mac-issued UMBS, in which case our guaranty extends to the underlying Freddie Mac securities, shown as “Freddie Mac securities guaranteed by Fannie Mae” in the table below. The Freddie Mac securities guaranteed by Fannie Mae are excluded from our “guaranty book of business” because Freddie Mac continues to guarantee the payment of principal and interest on the underlying Freddie Mac securities, but included in “Total Fannie Mae guarantees” as presented in the table below.</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and our total Fannie Mae guarantees based on unpaid principal balance.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Single-Family</w:t>
            </w: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3,609,179</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513,197</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4,122,376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3,632,700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502,080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4,134,780</w:t>
            </w:r>
          </w:p>
        </w:tc>
      </w:tr>
      <w:tr>
        <w:trPr>
          <w:trHeight w:val="194"/>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Government guaranty book of business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5,151</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478</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5,629</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5,705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6,195</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3,614,330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513,675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4,128,005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3,638,405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502,570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4,140,975</w:t>
            </w:r>
          </w:p>
        </w:tc>
      </w:tr>
      <w:tr>
        <w:trPr>
          <w:trHeight w:val="195"/>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192,193</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192,193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r>
      <w:tr>
        <w:trPr>
          <w:trHeight w:val="185"/>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3,806,523</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513,675</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4,320,198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3,838,491</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502,570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4,341,061</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40" w:right="120" w:hanging="237"/>
        <w:spacing w:after="0" w:line="285" w:lineRule="auto"/>
        <w:tabs>
          <w:tab w:leader="none" w:pos="233" w:val="left"/>
        </w:tabs>
        <w:numPr>
          <w:ilvl w:val="0"/>
          <w:numId w:val="18"/>
        </w:numPr>
        <w:rPr>
          <w:rFonts w:ascii="Arial" w:cs="Arial" w:eastAsia="Arial" w:hAnsi="Arial"/>
          <w:sz w:val="8"/>
          <w:szCs w:val="8"/>
          <w:color w:val="auto"/>
        </w:rPr>
      </w:pPr>
      <w:r>
        <w:rPr>
          <w:rFonts w:ascii="Arial" w:cs="Arial" w:eastAsia="Arial" w:hAnsi="Arial"/>
          <w:sz w:val="13"/>
          <w:szCs w:val="13"/>
          <w:color w:val="auto"/>
        </w:rPr>
        <w:t>Represents the unpaid principal balance of Freddie Mac-issued UMBS backing Fannie Mae-issued Supers and REMICs.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7, Financial Guarantees for more information regarding our maximum exposure to loss on unconsolidated Fannie Mae MBS and Freddie Mac securities.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8" w:name="page19"/>
    <w:bookmarkEnd w:id="18"/>
    <w:p>
      <w:pPr>
        <w:jc w:val="right"/>
        <w:ind w:right="12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760"/>
        <w:spacing w:after="0"/>
        <w:rPr>
          <w:sz w:val="20"/>
          <w:szCs w:val="20"/>
          <w:color w:val="auto"/>
        </w:rPr>
      </w:pPr>
      <w:r>
        <w:rPr>
          <w:rFonts w:ascii="Georgia" w:cs="Georgia" w:eastAsia="Georgia" w:hAnsi="Georgia"/>
          <w:sz w:val="21"/>
          <w:szCs w:val="21"/>
          <w:b w:val="1"/>
          <w:bCs w:val="1"/>
          <w:color w:val="05314D"/>
        </w:rPr>
        <w:t>Presentation of Gua</w:t>
      </w:r>
      <w:r>
        <w:rPr>
          <w:rFonts w:ascii="Georgia" w:cs="Georgia" w:eastAsia="Georgia" w:hAnsi="Georgia"/>
          <w:sz w:val="21"/>
          <w:szCs w:val="21"/>
          <w:b w:val="1"/>
          <w:bCs w:val="1"/>
          <w:color w:val="002060"/>
        </w:rPr>
        <w:t>ranty Book of Business in the Single-Family Business and Multifamily Business</w:t>
      </w:r>
      <w:r>
        <w:rPr>
          <w:rFonts w:ascii="Georgia" w:cs="Georgia" w:eastAsia="Georgia" w:hAnsi="Georgia"/>
          <w:sz w:val="21"/>
          <w:szCs w:val="21"/>
          <w:b w:val="1"/>
          <w:bCs w:val="1"/>
          <w:color w:val="05314D"/>
        </w:rPr>
        <w:t xml:space="preserve"> </w:t>
      </w:r>
      <w:r>
        <w:rPr>
          <w:rFonts w:ascii="Georgia" w:cs="Georgia" w:eastAsia="Georgia" w:hAnsi="Georgia"/>
          <w:sz w:val="21"/>
          <w:szCs w:val="21"/>
          <w:b w:val="1"/>
          <w:bCs w:val="1"/>
          <w:color w:val="002060"/>
        </w:rPr>
        <w:t>sections</w:t>
      </w:r>
    </w:p>
    <w:p>
      <w:pPr>
        <w:spacing w:after="0" w:line="64"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We present the guaranty book of business in this section and in our Monthly Summary reports, which are available on our website, based on the unpaid principal balance of our MBS outstanding. In the “Single-Family Business” and “Multifamily Business” sections of this report, we present our single-family conventional guaranty book of business and our multifamily guaranty book of business, respectively, based on the unpaid principal balance of mortgage loans underlying our MBS. These amounts differ primarily as a result of payments we receive on underlying loans that have not yet been paid to the MBS holders or in instances where we have advanced missed borrower payments on mortgage loans to make required distributions to MBS holders. The difference in these measurements is less than 1%. Using these two presentations allows us to base the disclosure in this section and in our Monthly Summary reports based on the MBS measurement, and disclosures about the composition of loans in our guaranty book of business based on the loan measurement.</w:t>
      </w:r>
    </w:p>
    <w:p>
      <w:pPr>
        <w:spacing w:after="0" w:line="14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wp:posOffset>
            </wp:positionV>
            <wp:extent cx="71139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51"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We have two reportable business segments: Single-Family and Multifamily. This section discusses the primary components of net income for our Single-Family Business and Multifamily Business segments. This information complements the discussion of our condensed consolidated financial results in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5314D"/>
        </w:rPr>
        <w:t>Quarterly Business Segment Financial Results</w:t>
      </w:r>
      <w:r>
        <w:rPr>
          <w:rFonts w:ascii="Arial" w:cs="Arial" w:eastAsia="Arial" w:hAnsi="Arial"/>
          <w:sz w:val="24"/>
          <w:szCs w:val="24"/>
          <w:b w:val="1"/>
          <w:bCs w:val="1"/>
          <w:color w:val="05314D"/>
          <w:vertAlign w:val="superscript"/>
        </w:rPr>
        <w:t>(1)</w:t>
      </w:r>
    </w:p>
    <w:tbl>
      <w:tblPr>
        <w:tblLayout w:type="fixed"/>
        <w:tblInd w:w="60" w:type="dxa"/>
        <w:tblCellMar>
          <w:top w:w="0" w:type="dxa"/>
          <w:left w:w="0" w:type="dxa"/>
          <w:bottom w:w="0" w:type="dxa"/>
          <w:right w:w="0" w:type="dxa"/>
        </w:tblCellMar>
      </w:tblPr>
      <w:tr>
        <w:trPr>
          <w:trHeight w:val="199"/>
        </w:trPr>
        <w:tc>
          <w:tcPr>
            <w:tcW w:w="38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6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spacing w:after="0"/>
              <w:rPr>
                <w:sz w:val="17"/>
                <w:szCs w:val="17"/>
                <w:color w:val="auto"/>
              </w:rPr>
            </w:pPr>
          </w:p>
        </w:tc>
        <w:tc>
          <w:tcPr>
            <w:tcW w:w="2660" w:type="dxa"/>
            <w:vAlign w:val="bottom"/>
            <w:tcBorders>
              <w:top w:val="single" w:sz="8" w:color="2C6937"/>
              <w:bottom w:val="single" w:sz="8" w:color="2C6937"/>
            </w:tcBorders>
            <w:gridSpan w:val="8"/>
          </w:tcPr>
          <w:p>
            <w:pPr>
              <w:jc w:val="right"/>
              <w:spacing w:after="0"/>
              <w:rPr>
                <w:sz w:val="20"/>
                <w:szCs w:val="20"/>
                <w:color w:val="auto"/>
              </w:rPr>
            </w:pPr>
            <w:r>
              <w:rPr>
                <w:rFonts w:ascii="Arial" w:cs="Arial" w:eastAsia="Arial" w:hAnsi="Arial"/>
                <w:sz w:val="15"/>
                <w:szCs w:val="15"/>
                <w:b w:val="1"/>
                <w:bCs w:val="1"/>
                <w:color w:val="auto"/>
                <w:w w:val="97"/>
              </w:rPr>
              <w:t>For the Three Months Ended June 30,</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8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2024</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25"/>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2C6937"/>
            </w:tcBorders>
            <w:gridSpan w:val="2"/>
          </w:tcPr>
          <w:p>
            <w:pPr>
              <w:jc w:val="right"/>
              <w:ind w:right="27"/>
              <w:spacing w:after="0"/>
              <w:rPr>
                <w:sz w:val="20"/>
                <w:szCs w:val="20"/>
                <w:color w:val="auto"/>
              </w:rPr>
            </w:pPr>
            <w:r>
              <w:rPr>
                <w:rFonts w:ascii="Arial" w:cs="Arial" w:eastAsia="Arial" w:hAnsi="Arial"/>
                <w:sz w:val="15"/>
                <w:szCs w:val="15"/>
                <w:b w:val="1"/>
                <w:bCs w:val="1"/>
                <w:color w:val="auto"/>
              </w:rPr>
              <w:t>Single-Family</w:t>
            </w:r>
          </w:p>
        </w:tc>
        <w:tc>
          <w:tcPr>
            <w:tcW w:w="8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32"/>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(2)</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5,992</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1,163</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6,096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1,172</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80"/>
        </w:trPr>
        <w:tc>
          <w:tcPr>
            <w:tcW w:w="3960" w:type="dxa"/>
            <w:vAlign w:val="bottom"/>
            <w:gridSpan w:val="2"/>
          </w:tcPr>
          <w:p>
            <w:pPr>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38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6,061</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1,180</w:t>
            </w:r>
          </w:p>
        </w:tc>
        <w:tc>
          <w:tcPr>
            <w:tcW w:w="100" w:type="dxa"/>
            <w:vAlign w:val="bottom"/>
          </w:tcPr>
          <w:p>
            <w:pPr>
              <w:spacing w:after="0"/>
              <w:rPr>
                <w:sz w:val="15"/>
                <w:szCs w:val="15"/>
                <w:color w:val="auto"/>
              </w:rPr>
            </w:pPr>
          </w:p>
        </w:tc>
        <w:tc>
          <w:tcPr>
            <w:tcW w:w="300" w:type="dxa"/>
            <w:vAlign w:val="bottom"/>
            <w:tcBorders>
              <w:top w:val="single" w:sz="8" w:color="2C6937"/>
            </w:tcBorders>
          </w:tcPr>
          <w:p>
            <w:pPr>
              <w:spacing w:after="0"/>
              <w:rPr>
                <w:sz w:val="15"/>
                <w:szCs w:val="15"/>
                <w:color w:val="auto"/>
              </w:rPr>
            </w:pPr>
          </w:p>
        </w:tc>
        <w:tc>
          <w:tcPr>
            <w:tcW w:w="8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6,147</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1,189</w:t>
            </w:r>
          </w:p>
        </w:tc>
        <w:tc>
          <w:tcPr>
            <w:tcW w:w="100" w:type="dxa"/>
            <w:vAlign w:val="bottom"/>
          </w:tcPr>
          <w:p>
            <w:pPr>
              <w:spacing w:after="0"/>
              <w:rPr>
                <w:sz w:val="15"/>
                <w:szCs w:val="15"/>
                <w:color w:val="auto"/>
              </w:rPr>
            </w:pPr>
          </w:p>
        </w:tc>
        <w:tc>
          <w:tcPr>
            <w:tcW w:w="320" w:type="dxa"/>
            <w:vAlign w:val="bottom"/>
            <w:tcBorders>
              <w:top w:val="single" w:sz="8" w:color="2C6937"/>
            </w:tcBorders>
          </w:tcPr>
          <w:p>
            <w:pPr>
              <w:spacing w:after="0"/>
              <w:rPr>
                <w:sz w:val="15"/>
                <w:szCs w:val="15"/>
                <w:color w:val="auto"/>
              </w:rPr>
            </w:pPr>
          </w:p>
        </w:tc>
        <w:tc>
          <w:tcPr>
            <w:tcW w:w="8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(86)</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(9)</w:t>
            </w:r>
          </w:p>
        </w:tc>
      </w:tr>
      <w:tr>
        <w:trPr>
          <w:trHeight w:val="200"/>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309"/>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197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454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303"/>
        </w:trPr>
        <w:tc>
          <w:tcPr>
            <w:tcW w:w="3960" w:type="dxa"/>
            <w:vAlign w:val="bottom"/>
            <w:gridSpan w:val="2"/>
          </w:tcPr>
          <w:p>
            <w:pPr>
              <w:spacing w:after="0"/>
              <w:rPr>
                <w:sz w:val="20"/>
                <w:szCs w:val="20"/>
                <w:color w:val="auto"/>
              </w:rPr>
            </w:pPr>
            <w:r>
              <w:rPr>
                <w:rFonts w:ascii="Arial" w:cs="Arial" w:eastAsia="Arial" w:hAnsi="Arial"/>
                <w:sz w:val="15"/>
                <w:szCs w:val="15"/>
                <w:color w:val="auto"/>
              </w:rPr>
              <w:t>Investment gains (losses), net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92"/>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(3)</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(687)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84"/>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7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(318)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98"/>
        </w:trPr>
        <w:tc>
          <w:tcPr>
            <w:tcW w:w="3960" w:type="dxa"/>
            <w:vAlign w:val="bottom"/>
            <w:gridSpan w:val="2"/>
          </w:tcPr>
          <w:p>
            <w:pPr>
              <w:ind w:left="10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(6)</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86"/>
        </w:trPr>
        <w:tc>
          <w:tcPr>
            <w:tcW w:w="3860" w:type="dxa"/>
            <w:vAlign w:val="bottom"/>
            <w:tcBorders>
              <w:top w:val="single" w:sz="8" w:color="2C6937"/>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(2,066)</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(278)</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(2,241)</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(102)</w:t>
            </w:r>
          </w:p>
        </w:tc>
      </w:tr>
      <w:tr>
        <w:trPr>
          <w:trHeight w:val="182"/>
        </w:trPr>
        <w:tc>
          <w:tcPr>
            <w:tcW w:w="3860" w:type="dxa"/>
            <w:vAlign w:val="bottom"/>
          </w:tcPr>
          <w:p>
            <w:pPr>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3,447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4,838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766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6"/>
        </w:trPr>
        <w:tc>
          <w:tcPr>
            <w:tcW w:w="386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2,736</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581</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3,855</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629</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(1,119)</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(48)</w:t>
            </w:r>
          </w:p>
        </w:tc>
      </w:tr>
      <w:tr>
        <w:trPr>
          <w:trHeight w:val="20"/>
        </w:trPr>
        <w:tc>
          <w:tcPr>
            <w:tcW w:w="3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5314D"/>
        </w:rPr>
        <w:t>Year-to-Date Business Segment Financial Results</w:t>
      </w:r>
      <w:r>
        <w:rPr>
          <w:rFonts w:ascii="Arial" w:cs="Arial" w:eastAsia="Arial" w:hAnsi="Arial"/>
          <w:sz w:val="24"/>
          <w:szCs w:val="24"/>
          <w:b w:val="1"/>
          <w:bCs w:val="1"/>
          <w:color w:val="05314D"/>
          <w:vertAlign w:val="superscript"/>
        </w:rPr>
        <w:t>(1)</w:t>
      </w:r>
    </w:p>
    <w:tbl>
      <w:tblPr>
        <w:tblLayout w:type="fixed"/>
        <w:tblInd w:w="60" w:type="dxa"/>
        <w:tblCellMar>
          <w:top w:w="0" w:type="dxa"/>
          <w:left w:w="0" w:type="dxa"/>
          <w:bottom w:w="0" w:type="dxa"/>
          <w:right w:w="0" w:type="dxa"/>
        </w:tblCellMar>
      </w:tblPr>
      <w:tr>
        <w:trPr>
          <w:trHeight w:val="199"/>
        </w:trPr>
        <w:tc>
          <w:tcPr>
            <w:tcW w:w="38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6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spacing w:after="0"/>
              <w:rPr>
                <w:sz w:val="17"/>
                <w:szCs w:val="17"/>
                <w:color w:val="auto"/>
              </w:rPr>
            </w:pPr>
          </w:p>
        </w:tc>
        <w:tc>
          <w:tcPr>
            <w:tcW w:w="2520" w:type="dxa"/>
            <w:vAlign w:val="bottom"/>
            <w:tcBorders>
              <w:top w:val="single" w:sz="8" w:color="2C6937"/>
              <w:bottom w:val="single" w:sz="8" w:color="2C6937"/>
            </w:tcBorders>
            <w:gridSpan w:val="7"/>
          </w:tcPr>
          <w:p>
            <w:pPr>
              <w:ind w:left="40"/>
              <w:spacing w:after="0"/>
              <w:rPr>
                <w:sz w:val="20"/>
                <w:szCs w:val="20"/>
                <w:color w:val="auto"/>
              </w:rPr>
            </w:pPr>
            <w:r>
              <w:rPr>
                <w:rFonts w:ascii="Arial" w:cs="Arial" w:eastAsia="Arial" w:hAnsi="Arial"/>
                <w:sz w:val="15"/>
                <w:szCs w:val="15"/>
                <w:b w:val="1"/>
                <w:bCs w:val="1"/>
                <w:color w:val="auto"/>
                <w:w w:val="98"/>
              </w:rPr>
              <w:t>For the Six Months Ended June 30,</w:t>
            </w:r>
          </w:p>
        </w:tc>
        <w:tc>
          <w:tcPr>
            <w:tcW w:w="140" w:type="dxa"/>
            <w:vAlign w:val="bottom"/>
            <w:tcBorders>
              <w:top w:val="single" w:sz="8" w:color="2C6937"/>
              <w:bottom w:val="single" w:sz="8" w:color="2C6937"/>
            </w:tcBorders>
          </w:tcPr>
          <w:p>
            <w:pPr>
              <w:spacing w:after="0"/>
              <w:rPr>
                <w:sz w:val="17"/>
                <w:szCs w:val="17"/>
                <w:color w:val="auto"/>
              </w:rPr>
            </w:pP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8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2024</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25"/>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2C6937"/>
            </w:tcBorders>
            <w:gridSpan w:val="2"/>
          </w:tcPr>
          <w:p>
            <w:pPr>
              <w:jc w:val="right"/>
              <w:ind w:right="27"/>
              <w:spacing w:after="0"/>
              <w:rPr>
                <w:sz w:val="20"/>
                <w:szCs w:val="20"/>
                <w:color w:val="auto"/>
              </w:rPr>
            </w:pPr>
            <w:r>
              <w:rPr>
                <w:rFonts w:ascii="Arial" w:cs="Arial" w:eastAsia="Arial" w:hAnsi="Arial"/>
                <w:sz w:val="15"/>
                <w:szCs w:val="15"/>
                <w:b w:val="1"/>
                <w:bCs w:val="1"/>
                <w:color w:val="auto"/>
              </w:rPr>
              <w:t>Single-Family</w:t>
            </w:r>
          </w:p>
        </w:tc>
        <w:tc>
          <w:tcPr>
            <w:tcW w:w="8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32"/>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(2)</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11,858</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2,298</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11,970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80"/>
        </w:trPr>
        <w:tc>
          <w:tcPr>
            <w:tcW w:w="3960" w:type="dxa"/>
            <w:vAlign w:val="bottom"/>
            <w:gridSpan w:val="2"/>
          </w:tcPr>
          <w:p>
            <w:pPr>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134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2"/>
        </w:trPr>
        <w:tc>
          <w:tcPr>
            <w:tcW w:w="38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11,992</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2,334</w:t>
            </w:r>
          </w:p>
        </w:tc>
        <w:tc>
          <w:tcPr>
            <w:tcW w:w="100" w:type="dxa"/>
            <w:vAlign w:val="bottom"/>
          </w:tcPr>
          <w:p>
            <w:pPr>
              <w:spacing w:after="0"/>
              <w:rPr>
                <w:sz w:val="15"/>
                <w:szCs w:val="15"/>
                <w:color w:val="auto"/>
              </w:rPr>
            </w:pPr>
          </w:p>
        </w:tc>
        <w:tc>
          <w:tcPr>
            <w:tcW w:w="300" w:type="dxa"/>
            <w:vAlign w:val="bottom"/>
            <w:tcBorders>
              <w:top w:val="single" w:sz="8" w:color="2C6937"/>
            </w:tcBorders>
          </w:tcPr>
          <w:p>
            <w:pPr>
              <w:spacing w:after="0"/>
              <w:rPr>
                <w:sz w:val="15"/>
                <w:szCs w:val="15"/>
                <w:color w:val="auto"/>
              </w:rPr>
            </w:pPr>
          </w:p>
        </w:tc>
        <w:tc>
          <w:tcPr>
            <w:tcW w:w="8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12,076</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2,355</w:t>
            </w:r>
          </w:p>
        </w:tc>
        <w:tc>
          <w:tcPr>
            <w:tcW w:w="100" w:type="dxa"/>
            <w:vAlign w:val="bottom"/>
          </w:tcPr>
          <w:p>
            <w:pPr>
              <w:spacing w:after="0"/>
              <w:rPr>
                <w:sz w:val="15"/>
                <w:szCs w:val="15"/>
                <w:color w:val="auto"/>
              </w:rPr>
            </w:pPr>
          </w:p>
        </w:tc>
        <w:tc>
          <w:tcPr>
            <w:tcW w:w="320" w:type="dxa"/>
            <w:vAlign w:val="bottom"/>
            <w:tcBorders>
              <w:top w:val="single" w:sz="8" w:color="2C6937"/>
            </w:tcBorders>
          </w:tcPr>
          <w:p>
            <w:pPr>
              <w:spacing w:after="0"/>
              <w:rPr>
                <w:sz w:val="15"/>
                <w:szCs w:val="15"/>
                <w:color w:val="auto"/>
              </w:rPr>
            </w:pPr>
          </w:p>
        </w:tc>
        <w:tc>
          <w:tcPr>
            <w:tcW w:w="8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(21)</w:t>
            </w:r>
          </w:p>
        </w:tc>
      </w:tr>
      <w:tr>
        <w:trPr>
          <w:trHeight w:val="200"/>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883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309"/>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279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938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303"/>
        </w:trPr>
        <w:tc>
          <w:tcPr>
            <w:tcW w:w="3960" w:type="dxa"/>
            <w:vAlign w:val="bottom"/>
            <w:gridSpan w:val="2"/>
          </w:tcPr>
          <w:p>
            <w:pPr>
              <w:spacing w:after="0"/>
              <w:rPr>
                <w:sz w:val="20"/>
                <w:szCs w:val="20"/>
                <w:color w:val="auto"/>
              </w:rPr>
            </w:pPr>
            <w:r>
              <w:rPr>
                <w:rFonts w:ascii="Arial" w:cs="Arial" w:eastAsia="Arial" w:hAnsi="Arial"/>
                <w:sz w:val="15"/>
                <w:szCs w:val="15"/>
                <w:color w:val="auto"/>
              </w:rPr>
              <w:t>Investment gains (losses), net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92"/>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(3)</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(1,499)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84"/>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(1,838)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7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(725)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98"/>
        </w:trPr>
        <w:tc>
          <w:tcPr>
            <w:tcW w:w="3960" w:type="dxa"/>
            <w:vAlign w:val="bottom"/>
            <w:gridSpan w:val="2"/>
          </w:tcPr>
          <w:p>
            <w:pPr>
              <w:ind w:left="10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(6)</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(180)</w:t>
            </w:r>
          </w:p>
        </w:tc>
      </w:tr>
      <w:tr>
        <w:trPr>
          <w:trHeight w:val="186"/>
        </w:trPr>
        <w:tc>
          <w:tcPr>
            <w:tcW w:w="3860" w:type="dxa"/>
            <w:vAlign w:val="bottom"/>
            <w:tcBorders>
              <w:top w:val="single" w:sz="8" w:color="2C6937"/>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(4,379)</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(565)</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(4,449)</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(312)</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(253)</w:t>
            </w:r>
          </w:p>
        </w:tc>
      </w:tr>
      <w:tr>
        <w:trPr>
          <w:trHeight w:val="182"/>
        </w:trPr>
        <w:tc>
          <w:tcPr>
            <w:tcW w:w="3860" w:type="dxa"/>
            <w:vAlign w:val="bottom"/>
          </w:tcPr>
          <w:p>
            <w:pPr>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7,125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1,613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9,391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1,646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458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6"/>
        </w:trPr>
        <w:tc>
          <w:tcPr>
            <w:tcW w:w="386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5,654</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1,324</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7,462</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1,342</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(1,808)</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(18)</w:t>
            </w:r>
          </w:p>
        </w:tc>
      </w:tr>
      <w:tr>
        <w:trPr>
          <w:trHeight w:val="20"/>
        </w:trPr>
        <w:tc>
          <w:tcPr>
            <w:tcW w:w="3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See “Note 10, Segment Reporting” for information about our segment allocation methodology.</w:t>
      </w:r>
    </w:p>
    <w:p>
      <w:pPr>
        <w:spacing w:after="0" w:line="37" w:lineRule="exact"/>
        <w:rPr>
          <w:rFonts w:ascii="Arial" w:cs="Arial" w:eastAsia="Arial" w:hAnsi="Arial"/>
          <w:sz w:val="18"/>
          <w:szCs w:val="18"/>
          <w:color w:val="auto"/>
          <w:vertAlign w:val="superscript"/>
        </w:rPr>
      </w:pPr>
    </w:p>
    <w:p>
      <w:pPr>
        <w:ind w:left="240" w:right="80" w:hanging="237"/>
        <w:spacing w:after="0" w:line="210" w:lineRule="auto"/>
        <w:tabs>
          <w:tab w:leader="none" w:pos="233"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For single-family, includes net interest income generated by the 10 basis point guaranty fee increase we implemented pursuant to the Temporary Payroll Tax Cut Continuation Act of 2011, and as extended by the Infrastructure Investment and Jobs Act, which is paid to Treasury and not retained by us.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0" w:name="page21"/>
    <w:bookmarkEnd w:id="20"/>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80" w:hanging="237"/>
        <w:spacing w:after="0" w:line="226"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23" w:lineRule="exact"/>
        <w:rPr>
          <w:rFonts w:ascii="Arial" w:cs="Arial" w:eastAsia="Arial" w:hAnsi="Arial"/>
          <w:sz w:val="18"/>
          <w:szCs w:val="18"/>
          <w:color w:val="auto"/>
          <w:vertAlign w:val="superscript"/>
        </w:rPr>
      </w:pPr>
    </w:p>
    <w:p>
      <w:pPr>
        <w:ind w:left="240" w:right="20" w:hanging="237"/>
        <w:spacing w:after="0" w:line="234"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primarily include our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Credit Insurance Risk Transfer</w:t>
      </w:r>
      <w:r>
        <w:rPr>
          <w:rFonts w:ascii="Arial" w:cs="Arial" w:eastAsia="Arial" w:hAnsi="Arial"/>
          <w:sz w:val="8"/>
          <w:szCs w:val="8"/>
          <w:color w:val="auto"/>
        </w:rPr>
        <w:t>TM</w:t>
      </w:r>
      <w:r>
        <w:rPr>
          <w:rFonts w:ascii="Arial" w:cs="Arial" w:eastAsia="Arial" w:hAnsi="Arial"/>
          <w:sz w:val="14"/>
          <w:szCs w:val="14"/>
          <w:color w:val="auto"/>
        </w:rPr>
        <w:t xml:space="preserve"> (“CIRT</w:t>
      </w:r>
      <w:r>
        <w:rPr>
          <w:rFonts w:ascii="Arial" w:cs="Arial" w:eastAsia="Arial" w:hAnsi="Arial"/>
          <w:sz w:val="8"/>
          <w:szCs w:val="8"/>
          <w:color w:val="auto"/>
        </w:rPr>
        <w:t>TM</w:t>
      </w:r>
      <w:r>
        <w:rPr>
          <w:rFonts w:ascii="Arial" w:cs="Arial" w:eastAsia="Arial" w:hAnsi="Arial"/>
          <w:sz w:val="14"/>
          <w:szCs w:val="14"/>
          <w:color w:val="auto"/>
        </w:rPr>
        <w:t>”) programs, enterprise-paid mortgage insurance programs and certain lender risk-sharing programs. Multifamily credit enhancement expense primarily consists of costs associated with our Multifamily CIRT</w:t>
      </w:r>
      <w:r>
        <w:rPr>
          <w:rFonts w:ascii="Arial" w:cs="Arial" w:eastAsia="Arial" w:hAnsi="Arial"/>
          <w:sz w:val="8"/>
          <w:szCs w:val="8"/>
          <w:color w:val="auto"/>
        </w:rPr>
        <w:t>TM</w:t>
      </w:r>
      <w:r>
        <w:rPr>
          <w:rFonts w:ascii="Arial" w:cs="Arial" w:eastAsia="Arial" w:hAnsi="Arial"/>
          <w:sz w:val="14"/>
          <w:szCs w:val="14"/>
          <w:color w:val="auto"/>
        </w:rPr>
        <w:t xml:space="preserve"> (“MCIRT</w:t>
      </w:r>
      <w:r>
        <w:rPr>
          <w:rFonts w:ascii="Arial" w:cs="Arial" w:eastAsia="Arial" w:hAnsi="Arial"/>
          <w:sz w:val="8"/>
          <w:szCs w:val="8"/>
          <w:color w:val="auto"/>
        </w:rPr>
        <w:t>TM</w:t>
      </w:r>
      <w:r>
        <w:rPr>
          <w:rFonts w:ascii="Arial" w:cs="Arial" w:eastAsia="Arial" w:hAnsi="Arial"/>
          <w:sz w:val="14"/>
          <w:szCs w:val="14"/>
          <w:color w:val="auto"/>
        </w:rPr>
        <w:t>”) and Multifamily CAS (“MCAS</w:t>
      </w:r>
      <w:r>
        <w:rPr>
          <w:rFonts w:ascii="Arial" w:cs="Arial" w:eastAsia="Arial" w:hAnsi="Arial"/>
          <w:sz w:val="8"/>
          <w:szCs w:val="8"/>
          <w:color w:val="auto"/>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7" w:lineRule="exact"/>
        <w:rPr>
          <w:rFonts w:ascii="Arial" w:cs="Arial" w:eastAsia="Arial" w:hAnsi="Arial"/>
          <w:sz w:val="18"/>
          <w:szCs w:val="18"/>
          <w:color w:val="auto"/>
          <w:vertAlign w:val="superscript"/>
        </w:rPr>
      </w:pPr>
    </w:p>
    <w:p>
      <w:pPr>
        <w:ind w:left="240" w:right="360" w:hanging="237"/>
        <w:spacing w:after="0" w:line="226"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and losses from partnership investments.</w:t>
      </w:r>
    </w:p>
    <w:p>
      <w:pPr>
        <w:spacing w:after="0" w:line="143"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Net Interest Income</w:t>
      </w:r>
    </w:p>
    <w:p>
      <w:pPr>
        <w:spacing w:after="0" w:line="3"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113665</wp:posOffset>
            </wp:positionV>
            <wp:extent cx="5460365" cy="1964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6036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interest income decreased in the second quarter of 2025 compared with the second quarter of 2024, and in the first half of 2025 compared with the first half of 2024, primarily driven by lower net interest income from portfolios, partially offset by higher base guaranty fee income.</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Net interest income decreased in the second quarter of 2025 compared with the second quarter of 2024, and in the first half of 2025 compared with the first half of 2024, primarily driven by an increase in our multifamily nonaccrual loans population, which was partially offset by higher guaranty fee income as a result of an increase in the size of our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1" w:name="page22"/>
    <w:bookmarkEnd w:id="21"/>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(Provision) Benefit for Credit Losses</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7620</wp:posOffset>
            </wp:positionV>
            <wp:extent cx="5460365" cy="2193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60365" cy="219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a discussion of our single-family and multifamily (provision) benefit for credit losses.</w:t>
      </w:r>
    </w:p>
    <w:p>
      <w:pPr>
        <w:spacing w:after="0" w:line="10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Fair Value Gains (Losses), Net</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56515</wp:posOffset>
            </wp:positionV>
            <wp:extent cx="5460365" cy="1964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036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80" w:lineRule="exact"/>
        <w:rPr>
          <w:sz w:val="20"/>
          <w:szCs w:val="20"/>
          <w:color w:val="auto"/>
        </w:rPr>
      </w:pPr>
    </w:p>
    <w:p>
      <w:pPr>
        <w:jc w:val="both"/>
        <w:ind w:right="380"/>
        <w:spacing w:after="0" w:line="272" w:lineRule="auto"/>
        <w:rPr>
          <w:sz w:val="20"/>
          <w:szCs w:val="20"/>
          <w:color w:val="auto"/>
        </w:rPr>
      </w:pPr>
      <w:r>
        <w:rPr>
          <w:rFonts w:ascii="Arial" w:cs="Arial" w:eastAsia="Arial" w:hAnsi="Arial"/>
          <w:sz w:val="16"/>
          <w:szCs w:val="16"/>
          <w:color w:val="auto"/>
        </w:rPr>
        <w:t>Fair value gains, net in the second quarter and first half of 2025 were primarily driven by declining interest rates, resulting in gains on fixed-rate trading securities, partially offset by losses on mortgage commitment derivatives, long-term debt of consolidated trusts held at fair value, and risk management derivatives excluding the impact of hedge accounting.</w:t>
      </w:r>
    </w:p>
    <w:p>
      <w:pPr>
        <w:spacing w:after="0" w:line="32"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Fair value gains, net in the second quarter and first half of 2024 were primarily driven by rising interest rates, resulting in gains on risk management derivatives and mortgage commitment derivatives. Also contributing to fair value gains, net in the second quarter of 2024 were fair value gains on trading securities, which were primarily driven by our holdings of U.S. Treasury securities moving closer to maturity, which resulted in the reversal of previously recognized fair value losses.</w:t>
      </w:r>
    </w:p>
    <w:p>
      <w:pPr>
        <w:spacing w:after="0" w:line="3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impact of hedge accounting resulted in incremental gains for each of the respective periods. Our hedge accounting program is designed to hedge our exposure to changes in benchmark interest rates and, therefore, offsets a portion of the fair value volatility we would otherwise experience. The fair value gains and losses after the impact of hedge accounting primarily relate to spreads, convexity, and other components that are not effectively or intended to be captured by our hedge accounting program.</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2" w:name="page23"/>
    <w:bookmarkEnd w:id="22"/>
    <w:p>
      <w:pPr>
        <w:ind w:left="716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2024 Form 10-K. See “MD&amp;A—Single-Family Business” in our 2024 Form 10-K for additional information regarding the primary business activities, lenders, investors and competition of our Single-Family business.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63"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Total housing activity modestly decreased in the second quarter of 2025 compared with the first quarter of 2025. Existing home sales averaged 3.99 million units annualized in the second quarter of 2025, compared with 4.13 million units in the first quarter of 2025,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U.S. Census Bureau, new single-family home sales averaged an annualized rate of approximately 652,000 units in the second quarter of 2025, compared with approximately 655,000 units in the first quarter of 2025.</w:t>
      </w:r>
    </w:p>
    <w:p>
      <w:pPr>
        <w:spacing w:after="0" w:line="6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U.S. weekly average 30-year fixed mortgage rate was 6.77% as of June 26, 2025, compared with 6.65% as of March 27, 2025, and averaged 6.79% in the second quarter of 2025, compared with 6.83% in the first quarter of 2025,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Single-family mortgage market originations increased from an estimated $431 billion in the second quarter of 2024 to an estimated $510 billion in the second quarter of 2025. According to the July forecast from our Economic and Strategic Research Group, total originations in the U.S. single-family mortgage market in 2025 are forecasted to increase from 2024 levels by approximately 14%, from an estimated $1.69 trillion in 2024 to $1.92 trillion in 2025, and the amount of refinance originations in the U.S. single-family mortgage market are forecasted to increase from an estimated $390 billion in 2024 to $511 billion in 2025. Our Economic and Strategic Research Group’s July forecast is based on data available as of July 11, 2025. See “Key Market Economic Indicators” in our 2024 Form 10-K and this report for additional discussion of how housing activity can affect our financial results and the uncertainties that may affect our forecasts and expectations.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right"/>
        <w:ind w:right="20"/>
        <w:spacing w:after="0"/>
        <w:rPr>
          <w:sz w:val="20"/>
          <w:szCs w:val="20"/>
          <w:color w:val="auto"/>
        </w:rPr>
      </w:pPr>
      <w:r>
        <w:rPr>
          <w:rFonts w:ascii="Arial" w:cs="Arial" w:eastAsia="Arial" w:hAnsi="Arial"/>
          <w:sz w:val="14"/>
          <w:szCs w:val="14"/>
          <w:color w:val="05314D"/>
        </w:rPr>
        <w:t>MD&amp;A | Single-Family Business | 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Our single-family Fannie Mae MBS issuances were $82.1 billion for the second quarter of 2025, compared with $85.0 billion for the second quarter of 2024.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154940</wp:posOffset>
            </wp:positionV>
            <wp:extent cx="4715510" cy="2521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1551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16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6"/>
                <w:szCs w:val="16"/>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220" w:type="dxa"/>
            <w:vAlign w:val="bottom"/>
            <w:shd w:val="clear" w:color="auto" w:fill="5587A6"/>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-121920</wp:posOffset>
            </wp:positionV>
            <wp:extent cx="139065" cy="1225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9065" cy="122555"/>
                    </a:xfrm>
                    <a:prstGeom prst="rect">
                      <a:avLst/>
                    </a:prstGeom>
                    <a:noFill/>
                  </pic:spPr>
                </pic:pic>
              </a:graphicData>
            </a:graphic>
          </wp:anchor>
        </w:drawing>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market share is influenced by various factors, including the pricing of single-family loans and the competitive market environment. When making pricing and acquisition decisions for single-family loans, we must consider a mix of often competing factors, such as competitive market dynamics, our capital requirements, our housing mission requirements and UMBS market liquidity objectives. Balancing these considerations can sometimes create challenges that impact our ability to compete effectively in the marketplace. For a discussion of factors that affect or could affect our business, our competitive environment, demand for our MBS, or the liquidity and market value of our MBS, as well as the risks associated with our conservatorship, our higher capital requirements relative to that of our primary competitor, our housing mission requirements, the UMBS market and the performance of our MBS, see “Business—Conservatorship and Treasury Agreements,” “Business—Legislation and Regulation,” “Risk Factors” and “MD&amp;A—Single-Family Business— Single-Family Competition” in our 2024 Form 10-K, as well as “Legislation and Regulation” in our First Quarter 2025 Form 10-Q and in this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5591175" cy="18503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91175" cy="185039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37465</wp:posOffset>
            </wp:positionV>
            <wp:extent cx="147320" cy="98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201295</wp:posOffset>
            </wp:positionV>
            <wp:extent cx="155575" cy="98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48" w:right="339" w:bottom="1440" w:gutter="0" w:footer="0" w:header="0"/>
          <w:type w:val="continuous"/>
        </w:sectPr>
      </w:pPr>
    </w:p>
    <w:p>
      <w:pPr>
        <w:ind w:left="240" w:right="260" w:hanging="236"/>
        <w:spacing w:after="0" w:line="226" w:lineRule="auto"/>
        <w:tabs>
          <w:tab w:leader="none" w:pos="27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unpaid principal balance of our mortgage loans underlying Fannie Mae MBS outstanding.</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1"/>
        </w:numPr>
        <w:rPr>
          <w:rFonts w:ascii="Arial" w:cs="Arial" w:eastAsia="Arial" w:hAnsi="Arial"/>
          <w:sz w:val="9"/>
          <w:szCs w:val="9"/>
          <w:color w:val="auto"/>
        </w:rPr>
      </w:pPr>
      <w:r>
        <w:rPr>
          <w:rFonts w:ascii="Arial" w:cs="Arial" w:eastAsia="Arial" w:hAnsi="Arial"/>
          <w:sz w:val="14"/>
          <w:szCs w:val="14"/>
          <w:color w:val="auto"/>
        </w:rPr>
        <w:t>Excludes the impact of a 10 basis point guaranty fee increase implemented pursuant to the TCCA, the incremental revenue from which is paid to Treasury and not retained by us.</w:t>
      </w:r>
    </w:p>
    <w:p>
      <w:pPr>
        <w:spacing w:after="0" w:line="45" w:lineRule="exact"/>
        <w:rPr>
          <w:rFonts w:ascii="Arial" w:cs="Arial" w:eastAsia="Arial" w:hAnsi="Arial"/>
          <w:sz w:val="9"/>
          <w:szCs w:val="9"/>
          <w:color w:val="auto"/>
        </w:rPr>
      </w:pPr>
    </w:p>
    <w:p>
      <w:pPr>
        <w:ind w:left="240" w:right="140" w:hanging="237"/>
        <w:spacing w:after="0" w:line="264" w:lineRule="auto"/>
        <w:tabs>
          <w:tab w:leader="none" w:pos="270" w:val="left"/>
        </w:tabs>
        <w:numPr>
          <w:ilvl w:val="0"/>
          <w:numId w:val="21"/>
        </w:numPr>
        <w:rPr>
          <w:rFonts w:ascii="Arial" w:cs="Arial" w:eastAsia="Arial" w:hAnsi="Arial"/>
          <w:sz w:val="9"/>
          <w:szCs w:val="9"/>
          <w:color w:val="auto"/>
        </w:rPr>
      </w:pPr>
      <w:r>
        <w:rPr>
          <w:rFonts w:ascii="Arial" w:cs="Arial" w:eastAsia="Arial" w:hAnsi="Arial"/>
          <w:sz w:val="14"/>
          <w:szCs w:val="14"/>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average single-family conventional guaranty book of business is based on the average of quarter-end balances.</w:t>
      </w:r>
    </w:p>
    <w:p>
      <w:pPr>
        <w:spacing w:after="0" w:line="3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single-family conventional loan acquisition volumes remained at low levels in the second quarter of 2025. Housing affordability constraints, limited supply, and market competition continued to put downward pressure on the volume of purchase loans we acquired. In addition, the average 30-year fixed-rate mortgage rate in second quarter of 2025 remained higher than the interest rates of most outstanding single-family loans, resulting in low refinancing volumes.</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w:t>
      </w:r>
    </w:p>
    <w:p>
      <w:pPr>
        <w:spacing w:after="0" w:line="3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increased in the second quarter of 2025 compared with the second quarter of 2024, primarily as a result of a shift in the profile of loans we acquired to loans with higher upfront fees, as well as higher base guaranty fees on new single-family loan acquisitions.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5" w:name="page26"/>
    <w:bookmarkEnd w:id="25"/>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63"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This section updates our discussion of single-family mortgage credit risk management in our 2024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2024 Form 10-K.</w:t>
      </w:r>
    </w:p>
    <w:p>
      <w:pPr>
        <w:spacing w:after="0" w:line="66" w:lineRule="exact"/>
        <w:rPr>
          <w:sz w:val="20"/>
          <w:szCs w:val="20"/>
          <w:color w:val="auto"/>
        </w:rPr>
      </w:pPr>
    </w:p>
    <w:p>
      <w:pPr>
        <w:ind w:right="2100"/>
        <w:spacing w:after="0" w:line="355" w:lineRule="auto"/>
        <w:rPr>
          <w:sz w:val="20"/>
          <w:szCs w:val="20"/>
          <w:color w:val="auto"/>
        </w:rPr>
      </w:pPr>
      <w:r>
        <w:rPr>
          <w:rFonts w:ascii="Georgia" w:cs="Georgia" w:eastAsia="Georgia" w:hAnsi="Georgia"/>
          <w:sz w:val="19"/>
          <w:szCs w:val="19"/>
          <w:b w:val="1"/>
          <w:bCs w:val="1"/>
          <w:i w:val="1"/>
          <w:iCs w:val="1"/>
          <w:color w:val="05314D"/>
        </w:rPr>
        <w:t xml:space="preserve">Single-Family Acquisition and Servicing Policies and Underwriting and Servicing Standards </w:t>
      </w:r>
      <w:r>
        <w:rPr>
          <w:rFonts w:ascii="Georgia" w:cs="Georgia" w:eastAsia="Georgia" w:hAnsi="Georgia"/>
          <w:sz w:val="19"/>
          <w:szCs w:val="19"/>
          <w:i w:val="1"/>
          <w:iCs w:val="1"/>
          <w:color w:val="05314D"/>
        </w:rPr>
        <w:t>New Credit Score Models</w:t>
      </w:r>
    </w:p>
    <w:p>
      <w:pPr>
        <w:spacing w:after="0" w:line="3"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color w:val="auto"/>
        </w:rPr>
        <w:t>Fannie Mae uses credit scores to establish a minimum credit threshold for mortgage lending, provide a foundation for risk-based pricing, and support disclosures to investors. We currently use the “classic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from Fair Isaac Corporation as our credit score model, which FHFA has approved.</w:t>
      </w:r>
    </w:p>
    <w:p>
      <w:pPr>
        <w:spacing w:after="0" w:line="1"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In October 2022, FHFA announced the validation and approval of two new credit score models for use by Fannie Mae and Freddie Mac: the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10 T credit score model and the VantageScore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4.0 credit score model.</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July 2025, FHFA announced that Fannie Mae and Freddie Mac are moving forward with an interim phase in the transition to the new credit score models, in which we will permit lenders to deliver mortgage loans using a credit score generated by either the classic FICO Score model or the VantageScore 4.0 model as we continue to work towards full implementation of modernized credit scoring and credit reporting. FHFA also announced that implementation efforts are underway with respect to the FICO 10 T credit score model, and that Fannie Mae and Freddie Mac expect to be able to publish historical FICO 10 T data and adopt scores from the model at a later date.</w:t>
      </w:r>
    </w:p>
    <w:p>
      <w:pPr>
        <w:spacing w:after="0" w:line="54"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color w:val="auto"/>
        </w:rPr>
        <w:t>We will update our Selling Guide and make additional changes to support the adoption of VantageScore 4.0 in the near future. During the interim phase, we will accept either classic FICO Score or VantageScore 4.0 credit scores on a given loan, but not both. FHFA has advised that the inclusion of VantageScore 4.0 credit scores during the interim phase will not change our current tri-merge credit reporting requirement.</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8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2024 Form 10-K.</w:t>
      </w:r>
    </w:p>
    <w:p>
      <w:pPr>
        <w:spacing w:after="0" w:line="48"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We provide additional information on the credit characteristics of our single-family loans in our quarterly earnings presentations and financial supplements, which we furnish to the Securities and Exchange Commission (the “SEC”) with current reports on Form 8-K and make available on our website. Information in our quarterly earnings presentations and financial supplements is not incorporated by reference into this report.</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gridSpan w:val="10"/>
          </w:tcPr>
          <w:p>
            <w:pPr>
              <w:jc w:val="center"/>
              <w:ind w:right="51"/>
              <w:spacing w:after="0"/>
              <w:rPr>
                <w:sz w:val="20"/>
                <w:szCs w:val="20"/>
                <w:color w:val="auto"/>
              </w:rPr>
            </w:pPr>
            <w:r>
              <w:rPr>
                <w:rFonts w:ascii="Arial" w:cs="Arial" w:eastAsia="Arial" w:hAnsi="Arial"/>
                <w:sz w:val="14"/>
                <w:szCs w:val="14"/>
                <w:b w:val="1"/>
                <w:bCs w:val="1"/>
                <w:color w:val="auto"/>
                <w:w w:val="98"/>
              </w:rPr>
              <w:t>Percent of Single-Family Conventional Business Volume at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3"/>
          </w:tcPr>
          <w:p>
            <w:pPr>
              <w:jc w:val="center"/>
              <w:ind w:left="331"/>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17"/>
                <w:szCs w:val="17"/>
                <w:b w:val="1"/>
                <w:bCs w:val="1"/>
                <w:color w:val="auto"/>
                <w:w w:val="95"/>
                <w:vertAlign w:val="superscript"/>
              </w:rPr>
              <w:t>(2)</w:t>
            </w:r>
          </w:p>
        </w:tc>
        <w:tc>
          <w:tcPr>
            <w:tcW w:w="64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8"/>
              </w:rPr>
              <w:t>Percent of Single-Family Conventional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4"/>
            <w:vMerge w:val="restart"/>
          </w:tcPr>
          <w:p>
            <w:pPr>
              <w:jc w:val="center"/>
              <w:ind w:right="31"/>
              <w:spacing w:after="0"/>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line="20" w:lineRule="exact"/>
              <w:rPr>
                <w:sz w:val="1"/>
                <w:szCs w:val="1"/>
                <w:color w:val="auto"/>
              </w:rPr>
            </w:pPr>
          </w:p>
        </w:tc>
        <w:tc>
          <w:tcPr>
            <w:tcW w:w="2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For the Six Months Ended June</w:t>
            </w: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4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rPr>
              <w:t>Guaranty Book of Business</w:t>
            </w:r>
            <w:r>
              <w:rPr>
                <w:rFonts w:ascii="Arial" w:cs="Arial" w:eastAsia="Arial" w:hAnsi="Arial"/>
                <w:sz w:val="16"/>
                <w:szCs w:val="16"/>
                <w:b w:val="1"/>
                <w:bCs w:val="1"/>
                <w:color w:val="auto"/>
                <w:vertAlign w:val="superscript"/>
              </w:rPr>
              <w:t>(3)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3"/>
          </w:tcPr>
          <w:p>
            <w:pPr>
              <w:jc w:val="center"/>
              <w:ind w:left="511"/>
              <w:spacing w:after="0"/>
              <w:rPr>
                <w:sz w:val="20"/>
                <w:szCs w:val="20"/>
                <w:color w:val="auto"/>
              </w:rPr>
            </w:pPr>
            <w:r>
              <w:rPr>
                <w:rFonts w:ascii="Arial" w:cs="Arial" w:eastAsia="Arial" w:hAnsi="Arial"/>
                <w:sz w:val="14"/>
                <w:szCs w:val="14"/>
                <w:b w:val="1"/>
                <w:bCs w:val="1"/>
                <w:color w:val="auto"/>
                <w:w w:val="99"/>
              </w:rPr>
              <w:t>June 30,</w:t>
            </w:r>
          </w:p>
        </w:tc>
        <w:tc>
          <w:tcPr>
            <w:tcW w:w="700" w:type="dxa"/>
            <w:vAlign w:val="bottom"/>
            <w:tcBorders>
              <w:bottom w:val="single" w:sz="8" w:color="2C6937"/>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spacing w:after="0"/>
              <w:rPr>
                <w:sz w:val="15"/>
                <w:szCs w:val="15"/>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46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w w:val="96"/>
              </w:rPr>
              <w:t>2025</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June 30, 2025</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December 31, 2024</w:t>
            </w:r>
          </w:p>
        </w:tc>
        <w:tc>
          <w:tcPr>
            <w:tcW w:w="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77</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300" w:type="dxa"/>
            <w:vAlign w:val="bottom"/>
            <w:shd w:val="clear" w:color="auto" w:fill="CBC8C3"/>
          </w:tcPr>
          <w:p>
            <w:pPr>
              <w:spacing w:after="0"/>
              <w:rPr>
                <w:sz w:val="18"/>
                <w:szCs w:val="18"/>
                <w:color w:val="auto"/>
              </w:rPr>
            </w:pPr>
          </w:p>
        </w:tc>
        <w:tc>
          <w:tcPr>
            <w:tcW w:w="6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77</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6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74</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73</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8"/>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335,449</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332,720</w:t>
            </w: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333,536</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329,836</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209,744</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209,326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445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17,123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70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2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70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300" w:type="dxa"/>
            <w:vAlign w:val="bottom"/>
            <w:tcBorders>
              <w:bottom w:val="single" w:sz="8" w:color="CBC8C3"/>
            </w:tcBorders>
          </w:tcPr>
          <w:p>
            <w:pPr>
              <w:spacing w:after="0" w:line="20" w:lineRule="exact"/>
              <w:rPr>
                <w:sz w:val="1"/>
                <w:szCs w:val="1"/>
                <w:color w:val="auto"/>
              </w:rPr>
            </w:pPr>
          </w:p>
        </w:tc>
        <w:tc>
          <w:tcPr>
            <w:tcW w:w="64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74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300" w:type="dxa"/>
            <w:vAlign w:val="bottom"/>
            <w:shd w:val="clear" w:color="auto" w:fill="CBC8C3"/>
          </w:tcPr>
          <w:p>
            <w:pPr>
              <w:spacing w:after="0"/>
              <w:rPr>
                <w:sz w:val="18"/>
                <w:szCs w:val="18"/>
                <w:color w:val="auto"/>
              </w:rPr>
            </w:pPr>
          </w:p>
        </w:tc>
        <w:tc>
          <w:tcPr>
            <w:tcW w:w="6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50</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50</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2"/>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71</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72</w:t>
            </w:r>
          </w:p>
        </w:tc>
        <w:tc>
          <w:tcPr>
            <w:tcW w:w="26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67</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757</w:t>
            </w: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759</w:t>
            </w:r>
          </w:p>
        </w:tc>
        <w:tc>
          <w:tcPr>
            <w:tcW w:w="260" w:type="dxa"/>
            <w:vAlign w:val="bottom"/>
            <w:shd w:val="clear" w:color="auto" w:fill="CBC8C3"/>
          </w:tcPr>
          <w:p>
            <w:pPr>
              <w:spacing w:after="0"/>
              <w:rPr>
                <w:sz w:val="18"/>
                <w:szCs w:val="18"/>
                <w:color w:val="auto"/>
              </w:rPr>
            </w:pPr>
          </w:p>
        </w:tc>
        <w:tc>
          <w:tcPr>
            <w:tcW w:w="300" w:type="dxa"/>
            <w:vAlign w:val="bottom"/>
            <w:shd w:val="clear" w:color="auto" w:fill="CBC8C3"/>
          </w:tcPr>
          <w:p>
            <w:pPr>
              <w:spacing w:after="0"/>
              <w:rPr>
                <w:sz w:val="18"/>
                <w:szCs w:val="18"/>
                <w:color w:val="auto"/>
              </w:rPr>
            </w:pPr>
          </w:p>
        </w:tc>
        <w:tc>
          <w:tcPr>
            <w:tcW w:w="6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757</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758</w:t>
            </w:r>
          </w:p>
        </w:tc>
        <w:tc>
          <w:tcPr>
            <w:tcW w:w="24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73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shd w:val="clear" w:color="auto" w:fill="CBC8C3"/>
          </w:tcPr>
          <w:p>
            <w:pPr>
              <w:spacing w:after="0"/>
              <w:rPr>
                <w:sz w:val="18"/>
                <w:szCs w:val="18"/>
                <w:color w:val="auto"/>
              </w:rPr>
            </w:pPr>
          </w:p>
        </w:tc>
        <w:tc>
          <w:tcPr>
            <w:tcW w:w="7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300" w:type="dxa"/>
            <w:vAlign w:val="bottom"/>
            <w:shd w:val="clear" w:color="auto" w:fill="CBC8C3"/>
          </w:tcPr>
          <w:p>
            <w:pPr>
              <w:spacing w:after="0"/>
              <w:rPr>
                <w:sz w:val="18"/>
                <w:szCs w:val="18"/>
                <w:color w:val="auto"/>
              </w:rPr>
            </w:pPr>
          </w:p>
        </w:tc>
        <w:tc>
          <w:tcPr>
            <w:tcW w:w="6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60" w:type="dxa"/>
            <w:vAlign w:val="bottom"/>
            <w:shd w:val="clear" w:color="auto" w:fill="CBC8C3"/>
          </w:tcPr>
          <w:p>
            <w:pPr>
              <w:spacing w:after="0"/>
              <w:rPr>
                <w:sz w:val="18"/>
                <w:szCs w:val="18"/>
                <w:color w:val="auto"/>
              </w:rPr>
            </w:pPr>
          </w:p>
        </w:tc>
        <w:tc>
          <w:tcPr>
            <w:tcW w:w="14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36</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3460" w:type="dxa"/>
            <w:vAlign w:val="bottom"/>
            <w:tcBorders>
              <w:bottom w:val="single" w:sz="8" w:color="CBC8C3"/>
            </w:tcBorders>
            <w:gridSpan w:val="4"/>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70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300" w:type="dxa"/>
            <w:vAlign w:val="bottom"/>
            <w:tcBorders>
              <w:bottom w:val="single" w:sz="8" w:color="CBC8C3"/>
            </w:tcBorders>
          </w:tcPr>
          <w:p>
            <w:pPr>
              <w:spacing w:after="0"/>
              <w:rPr>
                <w:sz w:val="24"/>
                <w:szCs w:val="24"/>
                <w:color w:val="auto"/>
              </w:rPr>
            </w:pPr>
          </w:p>
        </w:tc>
        <w:tc>
          <w:tcPr>
            <w:tcW w:w="6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7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14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146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460" w:type="dxa"/>
            <w:vAlign w:val="bottom"/>
            <w:gridSpan w:val="4"/>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9"/>
          </w:tcPr>
          <w:p>
            <w:pPr>
              <w:ind w:left="320"/>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180" w:type="dxa"/>
            <w:vAlign w:val="bottom"/>
          </w:tcPr>
          <w:p>
            <w:pPr>
              <w:spacing w:after="0"/>
              <w:rPr>
                <w:sz w:val="14"/>
                <w:szCs w:val="14"/>
                <w:color w:val="auto"/>
              </w:rPr>
            </w:pPr>
          </w:p>
        </w:tc>
      </w:tr>
      <w:tr>
        <w:trPr>
          <w:trHeight w:val="205"/>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900" w:type="dxa"/>
            <w:vAlign w:val="bottom"/>
            <w:tcBorders>
              <w:bottom w:val="single" w:sz="8" w:color="2C6937"/>
            </w:tcBorders>
            <w:gridSpan w:val="3"/>
          </w:tcPr>
          <w:p>
            <w:pPr>
              <w:jc w:val="right"/>
              <w:ind w:right="57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17"/>
                <w:szCs w:val="17"/>
                <w:b w:val="1"/>
                <w:bCs w:val="1"/>
                <w:color w:val="auto"/>
                <w:vertAlign w:val="superscript"/>
              </w:rPr>
              <w:t>(2)</w:t>
            </w:r>
          </w:p>
        </w:tc>
        <w:tc>
          <w:tcPr>
            <w:tcW w:w="2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80" w:type="dxa"/>
            <w:vAlign w:val="bottom"/>
          </w:tcPr>
          <w:p>
            <w:pPr>
              <w:spacing w:after="0"/>
              <w:rPr>
                <w:sz w:val="17"/>
                <w:szCs w:val="17"/>
                <w:color w:val="auto"/>
              </w:rPr>
            </w:pPr>
          </w:p>
        </w:tc>
      </w:tr>
      <w:tr>
        <w:trPr>
          <w:trHeight w:val="151"/>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13"/>
                <w:szCs w:val="13"/>
                <w:color w:val="auto"/>
              </w:rPr>
            </w:pPr>
          </w:p>
        </w:tc>
        <w:tc>
          <w:tcPr>
            <w:tcW w:w="212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w w:val="98"/>
              </w:rPr>
              <w:t>For the Six Months Ended June</w:t>
            </w:r>
          </w:p>
        </w:tc>
        <w:tc>
          <w:tcPr>
            <w:tcW w:w="180" w:type="dxa"/>
            <w:vAlign w:val="bottom"/>
          </w:tcPr>
          <w:p>
            <w:pPr>
              <w:spacing w:after="0"/>
              <w:rPr>
                <w:sz w:val="13"/>
                <w:szCs w:val="13"/>
                <w:color w:val="auto"/>
              </w:rPr>
            </w:pPr>
          </w:p>
        </w:tc>
      </w:tr>
      <w:tr>
        <w:trPr>
          <w:trHeight w:val="189"/>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70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2C6937"/>
            </w:tcBorders>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2620" w:type="dxa"/>
            <w:vAlign w:val="bottom"/>
            <w:gridSpan w:val="2"/>
          </w:tcPr>
          <w:p>
            <w:pPr>
              <w:spacing w:after="0"/>
              <w:rPr>
                <w:sz w:val="16"/>
                <w:szCs w:val="16"/>
                <w:color w:val="auto"/>
              </w:rPr>
            </w:pPr>
          </w:p>
        </w:tc>
        <w:tc>
          <w:tcPr>
            <w:tcW w:w="640" w:type="dxa"/>
            <w:vAlign w:val="bottom"/>
            <w:tcBorders>
              <w:bottom w:val="single" w:sz="8" w:color="2C6937"/>
            </w:tcBorders>
          </w:tcPr>
          <w:p>
            <w:pPr>
              <w:ind w:left="320"/>
              <w:spacing w:after="0"/>
              <w:rPr>
                <w:sz w:val="20"/>
                <w:szCs w:val="20"/>
                <w:color w:val="auto"/>
              </w:rPr>
            </w:pPr>
            <w:r>
              <w:rPr>
                <w:rFonts w:ascii="Arial" w:cs="Arial" w:eastAsia="Arial" w:hAnsi="Arial"/>
                <w:sz w:val="14"/>
                <w:szCs w:val="14"/>
                <w:b w:val="1"/>
                <w:bCs w:val="1"/>
                <w:color w:val="auto"/>
                <w:w w:val="96"/>
              </w:rPr>
              <w:t>2025</w:t>
            </w:r>
          </w:p>
        </w:tc>
        <w:tc>
          <w:tcPr>
            <w:tcW w:w="30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r>
      <w:tr>
        <w:trPr>
          <w:trHeight w:val="185"/>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45"/>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4"/>
        </w:trPr>
        <w:tc>
          <w:tcPr>
            <w:tcW w:w="326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0"/>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0"/>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8"/>
                <w:szCs w:val="18"/>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9"/>
                <w:szCs w:val="19"/>
                <w:color w:val="auto"/>
              </w:rPr>
            </w:pPr>
          </w:p>
        </w:tc>
        <w:tc>
          <w:tcPr>
            <w:tcW w:w="64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9"/>
                <w:szCs w:val="19"/>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77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9"/>
                <w:szCs w:val="19"/>
                <w:color w:val="auto"/>
              </w:rPr>
            </w:pPr>
          </w:p>
        </w:tc>
        <w:tc>
          <w:tcPr>
            <w:tcW w:w="64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9"/>
                <w:szCs w:val="19"/>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9"/>
                <w:szCs w:val="19"/>
                <w:color w:val="auto"/>
              </w:rPr>
            </w:pP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9"/>
                <w:szCs w:val="19"/>
                <w:color w:val="auto"/>
              </w:rPr>
            </w:pPr>
          </w:p>
        </w:tc>
      </w:tr>
      <w:tr>
        <w:trPr>
          <w:trHeight w:val="21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64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9"/>
                <w:szCs w:val="19"/>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9"/>
                <w:szCs w:val="19"/>
                <w:color w:val="auto"/>
              </w:rPr>
            </w:pPr>
          </w:p>
        </w:tc>
      </w:tr>
      <w:tr>
        <w:trPr>
          <w:trHeight w:val="213"/>
        </w:trPr>
        <w:tc>
          <w:tcPr>
            <w:tcW w:w="326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3"/>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2019 and prior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96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5963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193" w:lineRule="exact"/>
        <w:rPr>
          <w:sz w:val="20"/>
          <w:szCs w:val="20"/>
          <w:color w:val="auto"/>
        </w:rPr>
      </w:pPr>
    </w:p>
    <w:p>
      <w:pPr>
        <w:ind w:left="200" w:hanging="197"/>
        <w:spacing w:after="0"/>
        <w:tabs>
          <w:tab w:leader="none" w:pos="2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Percent of Single-Family Conventional</w:t>
      </w:r>
    </w:p>
    <w:p>
      <w:pPr>
        <w:ind w:left="980"/>
        <w:spacing w:after="0" w:line="183"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Borders>
              <w:top w:val="single" w:sz="8" w:color="2C6937"/>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June 30, 2025</w:t>
            </w:r>
          </w:p>
        </w:tc>
        <w:tc>
          <w:tcPr>
            <w:tcW w:w="240" w:type="dxa"/>
            <w:vAlign w:val="bottom"/>
            <w:tcBorders>
              <w:top w:val="single" w:sz="8" w:color="2C6937"/>
            </w:tcBorders>
          </w:tcPr>
          <w:p>
            <w:pPr>
              <w:spacing w:after="0"/>
              <w:rPr>
                <w:sz w:val="16"/>
                <w:szCs w:val="16"/>
                <w:color w:val="auto"/>
              </w:rPr>
            </w:pPr>
          </w:p>
        </w:tc>
        <w:tc>
          <w:tcPr>
            <w:tcW w:w="170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top w:val="single" w:sz="8" w:color="2C6937"/>
            </w:tcBorders>
          </w:tcPr>
          <w:p>
            <w:pPr>
              <w:spacing w:after="0"/>
              <w:rPr>
                <w:sz w:val="16"/>
                <w:szCs w:val="16"/>
                <w:color w:val="auto"/>
              </w:rPr>
            </w:pPr>
          </w:p>
        </w:tc>
      </w:tr>
      <w:tr>
        <w:trPr>
          <w:trHeight w:val="636"/>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49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482" w:lineRule="exact"/>
        <w:rPr>
          <w:sz w:val="20"/>
          <w:szCs w:val="20"/>
          <w:color w:val="auto"/>
        </w:rPr>
      </w:pPr>
    </w:p>
    <w:p>
      <w:pPr>
        <w:sectPr>
          <w:pgSz w:w="11900" w:h="16838" w:orient="portrait"/>
          <w:cols w:equalWidth="0" w:num="2">
            <w:col w:w="7300" w:space="60"/>
            <w:col w:w="3880"/>
          </w:cols>
          <w:pgMar w:left="320" w:top="248"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8" w:name="page29"/>
    <w:bookmarkEnd w:id="2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38" w:lineRule="exact"/>
        <w:rPr>
          <w:rFonts w:ascii="Arial" w:cs="Arial" w:eastAsia="Arial" w:hAnsi="Arial"/>
          <w:sz w:val="18"/>
          <w:szCs w:val="18"/>
          <w:color w:val="auto"/>
          <w:vertAlign w:val="superscript"/>
        </w:rPr>
      </w:pPr>
    </w:p>
    <w:p>
      <w:pPr>
        <w:ind w:left="240" w:right="160" w:hanging="237"/>
        <w:spacing w:after="0" w:line="219" w:lineRule="auto"/>
        <w:tabs>
          <w:tab w:leader="none" w:pos="233"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13" w:lineRule="exact"/>
        <w:rPr>
          <w:rFonts w:ascii="Arial" w:cs="Arial" w:eastAsia="Arial" w:hAnsi="Arial"/>
          <w:sz w:val="18"/>
          <w:szCs w:val="18"/>
          <w:color w:val="auto"/>
          <w:vertAlign w:val="superscript"/>
        </w:rPr>
      </w:pPr>
    </w:p>
    <w:p>
      <w:pPr>
        <w:ind w:left="240" w:right="240" w:hanging="237"/>
        <w:spacing w:after="0" w:line="275" w:lineRule="auto"/>
        <w:tabs>
          <w:tab w:leader="none" w:pos="233"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4" w:lineRule="exact"/>
        <w:rPr>
          <w:rFonts w:ascii="Arial" w:cs="Arial" w:eastAsia="Arial" w:hAnsi="Arial"/>
          <w:sz w:val="9"/>
          <w:szCs w:val="9"/>
          <w:color w:val="auto"/>
        </w:rPr>
      </w:pPr>
    </w:p>
    <w:p>
      <w:pPr>
        <w:ind w:left="240" w:right="20" w:hanging="237"/>
        <w:spacing w:after="0" w:line="244" w:lineRule="auto"/>
        <w:tabs>
          <w:tab w:leader="none" w:pos="233"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23" w:lineRule="exact"/>
        <w:rPr>
          <w:rFonts w:ascii="Arial" w:cs="Arial" w:eastAsia="Arial" w:hAnsi="Arial"/>
          <w:sz w:val="17"/>
          <w:szCs w:val="17"/>
          <w:color w:val="auto"/>
          <w:vertAlign w:val="superscript"/>
        </w:rPr>
      </w:pPr>
    </w:p>
    <w:p>
      <w:pPr>
        <w:ind w:left="240" w:right="240" w:hanging="237"/>
        <w:spacing w:after="0" w:line="218" w:lineRule="auto"/>
        <w:tabs>
          <w:tab w:leader="none" w:pos="233"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3"/>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29" w:lineRule="exact"/>
        <w:rPr>
          <w:rFonts w:ascii="Arial" w:cs="Arial" w:eastAsia="Arial" w:hAnsi="Arial"/>
          <w:sz w:val="18"/>
          <w:szCs w:val="18"/>
          <w:color w:val="auto"/>
          <w:vertAlign w:val="superscript"/>
        </w:rPr>
      </w:pPr>
    </w:p>
    <w:p>
      <w:pPr>
        <w:ind w:left="240" w:right="160" w:hanging="237"/>
        <w:spacing w:after="0" w:line="239" w:lineRule="auto"/>
        <w:tabs>
          <w:tab w:leader="none" w:pos="233"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5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2024 Form 10-K. In this section of our 2024 Form 10-K, we also provide more information on the credit characteristics of loans in our single-family conventional guaranty book of business, including high-balance loans and adjustable-rate mortgages.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acquisition. We generally achieve this through primary mortgage insurance. We also enter into various other types of transactions in which we transfer mortgage credit risk to third parties. For a discussion of our exposure to and management of the counterparty credit risk associated with the providers of these credit enhancements, see “MD&amp;A—Risk Management—Institutional Counterparty Credit Risk Management,” “Note 14, Concentrations of Credit Risk” and “Risk Factors—Credit Risk” in our 2024 Form 10-K.</w:t>
      </w:r>
    </w:p>
    <w:p>
      <w:pPr>
        <w:spacing w:after="0" w:line="3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The risk in force of our back-end credit risk transfer transactions, which refers to the maximum amount of losses that could be absorbed by investors in those transactions, was approximately $42 billion as of June 30, 2025, compared with approximately $43 billion as of December 31, 2024. Our mortgage insurance risk in force, which refers to our maximum potential loss recovery under the applicable mortgage insurance policies in force, was approximately $201 billion as of June 30, 2025, compared with approximately $202 billion as of December 31, 2024.</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845"/>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2024</w:t>
            </w:r>
          </w:p>
        </w:tc>
      </w:tr>
      <w:tr>
        <w:trPr>
          <w:trHeight w:val="178"/>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Family Conventional</w:t>
            </w:r>
          </w:p>
        </w:tc>
      </w:tr>
      <w:tr>
        <w:trPr>
          <w:trHeight w:val="155"/>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Guaranty Book of</w:t>
            </w:r>
          </w:p>
        </w:tc>
      </w:tr>
      <w:tr>
        <w:trPr>
          <w:trHeight w:val="202"/>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185"/>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40"/>
              <w:spacing w:after="0"/>
              <w:rPr>
                <w:sz w:val="20"/>
                <w:szCs w:val="20"/>
                <w:color w:val="auto"/>
              </w:rPr>
            </w:pPr>
            <w:r>
              <w:rPr>
                <w:rFonts w:ascii="Arial" w:cs="Arial" w:eastAsia="Arial" w:hAnsi="Arial"/>
                <w:sz w:val="14"/>
                <w:szCs w:val="14"/>
                <w:b w:val="1"/>
                <w:bCs w:val="1"/>
                <w:color w:val="auto"/>
              </w:rPr>
              <w:t>(Dollars in billions)</w:t>
            </w:r>
          </w:p>
        </w:tc>
        <w:tc>
          <w:tcPr>
            <w:tcW w:w="1560" w:type="dxa"/>
            <w:vAlign w:val="bottom"/>
          </w:tcPr>
          <w:p>
            <w:pPr>
              <w:spacing w:after="0"/>
              <w:rPr>
                <w:sz w:val="16"/>
                <w:szCs w:val="16"/>
                <w:color w:val="auto"/>
              </w:rPr>
            </w:pPr>
          </w:p>
        </w:tc>
      </w:tr>
      <w:tr>
        <w:trPr>
          <w:trHeight w:val="24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755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874</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23</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458</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12</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r>
      <w:tr>
        <w:trPr>
          <w:trHeight w:val="234"/>
        </w:trPr>
        <w:tc>
          <w:tcPr>
            <w:tcW w:w="5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(419)</w:t>
            </w:r>
          </w:p>
        </w:tc>
        <w:tc>
          <w:tcPr>
            <w:tcW w:w="100" w:type="dxa"/>
            <w:vAlign w:val="bottom"/>
          </w:tcPr>
          <w:p>
            <w:pPr>
              <w:spacing w:after="0"/>
              <w:rPr>
                <w:sz w:val="20"/>
                <w:szCs w:val="20"/>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(11)</w:t>
            </w:r>
          </w:p>
        </w:tc>
      </w:tr>
      <w:tr>
        <w:trPr>
          <w:trHeight w:val="225"/>
        </w:trPr>
        <w:tc>
          <w:tcPr>
            <w:tcW w:w="5660" w:type="dxa"/>
            <w:vAlign w:val="bottom"/>
            <w:gridSpan w:val="2"/>
          </w:tcPr>
          <w:p>
            <w:pPr>
              <w:ind w:left="320"/>
              <w:spacing w:after="0"/>
              <w:rPr>
                <w:sz w:val="20"/>
                <w:szCs w:val="20"/>
                <w:color w:val="auto"/>
              </w:rPr>
            </w:pPr>
            <w:r>
              <w:rPr>
                <w:rFonts w:ascii="Arial" w:cs="Arial" w:eastAsia="Arial" w:hAnsi="Arial"/>
                <w:sz w:val="15"/>
                <w:szCs w:val="15"/>
                <w:color w:val="auto"/>
              </w:rPr>
              <w:t>Total single-family loans with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1,698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
        </w:trPr>
        <w:tc>
          <w:tcPr>
            <w:tcW w:w="55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As of June 30, 2025 and December 31, 2024, the loans in our single-family conventional guaranty book of business that were currently without credit enhancement consisted primarily of loans with an LTV ratio less than or equal to 60% or loans with an original maturity of 20 years or less. See “MD&amp;A— Single-Family Business—Single-Family Credit Enhancement and Transfer of Mortgage Credit Risk" in our 2024 Form 10-K for more information about our single-family loans without credit enhancements.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67"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two primary single-family credit risk transfer programs are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Credit Insurance Risk Transfer™ (“CIRT™”). For a description of our single-family credit risk transfer transactions, see "MD&amp;A—Single-Family Business— Single-Family Mortgage Credit Risk Management—Single-Family Credit Enhancement and Transfer of Mortgage Credit Risk" in our 2024 Form 10-K.</w:t>
      </w:r>
    </w:p>
    <w:p>
      <w:pPr>
        <w:spacing w:after="0" w:line="50" w:lineRule="exact"/>
        <w:rPr>
          <w:sz w:val="20"/>
          <w:szCs w:val="20"/>
          <w:color w:val="auto"/>
        </w:rPr>
      </w:pPr>
    </w:p>
    <w:p>
      <w:pPr>
        <w:ind w:right="980"/>
        <w:spacing w:after="0" w:line="293" w:lineRule="auto"/>
        <w:rPr>
          <w:sz w:val="20"/>
          <w:szCs w:val="20"/>
          <w:color w:val="auto"/>
        </w:rPr>
      </w:pPr>
      <w:r>
        <w:rPr>
          <w:rFonts w:ascii="Arial" w:cs="Arial" w:eastAsia="Arial" w:hAnsi="Arial"/>
          <w:sz w:val="16"/>
          <w:szCs w:val="16"/>
          <w:color w:val="auto"/>
        </w:rPr>
        <w:t>In the first half of 2025, we transferred a portion of the mortgage credit risk on single-family mortgage loans with an unpaid principal balance of $139.5 billion at the time of the transactions.</w:t>
      </w:r>
    </w:p>
    <w:p>
      <w:pPr>
        <w:spacing w:after="0" w:line="1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provide a portion of the guaranty fee to investors in our credit risk transfer transactions as compensation for their taking on a share of the credit risk of the related loans. We record the substantial majority of expenses related to our credit risk transfer transactions in “Credit enhancement expense” within our consolidated statements of operations and comprehensive income. In the first half of 2025, we paid $773 million in premiums on our outstanding single-family credit risk transfer transactions.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Overview</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2024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0" w:name="page31"/>
    <w:bookmarkEnd w:id="30"/>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80" w:lineRule="exact"/>
        <w:rPr>
          <w:sz w:val="20"/>
          <w:szCs w:val="20"/>
          <w:color w:val="auto"/>
        </w:rPr>
      </w:pPr>
    </w:p>
    <w:p>
      <w:pPr>
        <w:ind w:left="20" w:right="20"/>
        <w:spacing w:after="0" w:line="263"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A higher serious delinquency rate may result in a higher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26670</wp:posOffset>
            </wp:positionV>
            <wp:extent cx="37903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90315" cy="8255"/>
                    </a:xfrm>
                    <a:prstGeom prst="rect">
                      <a:avLst/>
                    </a:prstGeom>
                    <a:noFill/>
                  </pic:spPr>
                </pic:pic>
              </a:graphicData>
            </a:graphic>
          </wp:anchor>
        </w:drawing>
      </w:r>
    </w:p>
    <w:p>
      <w:pPr>
        <w:spacing w:after="0" w:line="38" w:lineRule="exact"/>
        <w:rPr>
          <w:sz w:val="20"/>
          <w:szCs w:val="20"/>
          <w:color w:val="auto"/>
        </w:rPr>
      </w:pPr>
    </w:p>
    <w:p>
      <w:pPr>
        <w:ind w:left="5800"/>
        <w:spacing w:after="0"/>
        <w:tabs>
          <w:tab w:leader="none" w:pos="7640" w:val="left"/>
          <w:tab w:leader="none" w:pos="9840" w:val="left"/>
        </w:tabs>
        <w:rPr>
          <w:sz w:val="20"/>
          <w:szCs w:val="20"/>
          <w:color w:val="auto"/>
        </w:rPr>
      </w:pPr>
      <w:r>
        <w:rPr>
          <w:rFonts w:ascii="Arial" w:cs="Arial" w:eastAsia="Arial" w:hAnsi="Arial"/>
          <w:sz w:val="14"/>
          <w:szCs w:val="14"/>
          <w:b w:val="1"/>
          <w:bCs w:val="1"/>
          <w:color w:val="auto"/>
        </w:rPr>
        <w:t>June 30, 2025</w:t>
      </w:r>
      <w:r>
        <w:rPr>
          <w:sz w:val="20"/>
          <w:szCs w:val="20"/>
          <w:color w:val="auto"/>
        </w:rPr>
        <w:tab/>
      </w:r>
      <w:r>
        <w:rPr>
          <w:rFonts w:ascii="Arial" w:cs="Arial" w:eastAsia="Arial" w:hAnsi="Arial"/>
          <w:sz w:val="14"/>
          <w:szCs w:val="14"/>
          <w:b w:val="1"/>
          <w:bCs w:val="1"/>
          <w:color w:val="auto"/>
        </w:rPr>
        <w:t>December 31, 2024</w:t>
      </w:r>
      <w:r>
        <w:rPr>
          <w:sz w:val="20"/>
          <w:szCs w:val="20"/>
          <w:color w:val="auto"/>
        </w:rPr>
        <w:tab/>
      </w:r>
      <w:r>
        <w:rPr>
          <w:rFonts w:ascii="Arial" w:cs="Arial" w:eastAsia="Arial" w:hAnsi="Arial"/>
          <w:sz w:val="13"/>
          <w:szCs w:val="13"/>
          <w:b w:val="1"/>
          <w:bCs w:val="1"/>
          <w:color w:val="auto"/>
        </w:rPr>
        <w:t>June 30, 2024</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90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118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2C6937"/>
            </w:tcBorders>
          </w:tcPr>
          <w:p>
            <w:pPr>
              <w:spacing w:after="0"/>
              <w:rPr>
                <w:sz w:val="19"/>
                <w:szCs w:val="19"/>
                <w:color w:val="auto"/>
              </w:rPr>
            </w:pPr>
          </w:p>
        </w:tc>
        <w:tc>
          <w:tcPr>
            <w:tcW w:w="1180" w:type="dxa"/>
            <w:vAlign w:val="bottom"/>
            <w:tcBorders>
              <w:top w:val="single" w:sz="8" w:color="2C6937"/>
            </w:tcBorders>
          </w:tcPr>
          <w:p>
            <w:pPr>
              <w:spacing w:after="0"/>
              <w:rPr>
                <w:sz w:val="19"/>
                <w:szCs w:val="19"/>
                <w:color w:val="auto"/>
              </w:rPr>
            </w:pPr>
          </w:p>
        </w:tc>
        <w:tc>
          <w:tcPr>
            <w:tcW w:w="680" w:type="dxa"/>
            <w:vAlign w:val="bottom"/>
            <w:tcBorders>
              <w:top w:val="single" w:sz="8" w:color="2C6937"/>
            </w:tcBorders>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0.99 %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ind w:left="140"/>
              <w:spacing w:after="0"/>
              <w:rPr>
                <w:sz w:val="20"/>
                <w:szCs w:val="20"/>
                <w:color w:val="auto"/>
              </w:rPr>
            </w:pPr>
            <w:r>
              <w:rPr>
                <w:rFonts w:ascii="Arial" w:cs="Arial" w:eastAsia="Arial" w:hAnsi="Arial"/>
                <w:sz w:val="15"/>
                <w:szCs w:val="15"/>
                <w:color w:val="auto"/>
              </w:rPr>
              <w:t>1.05 %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1.07 %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5"/>
                <w:szCs w:val="15"/>
                <w:color w:val="auto"/>
              </w:rPr>
              <w:t>0.29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5"/>
                <w:szCs w:val="15"/>
                <w:color w:val="auto"/>
              </w:rPr>
              <w:t>0.56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0.48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180 days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jc w:val="right"/>
              <w:ind w:right="123"/>
              <w:spacing w:after="0"/>
              <w:rPr>
                <w:sz w:val="20"/>
                <w:szCs w:val="20"/>
                <w:color w:val="auto"/>
              </w:rPr>
            </w:pPr>
            <w:r>
              <w:rPr>
                <w:rFonts w:ascii="Arial" w:cs="Arial" w:eastAsia="Arial" w:hAnsi="Arial"/>
                <w:sz w:val="15"/>
                <w:szCs w:val="15"/>
                <w:color w:val="auto"/>
              </w:rPr>
              <w:t>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years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jc w:val="right"/>
              <w:ind w:right="123"/>
              <w:spacing w:after="0"/>
              <w:rPr>
                <w:sz w:val="20"/>
                <w:szCs w:val="20"/>
                <w:color w:val="auto"/>
              </w:rPr>
            </w:pPr>
            <w:r>
              <w:rPr>
                <w:rFonts w:ascii="Arial" w:cs="Arial" w:eastAsia="Arial" w:hAnsi="Arial"/>
                <w:sz w:val="15"/>
                <w:szCs w:val="15"/>
                <w:color w:val="auto"/>
              </w:rPr>
              <w:t>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Borders>
              <w:bottom w:val="single" w:sz="8" w:color="2C6937"/>
            </w:tcBorders>
            <w:gridSpan w:val="6"/>
          </w:tcPr>
          <w:p>
            <w:pPr>
              <w:ind w:left="760"/>
              <w:spacing w:after="0"/>
              <w:rPr>
                <w:sz w:val="20"/>
                <w:szCs w:val="20"/>
                <w:color w:val="auto"/>
              </w:rPr>
            </w:pPr>
            <w:r>
              <w:rPr>
                <w:rFonts w:ascii="Arial" w:cs="Arial" w:eastAsia="Arial" w:hAnsi="Arial"/>
                <w:sz w:val="14"/>
                <w:szCs w:val="14"/>
                <w:b w:val="1"/>
                <w:bCs w:val="1"/>
                <w:color w:val="auto"/>
              </w:rPr>
              <w:t>For the Six Months Ended June 30,</w:t>
            </w:r>
          </w:p>
        </w:tc>
        <w:tc>
          <w:tcPr>
            <w:tcW w:w="680" w:type="dxa"/>
            <w:vAlign w:val="bottom"/>
            <w:tcBorders>
              <w:bottom w:val="single" w:sz="8" w:color="2C6937"/>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300" w:type="dxa"/>
            <w:vAlign w:val="bottom"/>
            <w:gridSpan w:val="5"/>
          </w:tcPr>
          <w:p>
            <w:pPr>
              <w:ind w:left="2900"/>
              <w:spacing w:after="0"/>
              <w:rPr>
                <w:sz w:val="20"/>
                <w:szCs w:val="20"/>
                <w:color w:val="auto"/>
              </w:rPr>
            </w:pPr>
            <w:r>
              <w:rPr>
                <w:rFonts w:ascii="Arial" w:cs="Arial" w:eastAsia="Arial" w:hAnsi="Arial"/>
                <w:sz w:val="14"/>
                <w:szCs w:val="14"/>
                <w:b w:val="1"/>
                <w:bCs w:val="1"/>
                <w:color w:val="auto"/>
              </w:rPr>
              <w:t>2025</w:t>
            </w:r>
          </w:p>
        </w:tc>
        <w:tc>
          <w:tcPr>
            <w:tcW w:w="1940" w:type="dxa"/>
            <w:vAlign w:val="bottom"/>
            <w:gridSpan w:val="5"/>
          </w:tcPr>
          <w:p>
            <w:pPr>
              <w:ind w:left="1540"/>
              <w:spacing w:after="0"/>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2C6937"/>
            </w:tcBorders>
          </w:tcPr>
          <w:p>
            <w:pPr>
              <w:spacing w:after="0"/>
              <w:rPr>
                <w:sz w:val="18"/>
                <w:szCs w:val="18"/>
                <w:color w:val="auto"/>
              </w:rPr>
            </w:pPr>
          </w:p>
        </w:tc>
        <w:tc>
          <w:tcPr>
            <w:tcW w:w="640" w:type="dxa"/>
            <w:vAlign w:val="bottom"/>
            <w:tcBorders>
              <w:top w:val="single" w:sz="8" w:color="2C6937"/>
            </w:tcBorders>
            <w:vMerge w:val="restart"/>
          </w:tcPr>
          <w:p>
            <w:pPr>
              <w:ind w:left="140"/>
              <w:spacing w:after="0"/>
              <w:rPr>
                <w:sz w:val="20"/>
                <w:szCs w:val="20"/>
                <w:color w:val="auto"/>
              </w:rPr>
            </w:pPr>
            <w:r>
              <w:rPr>
                <w:rFonts w:ascii="Arial" w:cs="Arial" w:eastAsia="Arial" w:hAnsi="Arial"/>
                <w:sz w:val="15"/>
                <w:szCs w:val="15"/>
                <w:b w:val="1"/>
                <w:bCs w:val="1"/>
                <w:color w:val="auto"/>
              </w:rPr>
              <w:t>97,129</w:t>
            </w:r>
          </w:p>
        </w:tc>
        <w:tc>
          <w:tcPr>
            <w:tcW w:w="4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2C6937"/>
            </w:tcBorders>
          </w:tcPr>
          <w:p>
            <w:pPr>
              <w:spacing w:after="0"/>
              <w:rPr>
                <w:sz w:val="18"/>
                <w:szCs w:val="18"/>
                <w:color w:val="auto"/>
              </w:rPr>
            </w:pPr>
          </w:p>
        </w:tc>
        <w:tc>
          <w:tcPr>
            <w:tcW w:w="680" w:type="dxa"/>
            <w:vAlign w:val="bottom"/>
            <w:tcBorders>
              <w:top w:val="single" w:sz="8" w:color="2C6937"/>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5"/>
                <w:szCs w:val="15"/>
                <w:color w:val="auto"/>
              </w:rPr>
              <w:t>Beginning balance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center"/>
              <w:ind w:left="3"/>
              <w:spacing w:after="0"/>
              <w:rPr>
                <w:sz w:val="20"/>
                <w:szCs w:val="20"/>
                <w:color w:val="auto"/>
              </w:rPr>
            </w:pPr>
            <w:r>
              <w:rPr>
                <w:rFonts w:ascii="Arial" w:cs="Arial" w:eastAsia="Arial" w:hAnsi="Arial"/>
                <w:sz w:val="15"/>
                <w:szCs w:val="15"/>
                <w:color w:val="auto"/>
              </w:rPr>
              <w:t>96,479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5"/>
                <w:szCs w:val="15"/>
                <w:b w:val="1"/>
                <w:bCs w:val="1"/>
                <w:color w:val="auto"/>
              </w:rPr>
              <w:t>89,909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center"/>
              <w:ind w:left="3"/>
              <w:spacing w:after="0"/>
              <w:rPr>
                <w:sz w:val="20"/>
                <w:szCs w:val="20"/>
                <w:color w:val="auto"/>
              </w:rPr>
            </w:pPr>
            <w:r>
              <w:rPr>
                <w:rFonts w:ascii="Arial" w:cs="Arial" w:eastAsia="Arial" w:hAnsi="Arial"/>
                <w:sz w:val="15"/>
                <w:szCs w:val="15"/>
                <w:color w:val="auto"/>
              </w:rPr>
              <w:t>82,285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ind w:left="80"/>
              <w:spacing w:after="0"/>
              <w:rPr>
                <w:sz w:val="20"/>
                <w:szCs w:val="20"/>
                <w:color w:val="auto"/>
              </w:rPr>
            </w:pPr>
            <w:r>
              <w:rPr>
                <w:rFonts w:ascii="Arial" w:cs="Arial" w:eastAsia="Arial" w:hAnsi="Arial"/>
                <w:sz w:val="15"/>
                <w:szCs w:val="15"/>
                <w:b w:val="1"/>
                <w:bCs w:val="1"/>
                <w:color w:val="auto"/>
              </w:rPr>
              <w:t>(42,153)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5"/>
                <w:szCs w:val="15"/>
                <w:color w:val="auto"/>
              </w:rPr>
              <w:t>(39,739)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5"/>
                <w:szCs w:val="15"/>
                <w:b w:val="1"/>
                <w:bCs w:val="1"/>
                <w:color w:val="auto"/>
              </w:rPr>
              <w:t>(14,043)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5"/>
                <w:szCs w:val="15"/>
                <w:color w:val="auto"/>
              </w:rPr>
              <w:t>(15,231)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(39,749)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center"/>
              <w:spacing w:after="0"/>
              <w:rPr>
                <w:sz w:val="20"/>
                <w:szCs w:val="20"/>
                <w:color w:val="auto"/>
              </w:rPr>
            </w:pPr>
            <w:r>
              <w:rPr>
                <w:rFonts w:ascii="Arial" w:cs="Arial" w:eastAsia="Arial" w:hAnsi="Arial"/>
                <w:sz w:val="15"/>
                <w:szCs w:val="15"/>
                <w:color w:val="auto"/>
              </w:rPr>
              <w:t>(39,492)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(95,945)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center"/>
              <w:spacing w:after="0"/>
              <w:rPr>
                <w:sz w:val="20"/>
                <w:szCs w:val="20"/>
                <w:color w:val="auto"/>
              </w:rPr>
            </w:pPr>
            <w:r>
              <w:rPr>
                <w:rFonts w:ascii="Arial" w:cs="Arial" w:eastAsia="Arial" w:hAnsi="Arial"/>
                <w:sz w:val="15"/>
                <w:szCs w:val="15"/>
                <w:color w:val="auto"/>
              </w:rPr>
              <w:t>(94,462)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Ending balance</w:t>
            </w:r>
          </w:p>
        </w:tc>
        <w:tc>
          <w:tcPr>
            <w:tcW w:w="1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ind w:left="140"/>
              <w:spacing w:after="0"/>
              <w:rPr>
                <w:sz w:val="20"/>
                <w:szCs w:val="20"/>
                <w:color w:val="auto"/>
              </w:rPr>
            </w:pPr>
            <w:r>
              <w:rPr>
                <w:rFonts w:ascii="Arial" w:cs="Arial" w:eastAsia="Arial" w:hAnsi="Arial"/>
                <w:sz w:val="15"/>
                <w:szCs w:val="15"/>
                <w:b w:val="1"/>
                <w:bCs w:val="1"/>
                <w:color w:val="auto"/>
              </w:rPr>
              <w:t>91,093</w:t>
            </w:r>
          </w:p>
        </w:tc>
        <w:tc>
          <w:tcPr>
            <w:tcW w:w="40" w:type="dxa"/>
            <w:vAlign w:val="bottom"/>
            <w:tcBorders>
              <w:bottom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center"/>
              <w:ind w:left="3"/>
              <w:spacing w:after="0"/>
              <w:rPr>
                <w:sz w:val="20"/>
                <w:szCs w:val="20"/>
                <w:color w:val="auto"/>
              </w:rPr>
            </w:pPr>
            <w:r>
              <w:rPr>
                <w:rFonts w:ascii="Arial" w:cs="Arial" w:eastAsia="Arial" w:hAnsi="Arial"/>
                <w:sz w:val="15"/>
                <w:szCs w:val="15"/>
                <w:color w:val="auto"/>
              </w:rPr>
              <w:t>84,302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2C6937"/>
            </w:tcBorders>
          </w:tcPr>
          <w:p>
            <w:pPr>
              <w:spacing w:after="0" w:line="20" w:lineRule="exact"/>
              <w:rPr>
                <w:sz w:val="1"/>
                <w:szCs w:val="1"/>
                <w:color w:val="auto"/>
              </w:rPr>
            </w:pPr>
          </w:p>
        </w:tc>
        <w:tc>
          <w:tcPr>
            <w:tcW w:w="190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 w:right="40"/>
        <w:spacing w:after="0" w:line="261" w:lineRule="auto"/>
        <w:rPr>
          <w:sz w:val="20"/>
          <w:szCs w:val="20"/>
          <w:color w:val="auto"/>
        </w:rPr>
      </w:pPr>
      <w:r>
        <w:rPr>
          <w:rFonts w:ascii="Arial" w:cs="Arial" w:eastAsia="Arial" w:hAnsi="Arial"/>
          <w:sz w:val="16"/>
          <w:szCs w:val="16"/>
          <w:color w:val="auto"/>
        </w:rPr>
        <w:t>Our single-family serious delinquency rate as June 30, 2025 increased by 5 basis points compared with June 30, 2024, but decreased by 3 basis points compared with December 31, 2024, and continues to remain low relative to historic levels. The increase in our single-family serious delinquency rate compared to the prior-year period was primarily driven by higher delinquencies in states impacted by hurricane activity toward the end of 2024, which reached its peak in the first quarter of 2025. The impact of recent trade and fiscal policies are uncertain and could affect the credit performance of the loans in our single-family guaranty book of business compared to recent performance. This could lead to higher delinquencies or an increase in our single-family serious delinquency rate. For information about factors that affect our single-family serious delinquency rate, see “MD&amp;A—Single-Family Business—Single-Family Mortgage Credit Risk Management—Single-Family Problem Loan Management” in our 2024 Form 10-K. See “Note 11, Concentrations of Credit Risk” and the table below for additional information on the delinquency status and serious delinquency rates for specified loan categories of our single-family conventional guaranty book of business.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1" w:name="page32"/>
    <w:bookmarkEnd w:id="31"/>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360" w:type="dxa"/>
            <w:vAlign w:val="bottom"/>
            <w:tcBorders>
              <w:top w:val="single" w:sz="8" w:color="2C6937"/>
            </w:tcBorders>
          </w:tcPr>
          <w:p>
            <w:pPr>
              <w:spacing w:after="0"/>
              <w:rPr>
                <w:sz w:val="18"/>
                <w:szCs w:val="18"/>
                <w:color w:val="auto"/>
              </w:rPr>
            </w:pPr>
          </w:p>
        </w:tc>
        <w:tc>
          <w:tcPr>
            <w:tcW w:w="11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June 30, 2025</w:t>
            </w:r>
          </w:p>
        </w:tc>
        <w:tc>
          <w:tcPr>
            <w:tcW w:w="9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2C6937"/>
            </w:tcBorders>
            <w:gridSpan w:val="4"/>
          </w:tcPr>
          <w:p>
            <w:pPr>
              <w:ind w:left="920"/>
              <w:spacing w:after="0"/>
              <w:rPr>
                <w:sz w:val="20"/>
                <w:szCs w:val="20"/>
                <w:color w:val="auto"/>
              </w:rPr>
            </w:pPr>
            <w:r>
              <w:rPr>
                <w:rFonts w:ascii="Arial" w:cs="Arial" w:eastAsia="Arial" w:hAnsi="Arial"/>
                <w:sz w:val="14"/>
                <w:szCs w:val="14"/>
                <w:b w:val="1"/>
                <w:bCs w:val="1"/>
                <w:color w:val="auto"/>
              </w:rPr>
              <w:t>December 31, 2024</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June 30, 2024</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Percentage of Book</w:t>
            </w:r>
          </w:p>
        </w:tc>
        <w:tc>
          <w:tcPr>
            <w:tcW w:w="100" w:type="dxa"/>
            <w:vAlign w:val="bottom"/>
          </w:tcPr>
          <w:p>
            <w:pPr>
              <w:spacing w:after="0"/>
              <w:rPr>
                <w:sz w:val="11"/>
                <w:szCs w:val="11"/>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Seriously</w:t>
            </w:r>
          </w:p>
        </w:tc>
        <w:tc>
          <w:tcPr>
            <w:tcW w:w="104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Serious</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Seriously</w:t>
            </w:r>
          </w:p>
        </w:tc>
        <w:tc>
          <w:tcPr>
            <w:tcW w:w="10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1080" w:type="dxa"/>
            <w:vAlign w:val="bottom"/>
            <w:vMerge w:val="restart"/>
          </w:tcPr>
          <w:p>
            <w:pPr>
              <w:jc w:val="right"/>
              <w:ind w:right="1"/>
              <w:spacing w:after="0"/>
              <w:rPr>
                <w:sz w:val="20"/>
                <w:szCs w:val="20"/>
                <w:color w:val="auto"/>
              </w:rPr>
            </w:pPr>
            <w:r>
              <w:rPr>
                <w:rFonts w:ascii="Arial" w:cs="Arial" w:eastAsia="Arial" w:hAnsi="Arial"/>
                <w:sz w:val="10"/>
                <w:szCs w:val="10"/>
                <w:b w:val="1"/>
                <w:bCs w:val="1"/>
                <w:color w:val="auto"/>
              </w:rPr>
              <w:t>Percentage of Book</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9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Delinquent</w:t>
            </w:r>
          </w:p>
        </w:tc>
        <w:tc>
          <w:tcPr>
            <w:tcW w:w="10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60" w:type="dxa"/>
            <w:vAlign w:val="bottom"/>
          </w:tcPr>
          <w:p>
            <w:pPr>
              <w:spacing w:after="0"/>
              <w:rPr>
                <w:sz w:val="13"/>
                <w:szCs w:val="13"/>
                <w:color w:val="auto"/>
              </w:rPr>
            </w:pPr>
          </w:p>
        </w:tc>
        <w:tc>
          <w:tcPr>
            <w:tcW w:w="1180" w:type="dxa"/>
            <w:vAlign w:val="bottom"/>
          </w:tcPr>
          <w:p>
            <w:pPr>
              <w:jc w:val="right"/>
              <w:ind w:right="121"/>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1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Outstanding</w:t>
            </w:r>
            <w:r>
              <w:rPr>
                <w:rFonts w:ascii="Arial" w:cs="Arial" w:eastAsia="Arial" w:hAnsi="Arial"/>
                <w:sz w:val="13"/>
                <w:szCs w:val="13"/>
                <w:b w:val="1"/>
                <w:bCs w:val="1"/>
                <w:color w:val="auto"/>
                <w:w w:val="97"/>
                <w:vertAlign w:val="superscript"/>
              </w:rPr>
              <w:t>(1)</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080" w:type="dxa"/>
            <w:vAlign w:val="bottom"/>
          </w:tcPr>
          <w:p>
            <w:pPr>
              <w:jc w:val="right"/>
              <w:ind w:right="141"/>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153"/>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States:</w:t>
            </w:r>
          </w:p>
        </w:tc>
        <w:tc>
          <w:tcPr>
            <w:tcW w:w="11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2C6937"/>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36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19 %</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11 %</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0.43 %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0.41 %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19 %</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0.37 %</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Florida</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0.84</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0.96</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0.63</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0.66</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0.69</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0.75</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0.79</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0.79</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Texas</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0.66</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60</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59</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70"/>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Borders>
              <w:bottom w:val="single" w:sz="8" w:color="2C6937"/>
            </w:tcBorders>
          </w:tcPr>
          <w:p>
            <w:pPr>
              <w:ind w:left="120"/>
              <w:spacing w:after="0"/>
              <w:rPr>
                <w:sz w:val="20"/>
                <w:szCs w:val="20"/>
                <w:color w:val="auto"/>
              </w:rPr>
            </w:pPr>
            <w:r>
              <w:rPr>
                <w:rFonts w:ascii="Arial" w:cs="Arial" w:eastAsia="Arial" w:hAnsi="Arial"/>
                <w:sz w:val="12"/>
                <w:szCs w:val="12"/>
                <w:b w:val="1"/>
                <w:bCs w:val="1"/>
                <w:color w:val="auto"/>
              </w:rPr>
              <w:t>market LTV ratio: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120"/>
              <w:spacing w:after="0"/>
              <w:rPr>
                <w:sz w:val="20"/>
                <w:szCs w:val="20"/>
                <w:color w:val="auto"/>
              </w:rPr>
            </w:pPr>
            <w:r>
              <w:rPr>
                <w:rFonts w:ascii="Arial" w:cs="Arial" w:eastAsia="Arial" w:hAnsi="Arial"/>
                <w:sz w:val="12"/>
                <w:szCs w:val="12"/>
                <w:color w:val="auto"/>
              </w:rPr>
              <w:t>&lt;= 60%</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70</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68</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0.45</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5"/>
                <w:szCs w:val="15"/>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70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0.43</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11</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0.90</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0.94</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13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10</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9</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0.95</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0.97</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0.77</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0.82</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18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6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3.48</w:t>
            </w:r>
          </w:p>
        </w:tc>
        <w:tc>
          <w:tcPr>
            <w:tcW w:w="10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2.82</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201"/>
        </w:trPr>
        <w:tc>
          <w:tcPr>
            <w:tcW w:w="136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(3)</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(4)</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21</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34</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1.12</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21</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0.97</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(5)</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38</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31</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0.55</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r>
        <w:trPr>
          <w:trHeight w:val="178"/>
        </w:trPr>
        <w:tc>
          <w:tcPr>
            <w:tcW w:w="136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180" w:type="dxa"/>
            <w:vAlign w:val="bottom"/>
          </w:tcPr>
          <w:p>
            <w:pPr>
              <w:jc w:val="right"/>
              <w:ind w:right="101"/>
              <w:spacing w:after="0"/>
              <w:rPr>
                <w:sz w:val="20"/>
                <w:szCs w:val="20"/>
                <w:color w:val="auto"/>
              </w:rPr>
            </w:pPr>
            <w:r>
              <w:rPr>
                <w:rFonts w:ascii="Arial" w:cs="Arial" w:eastAsia="Arial" w:hAnsi="Arial"/>
                <w:sz w:val="12"/>
                <w:szCs w:val="12"/>
                <w:b w:val="1"/>
                <w:bCs w:val="1"/>
                <w:color w:val="auto"/>
              </w:rPr>
              <w:t>53</w:t>
            </w:r>
          </w:p>
        </w:tc>
        <w:tc>
          <w:tcPr>
            <w:tcW w:w="10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50</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0.43</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0.44</w:t>
            </w:r>
          </w:p>
        </w:tc>
        <w:tc>
          <w:tcPr>
            <w:tcW w:w="100" w:type="dxa"/>
            <w:vAlign w:val="bottom"/>
          </w:tcPr>
          <w:p>
            <w:pPr>
              <w:spacing w:after="0"/>
              <w:rPr>
                <w:sz w:val="15"/>
                <w:szCs w:val="15"/>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53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0" w:hanging="217"/>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560" w:hanging="237"/>
        <w:spacing w:after="0" w:line="226"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Percentage of book amounts represent the unpaid principal balance of loans for each category divided by the unpaid principal balance of our total single-family conventional guaranty book of business.</w:t>
      </w:r>
    </w:p>
    <w:p>
      <w:pPr>
        <w:spacing w:after="0" w:line="27" w:lineRule="exact"/>
        <w:rPr>
          <w:rFonts w:ascii="Arial" w:cs="Arial" w:eastAsia="Arial" w:hAnsi="Arial"/>
          <w:sz w:val="18"/>
          <w:szCs w:val="18"/>
          <w:color w:val="auto"/>
          <w:vertAlign w:val="superscript"/>
        </w:rPr>
      </w:pPr>
    </w:p>
    <w:p>
      <w:pPr>
        <w:ind w:left="260" w:right="320" w:hanging="237"/>
        <w:spacing w:after="0" w:line="218"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26" w:lineRule="exact"/>
        <w:rPr>
          <w:rFonts w:ascii="Arial" w:cs="Arial" w:eastAsia="Arial" w:hAnsi="Arial"/>
          <w:sz w:val="18"/>
          <w:szCs w:val="18"/>
          <w:color w:val="auto"/>
          <w:vertAlign w:val="superscript"/>
        </w:rPr>
      </w:pPr>
    </w:p>
    <w:p>
      <w:pPr>
        <w:ind w:left="260" w:right="180" w:hanging="237"/>
        <w:spacing w:after="0" w:line="233"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June 30, 2025 was 47%.</w:t>
      </w:r>
    </w:p>
    <w:p>
      <w:pPr>
        <w:spacing w:after="0" w:line="27" w:lineRule="exact"/>
        <w:rPr>
          <w:rFonts w:ascii="Arial" w:cs="Arial" w:eastAsia="Arial" w:hAnsi="Arial"/>
          <w:sz w:val="18"/>
          <w:szCs w:val="18"/>
          <w:color w:val="auto"/>
          <w:vertAlign w:val="superscript"/>
        </w:rPr>
      </w:pPr>
    </w:p>
    <w:p>
      <w:pPr>
        <w:ind w:left="260" w:right="140" w:hanging="237"/>
        <w:spacing w:after="0" w:line="228"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6" w:lineRule="exact"/>
        <w:rPr>
          <w:rFonts w:ascii="Arial" w:cs="Arial" w:eastAsia="Arial" w:hAnsi="Arial"/>
          <w:sz w:val="18"/>
          <w:szCs w:val="18"/>
          <w:color w:val="auto"/>
          <w:vertAlign w:val="superscript"/>
        </w:rPr>
      </w:pPr>
    </w:p>
    <w:p>
      <w:pPr>
        <w:ind w:left="260" w:right="160" w:hanging="237"/>
        <w:spacing w:after="0" w:line="233"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w:t>
      </w:r>
    </w:p>
    <w:p>
      <w:pPr>
        <w:spacing w:after="0" w:line="79"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106" w:lineRule="exact"/>
        <w:rPr>
          <w:sz w:val="20"/>
          <w:szCs w:val="20"/>
          <w:color w:val="auto"/>
        </w:rPr>
      </w:pPr>
    </w:p>
    <w:p>
      <w:pPr>
        <w:ind w:left="20" w:right="100"/>
        <w:spacing w:after="0" w:line="271"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2" w:name="page33"/>
    <w:bookmarkEnd w:id="32"/>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June 30, 2025, the unpaid principal balance of single-family loans in forbearance was $5.5 billion, or 0.2% of our single-family conventional guaranty book of business, compared with $8.0 billion, or 0.2% of our single-family conventional guaranty book of business, as of December 31, 2024.</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for the first half of 2024 compared with the first half of 2025. This table does not include loans in an active forbearance arrangement, trial modifications, and repayment plans that have been initiated but not completed.</w:t>
      </w:r>
    </w:p>
    <w:p>
      <w:pPr>
        <w:spacing w:after="0" w:line="6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7620</wp:posOffset>
            </wp:positionV>
            <wp:extent cx="5721985" cy="29800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21985" cy="298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hanging="217"/>
        <w:spacing w:after="0"/>
        <w:tabs>
          <w:tab w:leader="none" w:pos="2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Excludes approximately 23,800 loans and 18,300 loans in a trial modification period that was not yet complete as of June 30, 2025 and 2024, respectively.</w:t>
      </w:r>
    </w:p>
    <w:p>
      <w:pPr>
        <w:spacing w:after="0" w:line="37" w:lineRule="exact"/>
        <w:rPr>
          <w:rFonts w:ascii="Arial" w:cs="Arial" w:eastAsia="Arial" w:hAnsi="Arial"/>
          <w:sz w:val="18"/>
          <w:szCs w:val="18"/>
          <w:color w:val="auto"/>
          <w:vertAlign w:val="superscript"/>
        </w:rPr>
      </w:pPr>
    </w:p>
    <w:p>
      <w:pPr>
        <w:ind w:left="240" w:right="300" w:hanging="237"/>
        <w:spacing w:after="0" w:line="210" w:lineRule="auto"/>
        <w:tabs>
          <w:tab w:leader="none" w:pos="23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Other was $474 million and $370 million for the first half of 2025 and the first half of 2024, respectively. Other includes repayment plans and foreclosure alternatives. Repayment plans reflect only those plans associated with loans that were 60 days or more delinquent at the execution of the plan.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3" w:name="page34"/>
    <w:bookmarkEnd w:id="33"/>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REO Management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3120" w:type="dxa"/>
            <w:vAlign w:val="bottom"/>
            <w:tcBorders>
              <w:bottom w:val="single" w:sz="8" w:color="2C6937"/>
            </w:tcBorders>
            <w:gridSpan w:val="5"/>
          </w:tcPr>
          <w:p>
            <w:pPr>
              <w:jc w:val="right"/>
              <w:ind w:right="423"/>
              <w:spacing w:after="0"/>
              <w:rPr>
                <w:sz w:val="20"/>
                <w:szCs w:val="20"/>
                <w:color w:val="auto"/>
              </w:rPr>
            </w:pPr>
            <w:r>
              <w:rPr>
                <w:rFonts w:ascii="Arial" w:cs="Arial" w:eastAsia="Arial" w:hAnsi="Arial"/>
                <w:sz w:val="14"/>
                <w:szCs w:val="14"/>
                <w:b w:val="1"/>
                <w:bCs w:val="1"/>
                <w:color w:val="auto"/>
              </w:rPr>
              <w:t>For the Six Months Ended June 30,</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0"/>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440" w:type="dxa"/>
            <w:vAlign w:val="bottom"/>
          </w:tcPr>
          <w:p>
            <w:pPr>
              <w:spacing w:after="0"/>
              <w:rPr>
                <w:sz w:val="21"/>
                <w:szCs w:val="21"/>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5,895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8,403</w:t>
            </w:r>
          </w:p>
        </w:tc>
        <w:tc>
          <w:tcPr>
            <w:tcW w:w="260" w:type="dxa"/>
            <w:vAlign w:val="bottom"/>
          </w:tcPr>
          <w:p>
            <w:pPr>
              <w:spacing w:after="0"/>
              <w:rPr>
                <w:sz w:val="21"/>
                <w:szCs w:val="21"/>
                <w:color w:val="auto"/>
              </w:rPr>
            </w:pPr>
          </w:p>
        </w:tc>
      </w:tr>
      <w:tr>
        <w:trPr>
          <w:trHeight w:val="234"/>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440" w:type="dxa"/>
            <w:vAlign w:val="bottom"/>
          </w:tcPr>
          <w:p>
            <w:pPr>
              <w:spacing w:after="0"/>
              <w:rPr>
                <w:sz w:val="19"/>
                <w:szCs w:val="19"/>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302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505</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167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288</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347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379</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288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334</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167</w:t>
            </w:r>
          </w:p>
        </w:tc>
        <w:tc>
          <w:tcPr>
            <w:tcW w:w="260" w:type="dxa"/>
            <w:vAlign w:val="bottom"/>
          </w:tcPr>
          <w:p>
            <w:pPr>
              <w:spacing w:after="0"/>
              <w:rPr>
                <w:sz w:val="19"/>
                <w:szCs w:val="19"/>
                <w:color w:val="auto"/>
              </w:rPr>
            </w:pPr>
          </w:p>
        </w:tc>
      </w:tr>
      <w:tr>
        <w:trPr>
          <w:trHeight w:val="239"/>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1,264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1,673</w:t>
            </w:r>
          </w:p>
        </w:tc>
        <w:tc>
          <w:tcPr>
            <w:tcW w:w="260" w:type="dxa"/>
            <w:vAlign w:val="bottom"/>
          </w:tcPr>
          <w:p>
            <w:pPr>
              <w:spacing w:after="0"/>
              <w:rPr>
                <w:sz w:val="20"/>
                <w:szCs w:val="20"/>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(2,897)</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4,666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7,179</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440" w:type="dxa"/>
            <w:vAlign w:val="bottom"/>
          </w:tcPr>
          <w:p>
            <w:pPr>
              <w:jc w:val="right"/>
              <w:ind w:right="243"/>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857</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1,229</w:t>
            </w:r>
          </w:p>
        </w:tc>
        <w:tc>
          <w:tcPr>
            <w:tcW w:w="260" w:type="dxa"/>
            <w:vAlign w:val="bottom"/>
          </w:tcPr>
          <w:p>
            <w:pPr>
              <w:spacing w:after="0"/>
              <w:rPr>
                <w:sz w:val="20"/>
                <w:szCs w:val="20"/>
                <w:color w:val="auto"/>
              </w:rPr>
            </w:pP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0.01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143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 and costs to repair</w:t>
            </w:r>
            <w:r>
              <w:rPr>
                <w:rFonts w:ascii="Arial" w:cs="Arial" w:eastAsia="Arial" w:hAnsi="Arial"/>
                <w:sz w:val="20"/>
                <w:szCs w:val="20"/>
                <w:color w:val="auto"/>
                <w:vertAlign w:val="superscript"/>
              </w:rPr>
              <w:t>(5)</w:t>
            </w:r>
          </w:p>
        </w:tc>
        <w:tc>
          <w:tcPr>
            <w:tcW w:w="4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83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1"/>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(6)</w:t>
            </w:r>
          </w:p>
        </w:tc>
        <w:tc>
          <w:tcPr>
            <w:tcW w:w="440" w:type="dxa"/>
            <w:vAlign w:val="bottom"/>
          </w:tcPr>
          <w:p>
            <w:pPr>
              <w:spacing w:after="0"/>
              <w:rPr>
                <w:sz w:val="23"/>
                <w:szCs w:val="23"/>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84</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2"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Consists of held-for sale and held-for-use properties, which are reported in our condensed consolidated balance sheets as a component of “Other assets.”</w:t>
      </w:r>
    </w:p>
    <w:p>
      <w:pPr>
        <w:spacing w:after="0" w:line="37" w:lineRule="exact"/>
        <w:rPr>
          <w:rFonts w:ascii="Arial" w:cs="Arial" w:eastAsia="Arial" w:hAnsi="Arial"/>
          <w:sz w:val="18"/>
          <w:szCs w:val="18"/>
          <w:color w:val="auto"/>
          <w:vertAlign w:val="superscript"/>
        </w:rPr>
      </w:pPr>
    </w:p>
    <w:p>
      <w:pPr>
        <w:ind w:left="220" w:hanging="217"/>
        <w:spacing w:after="0" w:line="206" w:lineRule="auto"/>
        <w:tabs>
          <w:tab w:leader="none" w:pos="220"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25" w:lineRule="exact"/>
        <w:rPr>
          <w:rFonts w:ascii="Arial" w:cs="Arial" w:eastAsia="Arial" w:hAnsi="Arial"/>
          <w:sz w:val="17"/>
          <w:szCs w:val="17"/>
          <w:color w:val="auto"/>
          <w:vertAlign w:val="superscript"/>
        </w:rPr>
      </w:pPr>
    </w:p>
    <w:p>
      <w:pPr>
        <w:ind w:left="240" w:right="60" w:hanging="237"/>
        <w:spacing w:after="0" w:line="260" w:lineRule="auto"/>
        <w:tabs>
          <w:tab w:leader="none" w:pos="233" w:val="left"/>
        </w:tabs>
        <w:numPr>
          <w:ilvl w:val="0"/>
          <w:numId w:val="27"/>
        </w:numPr>
        <w:rPr>
          <w:rFonts w:ascii="Arial" w:cs="Arial" w:eastAsia="Arial" w:hAnsi="Arial"/>
          <w:sz w:val="9"/>
          <w:szCs w:val="9"/>
          <w:color w:val="auto"/>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13" w:lineRule="exact"/>
        <w:rPr>
          <w:rFonts w:ascii="Arial" w:cs="Arial" w:eastAsia="Arial" w:hAnsi="Arial"/>
          <w:sz w:val="9"/>
          <w:szCs w:val="9"/>
          <w:color w:val="auto"/>
        </w:rPr>
      </w:pPr>
    </w:p>
    <w:p>
      <w:pPr>
        <w:ind w:left="240" w:right="160" w:hanging="237"/>
        <w:spacing w:after="0" w:line="233"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15" w:lineRule="exact"/>
        <w:rPr>
          <w:rFonts w:ascii="Arial" w:cs="Arial" w:eastAsia="Arial" w:hAnsi="Arial"/>
          <w:sz w:val="18"/>
          <w:szCs w:val="18"/>
          <w:color w:val="auto"/>
          <w:vertAlign w:val="superscript"/>
        </w:rPr>
      </w:pPr>
    </w:p>
    <w:p>
      <w:pPr>
        <w:ind w:left="240" w:right="180" w:hanging="237"/>
        <w:spacing w:after="0" w:line="264" w:lineRule="auto"/>
        <w:tabs>
          <w:tab w:leader="none" w:pos="233" w:val="left"/>
        </w:tabs>
        <w:numPr>
          <w:ilvl w:val="0"/>
          <w:numId w:val="27"/>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and costs to repair the property. Net sales price represents the contract sales price less selling costs for the property and other charges paid by the seller at closing.</w:t>
      </w:r>
    </w:p>
    <w:p>
      <w:pPr>
        <w:spacing w:after="0" w:line="10" w:lineRule="exact"/>
        <w:rPr>
          <w:rFonts w:ascii="Arial" w:cs="Arial" w:eastAsia="Arial" w:hAnsi="Arial"/>
          <w:sz w:val="9"/>
          <w:szCs w:val="9"/>
          <w:color w:val="auto"/>
        </w:rPr>
      </w:pPr>
    </w:p>
    <w:p>
      <w:pPr>
        <w:ind w:left="240" w:right="140" w:hanging="237"/>
        <w:spacing w:after="0" w:line="226"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3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Although our REO net sales price to unpaid principal balance rose to 143% for the first half of 2025 from 142% for the first half of 2024, that increase was more than offset by the impact of increased costs we incurred to repair the condition of properties, which resulted in a decline in our REO net sales price to unpaid principal balance and costs to repair to 83% for the first half of 2025 from 92% for the first half of 2024. In March 2025, FHFA directed us to revise our approach to repairing REO properties. We expect our revised approach will result in lower costs to repair REO properties than we would have incurred under our prior approach.</w:t>
      </w:r>
    </w:p>
    <w:p>
      <w:pPr>
        <w:spacing w:after="0" w:line="12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and foreclosed property income or expense. The amount of these losses or gains in a given period is driven by foreclosures, pre-foreclosure sales, post-foreclosure REO activity, mortgage loan redesignations, and other events that trigger write-offs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4" w:name="page35"/>
    <w:bookmarkEnd w:id="34"/>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3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2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540" w:type="dxa"/>
            <w:vAlign w:val="bottom"/>
            <w:tcBorders>
              <w:top w:val="single" w:sz="8" w:color="2C6937"/>
            </w:tcBorders>
            <w:gridSpan w:val="6"/>
          </w:tcPr>
          <w:p>
            <w:pPr>
              <w:ind w:left="180"/>
              <w:spacing w:after="0"/>
              <w:rPr>
                <w:sz w:val="20"/>
                <w:szCs w:val="20"/>
                <w:color w:val="auto"/>
              </w:rPr>
            </w:pPr>
            <w:r>
              <w:rPr>
                <w:rFonts w:ascii="Arial" w:cs="Arial" w:eastAsia="Arial" w:hAnsi="Arial"/>
                <w:sz w:val="15"/>
                <w:szCs w:val="15"/>
                <w:b w:val="1"/>
                <w:bCs w:val="1"/>
                <w:color w:val="auto"/>
              </w:rPr>
              <w:t>For the Three Months Ended</w:t>
            </w:r>
          </w:p>
        </w:tc>
        <w:tc>
          <w:tcPr>
            <w:tcW w:w="2480" w:type="dxa"/>
            <w:vAlign w:val="bottom"/>
            <w:tcBorders>
              <w:top w:val="single" w:sz="8" w:color="2C6937"/>
            </w:tcBorders>
            <w:gridSpan w:val="5"/>
          </w:tcPr>
          <w:p>
            <w:pPr>
              <w:jc w:val="right"/>
              <w:ind w:right="3"/>
              <w:spacing w:after="0"/>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84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3"/>
          </w:tcPr>
          <w:p>
            <w:pPr>
              <w:jc w:val="right"/>
              <w:ind w:right="123"/>
              <w:spacing w:after="0"/>
              <w:rPr>
                <w:sz w:val="20"/>
                <w:szCs w:val="20"/>
                <w:color w:val="auto"/>
              </w:rPr>
            </w:pPr>
            <w:r>
              <w:rPr>
                <w:rFonts w:ascii="Arial" w:cs="Arial" w:eastAsia="Arial" w:hAnsi="Arial"/>
                <w:sz w:val="15"/>
                <w:szCs w:val="15"/>
                <w:b w:val="1"/>
                <w:bCs w:val="1"/>
                <w:color w:val="auto"/>
              </w:rPr>
              <w:t>30,</w:t>
            </w:r>
          </w:p>
        </w:tc>
        <w:tc>
          <w:tcPr>
            <w:tcW w:w="920" w:type="dxa"/>
            <w:vAlign w:val="bottom"/>
            <w:tcBorders>
              <w:bottom w:val="single" w:sz="8" w:color="2C6937"/>
            </w:tcBorders>
          </w:tcPr>
          <w:p>
            <w:pPr>
              <w:spacing w:after="0"/>
              <w:rPr>
                <w:sz w:val="17"/>
                <w:szCs w:val="17"/>
                <w:color w:val="auto"/>
              </w:rPr>
            </w:pPr>
          </w:p>
        </w:tc>
      </w:tr>
      <w:tr>
        <w:trPr>
          <w:trHeight w:val="199"/>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2024</w:t>
            </w:r>
          </w:p>
        </w:tc>
      </w:tr>
      <w:tr>
        <w:trPr>
          <w:trHeight w:val="296"/>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43"/>
              <w:spacing w:after="0"/>
              <w:rPr>
                <w:sz w:val="20"/>
                <w:szCs w:val="20"/>
                <w:color w:val="auto"/>
              </w:rPr>
            </w:pPr>
            <w:r>
              <w:rPr>
                <w:rFonts w:ascii="Arial" w:cs="Arial" w:eastAsia="Arial" w:hAnsi="Arial"/>
                <w:sz w:val="15"/>
                <w:szCs w:val="15"/>
                <w:b w:val="1"/>
                <w:bCs w:val="1"/>
                <w:color w:val="auto"/>
              </w:rPr>
              <w:t>(Dollars in millions)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Write-offs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(142)</w:t>
            </w:r>
          </w:p>
        </w:tc>
        <w:tc>
          <w:tcPr>
            <w:tcW w:w="1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24"/>
                <w:szCs w:val="24"/>
                <w:color w:val="auto"/>
              </w:rPr>
            </w:pPr>
          </w:p>
        </w:tc>
        <w:tc>
          <w:tcPr>
            <w:tcW w:w="800" w:type="dxa"/>
            <w:vAlign w:val="bottom"/>
          </w:tcPr>
          <w:p>
            <w:pPr>
              <w:jc w:val="right"/>
              <w:ind w:right="603"/>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(264)</w:t>
            </w:r>
          </w:p>
        </w:tc>
        <w:tc>
          <w:tcPr>
            <w:tcW w:w="8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(222)</w:t>
            </w:r>
          </w:p>
        </w:tc>
      </w:tr>
      <w:tr>
        <w:trPr>
          <w:trHeight w:val="30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53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ind w:right="3"/>
              <w:spacing w:after="0"/>
              <w:rPr>
                <w:sz w:val="20"/>
                <w:szCs w:val="20"/>
                <w:color w:val="auto"/>
              </w:rPr>
            </w:pPr>
            <w:r>
              <w:rPr>
                <w:rFonts w:ascii="Arial" w:cs="Arial" w:eastAsia="Arial" w:hAnsi="Arial"/>
                <w:sz w:val="15"/>
                <w:szCs w:val="15"/>
                <w:b w:val="1"/>
                <w:bCs w:val="1"/>
                <w:color w:val="auto"/>
              </w:rPr>
              <w:t>86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159</w:t>
            </w:r>
          </w:p>
        </w:tc>
      </w:tr>
      <w:tr>
        <w:trPr>
          <w:trHeight w:val="208"/>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10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(90)</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8"/>
                <w:szCs w:val="18"/>
                <w:color w:val="auto"/>
              </w:rPr>
            </w:pPr>
          </w:p>
        </w:tc>
        <w:tc>
          <w:tcPr>
            <w:tcW w:w="80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(155)</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(192)</w:t>
            </w:r>
          </w:p>
        </w:tc>
      </w:tr>
      <w:tr>
        <w:trPr>
          <w:trHeight w:val="309"/>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(333)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(255)</w:t>
            </w:r>
          </w:p>
        </w:tc>
      </w:tr>
      <w:tr>
        <w:trPr>
          <w:trHeight w:val="303"/>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4"/>
                <w:szCs w:val="24"/>
                <w:color w:val="auto"/>
              </w:rPr>
            </w:pPr>
          </w:p>
        </w:tc>
        <w:tc>
          <w:tcPr>
            <w:tcW w:w="80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(90)</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(156)</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(423)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(293)</w:t>
            </w:r>
          </w:p>
        </w:tc>
      </w:tr>
      <w:tr>
        <w:trPr>
          <w:trHeight w:val="303"/>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24"/>
                <w:szCs w:val="24"/>
                <w:color w:val="auto"/>
              </w:rPr>
            </w:pPr>
          </w:p>
        </w:tc>
        <w:tc>
          <w:tcPr>
            <w:tcW w:w="80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w:t>
            </w:r>
          </w:p>
        </w:tc>
      </w:tr>
      <w:tr>
        <w:trPr>
          <w:trHeight w:val="200"/>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8"/>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18"/>
                <w:szCs w:val="18"/>
                <w:color w:val="auto"/>
              </w:rPr>
            </w:pPr>
          </w:p>
        </w:tc>
        <w:tc>
          <w:tcPr>
            <w:tcW w:w="800" w:type="dxa"/>
            <w:vAlign w:val="bottom"/>
          </w:tcPr>
          <w:p>
            <w:pPr>
              <w:jc w:val="right"/>
              <w:ind w:right="603"/>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(435)</w:t>
            </w:r>
          </w:p>
        </w:tc>
        <w:tc>
          <w:tcPr>
            <w:tcW w:w="8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(309)</w:t>
            </w:r>
          </w:p>
        </w:tc>
      </w:tr>
      <w:tr>
        <w:trPr>
          <w:trHeight w:val="20"/>
        </w:trPr>
        <w:tc>
          <w:tcPr>
            <w:tcW w:w="6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r>
      <w:tr>
        <w:trPr>
          <w:trHeight w:val="469"/>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93"/>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 ratio (in bps)</w:t>
            </w:r>
            <w:r>
              <w:rPr>
                <w:rFonts w:ascii="Arial" w:cs="Arial" w:eastAsia="Arial" w:hAnsi="Arial"/>
                <w:sz w:val="20"/>
                <w:szCs w:val="20"/>
                <w:color w:val="auto"/>
                <w:vertAlign w:val="superscript"/>
              </w:rPr>
              <w:t>(4)</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r>
    </w:tbl>
    <w:p>
      <w:pPr>
        <w:spacing w:after="0" w:line="42" w:lineRule="exact"/>
        <w:rPr>
          <w:sz w:val="20"/>
          <w:szCs w:val="20"/>
          <w:color w:val="auto"/>
        </w:rPr>
      </w:pPr>
    </w:p>
    <w:p>
      <w:pPr>
        <w:ind w:left="220" w:hanging="217"/>
        <w:spacing w:after="0"/>
        <w:tabs>
          <w:tab w:leader="none" w:pos="2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Consists of the lower of cost or fair value adjustment at time of redesignation.</w:t>
      </w:r>
    </w:p>
    <w:p>
      <w:pPr>
        <w:spacing w:after="0" w:line="37" w:lineRule="exact"/>
        <w:rPr>
          <w:rFonts w:ascii="Arial" w:cs="Arial" w:eastAsia="Arial" w:hAnsi="Arial"/>
          <w:sz w:val="18"/>
          <w:szCs w:val="18"/>
          <w:color w:val="auto"/>
          <w:vertAlign w:val="superscript"/>
        </w:rPr>
      </w:pPr>
    </w:p>
    <w:p>
      <w:pPr>
        <w:ind w:left="240" w:right="200" w:hanging="237"/>
        <w:spacing w:after="0" w:line="219" w:lineRule="auto"/>
        <w:tabs>
          <w:tab w:leader="none" w:pos="233"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ind w:left="220" w:hanging="217"/>
        <w:spacing w:after="0"/>
        <w:tabs>
          <w:tab w:leader="none" w:pos="2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24" w:lineRule="exact"/>
        <w:rPr>
          <w:rFonts w:ascii="Arial" w:cs="Arial" w:eastAsia="Arial" w:hAnsi="Arial"/>
          <w:sz w:val="18"/>
          <w:szCs w:val="18"/>
          <w:color w:val="auto"/>
          <w:vertAlign w:val="superscript"/>
        </w:rPr>
      </w:pPr>
    </w:p>
    <w:p>
      <w:pPr>
        <w:ind w:left="240" w:right="240" w:hanging="237"/>
        <w:spacing w:after="0" w:line="260" w:lineRule="auto"/>
        <w:tabs>
          <w:tab w:leader="none" w:pos="233" w:val="left"/>
        </w:tabs>
        <w:numPr>
          <w:ilvl w:val="0"/>
          <w:numId w:val="28"/>
        </w:numPr>
        <w:rPr>
          <w:rFonts w:ascii="Arial" w:cs="Arial" w:eastAsia="Arial" w:hAnsi="Arial"/>
          <w:sz w:val="9"/>
          <w:szCs w:val="9"/>
          <w:color w:val="auto"/>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single-family net credit gains (losses), write-offs on redesignations and gains (losses) on sales and other valuation adjustments increased in the first half of 2025 compared with the first half of 2024, primarily as a result of lower recoveries from decreased mortgage loan sales, a higher volume of mortgage loans redesignated from HFI to HFS, resulting in increased write-offs on redesignations, and an increase in write-offs on loans for which collectability was no longer reasonably assured. These factors were partially offset by a decline in foreclosed property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5" w:name="page36"/>
    <w:bookmarkEnd w:id="35"/>
    <w:p>
      <w:pPr>
        <w:ind w:left="7520"/>
        <w:spacing w:after="0"/>
        <w:rPr>
          <w:sz w:val="20"/>
          <w:szCs w:val="20"/>
          <w:color w:val="auto"/>
        </w:rPr>
      </w:pPr>
      <w:r>
        <w:rPr>
          <w:rFonts w:ascii="Arial" w:cs="Arial" w:eastAsia="Arial" w:hAnsi="Arial"/>
          <w:sz w:val="14"/>
          <w:szCs w:val="14"/>
          <w:color w:val="05314D"/>
        </w:rPr>
        <w:t>MD&amp;A | Multifamily Business | Multifamily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2024 Form 10-K. See “MD&amp;A—Multifamily Business” in our 2024 Form 10-K for additional information regarding the primary business activities, lenders, investors and competition of our Multifamily business.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spacing w:after="0" w:line="76"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multifamily market saw steady ongoing rental demand despite continued elevated levels of new supply entering markets in the second quarter of 2025. Continued high interest rates and investor yield requirements were associated with a decline in multifamily property sales transactions and downward pressure on multifamily property valuations during the quarter.</w:t>
      </w:r>
    </w:p>
    <w:p>
      <w:pPr>
        <w:spacing w:after="0" w:line="32" w:lineRule="exact"/>
        <w:rPr>
          <w:sz w:val="20"/>
          <w:szCs w:val="20"/>
          <w:color w:val="auto"/>
        </w:rPr>
      </w:pPr>
    </w:p>
    <w:p>
      <w:pPr>
        <w:ind w:left="620" w:right="280" w:hanging="307"/>
        <w:spacing w:after="0" w:line="281"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Vacancy rates</w:t>
      </w:r>
      <w:r>
        <w:rPr>
          <w:rFonts w:ascii="Arial" w:cs="Arial" w:eastAsia="Arial" w:hAnsi="Arial"/>
          <w:sz w:val="16"/>
          <w:szCs w:val="16"/>
          <w:color w:val="auto"/>
        </w:rPr>
        <w:t>. Based on preliminary third-party data, we estimate that the national multifamily vacancy rate for institutional investment-type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properties remained steady at 6.0% as of June 30, 2025, the same as of March 31, 2025 and June 30, 2024. The estimated average national multifamily vacancy rate over the last 15 years is approximately 5.8%.</w:t>
      </w:r>
    </w:p>
    <w:p>
      <w:pPr>
        <w:spacing w:after="0" w:line="24" w:lineRule="exact"/>
        <w:rPr>
          <w:rFonts w:ascii="Arial" w:cs="Arial" w:eastAsia="Arial" w:hAnsi="Arial"/>
          <w:sz w:val="16"/>
          <w:szCs w:val="16"/>
          <w:color w:val="auto"/>
        </w:rPr>
      </w:pPr>
    </w:p>
    <w:p>
      <w:pPr>
        <w:ind w:left="620" w:right="20" w:hanging="307"/>
        <w:spacing w:after="0" w:line="272"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third-party data, we estimate that rents increased approximately 0.8% during the second quarter of 2025,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0.3% during the first quarter of 2025 and 1.0% during the second quarter of 2024. Rents have increased 0.6% from the second quarter of 2024.</w:t>
      </w:r>
    </w:p>
    <w:p>
      <w:pPr>
        <w:spacing w:after="0" w:line="31" w:lineRule="exact"/>
        <w:rPr>
          <w:rFonts w:ascii="Arial" w:cs="Arial" w:eastAsia="Arial" w:hAnsi="Arial"/>
          <w:sz w:val="16"/>
          <w:szCs w:val="16"/>
          <w:color w:val="auto"/>
        </w:rPr>
      </w:pPr>
    </w:p>
    <w:p>
      <w:pPr>
        <w:ind w:left="620" w:right="20" w:hanging="307"/>
        <w:spacing w:after="0" w:line="275"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Absorption</w:t>
      </w:r>
      <w:r>
        <w:rPr>
          <w:rFonts w:ascii="Arial" w:cs="Arial" w:eastAsia="Arial" w:hAnsi="Arial"/>
          <w:sz w:val="16"/>
          <w:szCs w:val="16"/>
          <w:color w:val="auto"/>
        </w:rPr>
        <w:t>. Steady absorption of new and existing multifamily rental units continued in the second quarter of 2025, which was reflected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steady vacancy rate in an environment of significant new supply. Based on preliminary third-party data, absorption rose in the second quarter of 2025 to over 227,000 units, up from approximately 138,000 units in the first quarter of 2025, and approximately 151,000 units in the second quarter of 2024.</w:t>
      </w:r>
    </w:p>
    <w:p>
      <w:pPr>
        <w:spacing w:after="0" w:line="231" w:lineRule="exact"/>
        <w:rPr>
          <w:rFonts w:ascii="Arial" w:cs="Arial" w:eastAsia="Arial" w:hAnsi="Arial"/>
          <w:sz w:val="16"/>
          <w:szCs w:val="16"/>
          <w:color w:val="auto"/>
        </w:rPr>
      </w:pPr>
    </w:p>
    <w:p>
      <w:pPr>
        <w:ind w:left="620" w:right="640" w:hanging="307"/>
        <w:spacing w:after="0" w:line="293"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Property sales volumes. </w:t>
      </w:r>
      <w:r>
        <w:rPr>
          <w:rFonts w:ascii="Arial" w:cs="Arial" w:eastAsia="Arial" w:hAnsi="Arial"/>
          <w:sz w:val="16"/>
          <w:szCs w:val="16"/>
          <w:color w:val="auto"/>
        </w:rPr>
        <w:t>Based on preliminary third-party data, multifamily property sales volumes for the first half of 2025 were $67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well below the 2015 to 2019 average first half of the year levels of $95 billion.</w:t>
      </w:r>
    </w:p>
    <w:p>
      <w:pPr>
        <w:spacing w:after="0" w:line="14" w:lineRule="exact"/>
        <w:rPr>
          <w:rFonts w:ascii="Arial" w:cs="Arial" w:eastAsia="Arial" w:hAnsi="Arial"/>
          <w:sz w:val="16"/>
          <w:szCs w:val="16"/>
          <w:color w:val="auto"/>
        </w:rPr>
      </w:pPr>
    </w:p>
    <w:p>
      <w:pPr>
        <w:ind w:left="620" w:right="340" w:hanging="307"/>
        <w:spacing w:after="0" w:line="238"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Property values. </w:t>
      </w:r>
      <w:r>
        <w:rPr>
          <w:rFonts w:ascii="Arial" w:cs="Arial" w:eastAsia="Arial" w:hAnsi="Arial"/>
          <w:sz w:val="16"/>
          <w:szCs w:val="16"/>
          <w:color w:val="auto"/>
        </w:rPr>
        <w:t>According to data from the MSCI RCA Commercial Property Price Index (“RCA CPPI</w:t>
      </w:r>
      <w:r>
        <w:rPr>
          <w:rFonts w:ascii="Arial" w:cs="Arial" w:eastAsia="Arial" w:hAnsi="Arial"/>
          <w:sz w:val="21"/>
          <w:szCs w:val="21"/>
          <w:color w:val="auto"/>
          <w:vertAlign w:val="superscript"/>
        </w:rPr>
        <w:t>TM</w:t>
      </w:r>
      <w:r>
        <w:rPr>
          <w:rFonts w:ascii="Arial" w:cs="Arial" w:eastAsia="Arial" w:hAnsi="Arial"/>
          <w:sz w:val="16"/>
          <w:szCs w:val="16"/>
          <w:color w:val="auto"/>
        </w:rPr>
        <w:t>”), multifamily property values declined</w:t>
      </w:r>
      <w:r>
        <w:rPr>
          <w:rFonts w:ascii="Arial" w:cs="Arial" w:eastAsia="Arial" w:hAnsi="Arial"/>
          <w:sz w:val="16"/>
          <w:szCs w:val="16"/>
          <w:i w:val="1"/>
          <w:iCs w:val="1"/>
          <w:color w:val="auto"/>
        </w:rPr>
        <w:t xml:space="preserve"> </w:t>
      </w:r>
      <w:r>
        <w:rPr>
          <w:rFonts w:ascii="Arial" w:cs="Arial" w:eastAsia="Arial" w:hAnsi="Arial"/>
          <w:sz w:val="16"/>
          <w:szCs w:val="16"/>
          <w:color w:val="auto"/>
        </w:rPr>
        <w:t>19% from their peak in the second quarter of 2022 to the second quarter of 2025.</w:t>
      </w:r>
    </w:p>
    <w:p>
      <w:pPr>
        <w:spacing w:after="0" w:line="55"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strong property fundamentals, low vacancy rates and rising rents helped to increase property values in most metropolitan areas, but that trend reversed starting in early 2023.</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Property value is important to credit quality because when a multifamily loan matures, a borrower may be required to make up any value shortfalls if the value estimate has declined below the unpaid principal balance and the borrower needs new financing for the property. A borrower may default on its loan if the difference between the property value and the unpaid principal balance of the loan is significant.</w:t>
      </w:r>
    </w:p>
    <w:p>
      <w:pPr>
        <w:spacing w:after="0" w:line="2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estimate vacancy rates will rise to 6.25% in 2025, due to elevated new construction completions. We estimate that more than 600,000 multifamily rental units were delivered to the U.S. housing market in 2024, which is well above the past 10-year average of 409,000 units delivered annually. Additionally, there were approximately 837,000 multifamily rental units underway as of May 2025, and based on recent historical trends we expect between 450,000 and 500,000 units will be completed in 2025.</w:t>
      </w:r>
    </w:p>
    <w:p>
      <w:pPr>
        <w:spacing w:after="0" w:line="48"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Despite elevated levels of new supply, we expect rent growth in the 2.0% to 2.5% range during 2025, if job growth continues at its recent pace and elevated single-family housing prices in many places continue to keep a number of tenants renting longer. If job growth slows substantially, that could result in slower rental housing demand, thereby pushing up vacancies and keeping rent growth subdued in 2025.</w:t>
      </w:r>
    </w:p>
    <w:p>
      <w:pPr>
        <w:spacing w:after="0" w:line="3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Multifamily property capitalization rates, the indicated rate of return on investment for commercial properties sold during the quarter, are estimated at 5.4% in the second quarter of 2025, down slightly from 5.6% in the first quarter of 2025 and the second quarter of 2024. Multifamily capitalization rates increased substantially between the first quarter of 2022 and 2024 but have averaged around 5.6% since then, with the spread between multifamily capitalization rates and 10-year Treasury rates, which is an important consideration for commercial real estate investors, remaining significantly narrower than the spread that was observed prior to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6" w:name="page37"/>
    <w:bookmarkEnd w:id="36"/>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our new multifamily loan acquisitions by unpaid principal balance and number of units financed.</w:t>
      </w:r>
    </w:p>
    <w:p>
      <w:pPr>
        <w:spacing w:after="0" w:line="178"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5460365" cy="1637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hanging="237"/>
        <w:spacing w:after="0" w:line="228"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new multifamily loans securitized or purchased as well as credit enhancements provided during the period. These figures will not agree to Fannie Mae MBS issued during the period, as Fannie Mae MBS issued also include portfolio securitizations and certain conversions that result in a new Fannie Mae MBS issuance without a newly created loan and exclude bond or mortgage loan credit enhancements.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0"/>
        </w:numPr>
        <w:rPr>
          <w:rFonts w:ascii="Arial" w:cs="Arial" w:eastAsia="Arial" w:hAnsi="Arial"/>
          <w:sz w:val="9"/>
          <w:szCs w:val="9"/>
          <w:color w:val="auto"/>
        </w:rPr>
      </w:pPr>
      <w:r>
        <w:rPr>
          <w:rFonts w:ascii="Arial" w:cs="Arial" w:eastAsia="Arial" w:hAnsi="Arial"/>
          <w:sz w:val="14"/>
          <w:szCs w:val="14"/>
          <w:color w:val="auto"/>
        </w:rPr>
        <w:t>Reflects new units financed by first liens and excludes manufactured housing rentals.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Multifamily business volumes increased by 51% in the first half of 2025 compared with the first half of 2024, primarily reflecting increased market activity.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For 2025, FHFA has capped our multifamily loan purchases at $73 billion.</w:t>
      </w:r>
    </w:p>
    <w:p>
      <w:pPr>
        <w:spacing w:after="0" w:line="11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unpaid principal balance and average charged guaranty fee related to our multifamily guaranty book of business.</w:t>
      </w:r>
    </w:p>
    <w:p>
      <w:pPr>
        <w:spacing w:after="0" w:line="12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56515</wp:posOffset>
            </wp:positionV>
            <wp:extent cx="5501005" cy="1964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010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40" w:right="100" w:hanging="237"/>
        <w:spacing w:after="0" w:line="233" w:lineRule="auto"/>
        <w:tabs>
          <w:tab w:leader="none" w:pos="23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7" w:name="page38"/>
    <w:bookmarkEnd w:id="37"/>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Our multifamily guaranty book of business grew to $510.8 billion as of June 30, 2025, a 6.4% increase from June 30, 2024. The average charged guaranty fee on our multifamily guaranty book of business decreased 2.2 bps as of June 30, 2025 compared with June 30, 2024, due to lower average charged fees on our acquisitions for the second half of 2024 and the first half of 2025 as compared with the existing loans in our multifamily guaranty book of business.</w:t>
      </w:r>
    </w:p>
    <w:p>
      <w:pPr>
        <w:spacing w:after="0" w:line="2"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For additional information regarding our average charged guaranty fee, see “MD&amp;A—Multifamily Business—Multifamily Business Metrics—Multifamily Guaranty Book of Business and Average Charged Guaranty Fee” in our 2024 Form 10-K.</w:t>
      </w:r>
    </w:p>
    <w:p>
      <w:pPr>
        <w:spacing w:after="0" w:line="7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2024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acquisition policy and underwriting standards, our multifamily guaranty book diversification and monitoring, and our transfer of multifamily mortgage credit risk, as well as our reliance on representations from lenders and servicers regarding the accuracy of credit information on loans in our guaranty book of business, see that discussion in our 2024 Form 10-K.</w:t>
      </w:r>
    </w:p>
    <w:p>
      <w:pPr>
        <w:spacing w:after="0" w:line="8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additional information on our multifamily guaranty book diversification and monitoring see “MD&amp;A—Multifamily Business—Multifamily Mortgage Credit Risk Management—Multifamily Guaranty Book Diversification and Monitoring” in our 2024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8" w:name="page39"/>
    <w:bookmarkEnd w:id="38"/>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We provide additional information on the credit characteristics of our multifamily loans in our quarterly earnings presentations and financial supplements, which we furnish to the SEC with current reports on Form 8-K and make available on our website. Information in our quarterly earnings presentations and financial supplements is not incorporated by reference into this report.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2216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Multifamily Business Volume at</w:t>
            </w:r>
          </w:p>
        </w:tc>
        <w:tc>
          <w:tcPr>
            <w:tcW w:w="260" w:type="dxa"/>
            <w:vAlign w:val="bottom"/>
          </w:tcPr>
          <w:p>
            <w:pPr>
              <w:spacing w:after="0"/>
              <w:rPr>
                <w:sz w:val="14"/>
                <w:szCs w:val="14"/>
                <w:color w:val="auto"/>
              </w:rPr>
            </w:pPr>
          </w:p>
        </w:tc>
        <w:tc>
          <w:tcPr>
            <w:tcW w:w="2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Multifamily Business Volume at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9"/>
              </w:rPr>
              <w:t>Acquisition</w:t>
            </w:r>
            <w:r>
              <w:rPr>
                <w:rFonts w:ascii="Arial" w:cs="Arial" w:eastAsia="Arial" w:hAnsi="Arial"/>
                <w:sz w:val="8"/>
                <w:szCs w:val="8"/>
                <w:b w:val="1"/>
                <w:bCs w:val="1"/>
                <w:color w:val="auto"/>
                <w:w w:val="99"/>
              </w:rPr>
              <w:t>(1)</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left="371"/>
              <w:spacing w:after="0"/>
              <w:rPr>
                <w:sz w:val="20"/>
                <w:szCs w:val="20"/>
                <w:color w:val="auto"/>
              </w:rPr>
            </w:pPr>
            <w:r>
              <w:rPr>
                <w:rFonts w:ascii="Arial" w:cs="Arial" w:eastAsia="Arial" w:hAnsi="Arial"/>
                <w:sz w:val="14"/>
                <w:szCs w:val="14"/>
                <w:b w:val="1"/>
                <w:bCs w:val="1"/>
                <w:color w:val="auto"/>
                <w:w w:val="97"/>
              </w:rPr>
              <w:t>Acquisition</w:t>
            </w:r>
            <w:r>
              <w:rPr>
                <w:rFonts w:ascii="Arial" w:cs="Arial" w:eastAsia="Arial" w:hAnsi="Arial"/>
                <w:sz w:val="8"/>
                <w:szCs w:val="8"/>
                <w:b w:val="1"/>
                <w:bCs w:val="1"/>
                <w:color w:val="auto"/>
                <w:w w:val="97"/>
              </w:rPr>
              <w:t>(1)</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vMerge w:val="restart"/>
          </w:tcPr>
          <w:p>
            <w:pPr>
              <w:jc w:val="center"/>
              <w:ind w:right="71"/>
              <w:spacing w:after="0"/>
              <w:rPr>
                <w:sz w:val="20"/>
                <w:szCs w:val="20"/>
                <w:color w:val="auto"/>
              </w:rPr>
            </w:pPr>
            <w:r>
              <w:rPr>
                <w:rFonts w:ascii="Arial" w:cs="Arial" w:eastAsia="Arial" w:hAnsi="Arial"/>
                <w:sz w:val="14"/>
                <w:szCs w:val="14"/>
                <w:b w:val="1"/>
                <w:bCs w:val="1"/>
                <w:color w:val="auto"/>
                <w:w w:val="98"/>
              </w:rPr>
              <w:t>Multifamily</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gridSpan w:val="5"/>
            <w:vMerge w:val="continu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14"/>
                <w:szCs w:val="14"/>
                <w:color w:val="auto"/>
              </w:rPr>
            </w:pPr>
          </w:p>
        </w:tc>
        <w:tc>
          <w:tcPr>
            <w:tcW w:w="2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For the Six Months Ended June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71"/>
              <w:spacing w:after="0"/>
              <w:rPr>
                <w:sz w:val="20"/>
                <w:szCs w:val="20"/>
                <w:color w:val="auto"/>
              </w:rPr>
            </w:pPr>
            <w:r>
              <w:rPr>
                <w:rFonts w:ascii="Arial" w:cs="Arial" w:eastAsia="Arial" w:hAnsi="Arial"/>
                <w:sz w:val="14"/>
                <w:szCs w:val="14"/>
                <w:b w:val="1"/>
                <w:bCs w:val="1"/>
                <w:color w:val="auto"/>
                <w:w w:val="99"/>
              </w:rPr>
              <w:t>Guaranty Book of Business</w:t>
            </w:r>
            <w:r>
              <w:rPr>
                <w:rFonts w:ascii="Arial" w:cs="Arial" w:eastAsia="Arial" w:hAnsi="Arial"/>
                <w:sz w:val="8"/>
                <w:szCs w:val="8"/>
                <w:b w:val="1"/>
                <w:bCs w:val="1"/>
                <w:color w:val="auto"/>
                <w:w w:val="99"/>
              </w:rPr>
              <w:t>(2)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Borders>
              <w:bottom w:val="single" w:sz="8" w:color="2C6937"/>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spacing w:after="0"/>
              <w:rPr>
                <w:sz w:val="18"/>
                <w:szCs w:val="18"/>
                <w:color w:val="auto"/>
              </w:rPr>
            </w:pPr>
          </w:p>
        </w:tc>
        <w:tc>
          <w:tcPr>
            <w:tcW w:w="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30,</w:t>
            </w:r>
          </w:p>
        </w:tc>
        <w:tc>
          <w:tcPr>
            <w:tcW w:w="32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gridSpan w:val="3"/>
          </w:tcPr>
          <w:p>
            <w:pPr>
              <w:jc w:val="center"/>
              <w:ind w:right="80"/>
              <w:spacing w:after="0"/>
              <w:rPr>
                <w:sz w:val="20"/>
                <w:szCs w:val="20"/>
                <w:color w:val="auto"/>
              </w:rPr>
            </w:pPr>
            <w:r>
              <w:rPr>
                <w:rFonts w:ascii="Arial" w:cs="Arial" w:eastAsia="Arial" w:hAnsi="Arial"/>
                <w:sz w:val="14"/>
                <w:szCs w:val="14"/>
                <w:b w:val="1"/>
                <w:bCs w:val="1"/>
                <w:color w:val="auto"/>
                <w:w w:val="97"/>
              </w:rPr>
              <w:t>As of</w:t>
            </w:r>
          </w:p>
        </w:tc>
        <w:tc>
          <w:tcPr>
            <w:tcW w:w="1140" w:type="dxa"/>
            <w:vAlign w:val="bottom"/>
            <w:tcBorders>
              <w:bottom w:val="single" w:sz="8" w:color="2C6937"/>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2024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w w:val="96"/>
              </w:rPr>
              <w:t>2024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June 30, 2025</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320" w:type="dxa"/>
            <w:vAlign w:val="bottom"/>
            <w:tcBorders>
              <w:bottom w:val="single" w:sz="8" w:color="2C6937"/>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6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62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Service Coverage Ratio (“DSCR”):</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(3)</w:t>
            </w: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(3)</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66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9"/>
                <w:szCs w:val="19"/>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814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1,470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1,083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29,959</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29,651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Fixed-rate</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4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2C6937"/>
            </w:tcBorders>
          </w:tcPr>
          <w:p>
            <w:pPr>
              <w:spacing w:after="0"/>
              <w:rPr>
                <w:sz w:val="16"/>
                <w:szCs w:val="16"/>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53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(4)</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4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2C6937"/>
            </w:tcBorders>
          </w:tcPr>
          <w:p>
            <w:pPr>
              <w:spacing w:after="0"/>
              <w:rPr>
                <w:sz w:val="16"/>
                <w:szCs w:val="16"/>
                <w:color w:val="auto"/>
              </w:rPr>
            </w:pP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Seniors housing</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4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2C6937"/>
            </w:tcBorders>
          </w:tcPr>
          <w:p>
            <w:pPr>
              <w:spacing w:after="0"/>
              <w:rPr>
                <w:sz w:val="16"/>
                <w:szCs w:val="16"/>
                <w:color w:val="auto"/>
              </w:rPr>
            </w:pP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6"/>
        </w:trPr>
        <w:tc>
          <w:tcPr>
            <w:tcW w:w="336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(5)</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15</w:t>
            </w:r>
          </w:p>
        </w:tc>
        <w:tc>
          <w:tcPr>
            <w:tcW w:w="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40"/>
              <w:spacing w:after="0" w:line="194" w:lineRule="exact"/>
              <w:rPr>
                <w:sz w:val="20"/>
                <w:szCs w:val="20"/>
                <w:color w:val="auto"/>
              </w:rPr>
            </w:pPr>
            <w:r>
              <w:rPr>
                <w:rFonts w:ascii="Arial" w:cs="Arial" w:eastAsia="Arial" w:hAnsi="Arial"/>
                <w:sz w:val="14"/>
                <w:szCs w:val="14"/>
                <w:color w:val="auto"/>
              </w:rPr>
              <w:t>Small balance loans</w:t>
            </w:r>
            <w:r>
              <w:rPr>
                <w:rFonts w:ascii="Arial" w:cs="Arial" w:eastAsia="Arial" w:hAnsi="Arial"/>
                <w:sz w:val="17"/>
                <w:szCs w:val="17"/>
                <w:color w:val="auto"/>
                <w:vertAlign w:val="superscript"/>
              </w:rPr>
              <w:t>(6)</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42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(7)</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4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9" w:name="page40"/>
    <w:bookmarkEnd w:id="39"/>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340" w:hanging="237"/>
        <w:spacing w:after="0" w:line="226"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for each category divided by the aggregate unpaid principal balance at time of acquisition, excluding small balance loans which is calculated based on loan count rather than unpaid principal balance.</w:t>
      </w:r>
    </w:p>
    <w:p>
      <w:pPr>
        <w:spacing w:after="0" w:line="27" w:lineRule="exact"/>
        <w:rPr>
          <w:rFonts w:ascii="Arial" w:cs="Arial" w:eastAsia="Arial" w:hAnsi="Arial"/>
          <w:sz w:val="18"/>
          <w:szCs w:val="18"/>
          <w:color w:val="auto"/>
          <w:vertAlign w:val="superscript"/>
        </w:rPr>
      </w:pPr>
    </w:p>
    <w:p>
      <w:pPr>
        <w:ind w:left="240" w:right="400" w:hanging="237"/>
        <w:spacing w:after="0" w:line="233" w:lineRule="auto"/>
        <w:tabs>
          <w:tab w:leader="none" w:pos="233"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Calculated based on the aggregate unpaid principal balance of multifamily loans for each category divided by the aggregate unpaid principal balance of loans in our multifamily guaranty book of business as of the end of each period, excluding small balance loans which is calculated based on loan count rather than unpaid principal balance.</w:t>
      </w:r>
    </w:p>
    <w:p>
      <w:pPr>
        <w:spacing w:after="0" w:line="26" w:lineRule="exact"/>
        <w:rPr>
          <w:rFonts w:ascii="Arial" w:cs="Arial" w:eastAsia="Arial" w:hAnsi="Arial"/>
          <w:sz w:val="17"/>
          <w:szCs w:val="17"/>
          <w:color w:val="auto"/>
          <w:vertAlign w:val="superscript"/>
        </w:rPr>
      </w:pPr>
    </w:p>
    <w:p>
      <w:pPr>
        <w:ind w:left="240" w:right="140" w:hanging="237"/>
        <w:spacing w:after="0" w:line="259" w:lineRule="auto"/>
        <w:tabs>
          <w:tab w:leader="none" w:pos="233" w:val="left"/>
        </w:tabs>
        <w:numPr>
          <w:ilvl w:val="0"/>
          <w:numId w:val="33"/>
        </w:numPr>
        <w:rPr>
          <w:rFonts w:ascii="Arial" w:cs="Arial" w:eastAsia="Arial" w:hAnsi="Arial"/>
          <w:sz w:val="9"/>
          <w:szCs w:val="9"/>
          <w:color w:val="auto"/>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including the related debt service covering a 12-month period, from quarterly and annual statements for these properties. When an annual statement is the latest statement available, it is used. When operating statement information is not available, the underwritten DSCR is used. Co-op loans are excluded from this metric.</w:t>
      </w:r>
    </w:p>
    <w:p>
      <w:pPr>
        <w:ind w:left="220" w:hanging="217"/>
        <w:spacing w:after="0"/>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24" w:lineRule="exact"/>
        <w:rPr>
          <w:rFonts w:ascii="Arial" w:cs="Arial" w:eastAsia="Arial" w:hAnsi="Arial"/>
          <w:sz w:val="18"/>
          <w:szCs w:val="18"/>
          <w:color w:val="auto"/>
          <w:vertAlign w:val="superscript"/>
        </w:rPr>
      </w:pPr>
    </w:p>
    <w:p>
      <w:pPr>
        <w:ind w:left="240" w:right="260" w:hanging="237"/>
        <w:spacing w:after="0" w:line="260" w:lineRule="auto"/>
        <w:tabs>
          <w:tab w:leader="none" w:pos="233" w:val="left"/>
        </w:tabs>
        <w:numPr>
          <w:ilvl w:val="0"/>
          <w:numId w:val="33"/>
        </w:numPr>
        <w:rPr>
          <w:rFonts w:ascii="Arial" w:cs="Arial" w:eastAsia="Arial" w:hAnsi="Arial"/>
          <w:sz w:val="9"/>
          <w:szCs w:val="9"/>
          <w:color w:val="auto"/>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13" w:lineRule="exact"/>
        <w:rPr>
          <w:rFonts w:ascii="Arial" w:cs="Arial" w:eastAsia="Arial" w:hAnsi="Arial"/>
          <w:sz w:val="9"/>
          <w:szCs w:val="9"/>
          <w:color w:val="auto"/>
        </w:rPr>
      </w:pPr>
    </w:p>
    <w:p>
      <w:pPr>
        <w:ind w:left="240" w:right="20" w:hanging="237"/>
        <w:spacing w:after="0" w:line="233"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Small balance loans refer to multifamily loans with an original unpaid principal balance of up to $9 million. Small balance loans are included within the asset class categories referenced above. We present this metric in the table based on loan count rather than unpaid principal balance. Small balance loans comprised 10% of our multifamily guaranty book of business as of both June 30, 2025 and December 31, 2024, based on unpaid principal balance of the loans.</w:t>
      </w:r>
    </w:p>
    <w:p>
      <w:pPr>
        <w:spacing w:after="0" w:line="15" w:lineRule="exact"/>
        <w:rPr>
          <w:rFonts w:ascii="Arial" w:cs="Arial" w:eastAsia="Arial" w:hAnsi="Arial"/>
          <w:sz w:val="18"/>
          <w:szCs w:val="18"/>
          <w:color w:val="auto"/>
          <w:vertAlign w:val="superscript"/>
        </w:rPr>
      </w:pPr>
    </w:p>
    <w:p>
      <w:pPr>
        <w:ind w:left="240" w:right="160" w:hanging="237"/>
        <w:spacing w:after="0" w:line="318" w:lineRule="auto"/>
        <w:tabs>
          <w:tab w:leader="none" w:pos="233" w:val="left"/>
        </w:tabs>
        <w:numPr>
          <w:ilvl w:val="0"/>
          <w:numId w:val="33"/>
        </w:numPr>
        <w:rPr>
          <w:rFonts w:ascii="Arial" w:cs="Arial" w:eastAsia="Arial" w:hAnsi="Arial"/>
          <w:sz w:val="8"/>
          <w:szCs w:val="8"/>
          <w:color w:val="auto"/>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4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Transfer of Mortgage Credit Risk</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Front-End Credit Risk Sharing</w:t>
      </w:r>
    </w:p>
    <w:p>
      <w:pPr>
        <w:spacing w:after="0" w:line="6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Loans serviced by DUS lenders and their affiliates represented substantially all of our multifamily guaranty book of business as of June 30, 2025 and December 31, 2024. See “MD&amp;A—Multifamily Business—Multifamily Mortgage Credit Risk Management—Multifamily Transfer of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2024 Form 10-K for a description of our DUS program.</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Back-End Credit Risk Sharing</w:t>
      </w:r>
    </w:p>
    <w:p>
      <w:pPr>
        <w:spacing w:after="0" w:line="73"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color w:val="auto"/>
        </w:rPr>
        <w:t>To complement our DUS front-end lender-risk sharing program, we also engage in back-end credit risk transfer transactions through our Multifamily CIRT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(“MCIRT</w:t>
      </w:r>
      <w:r>
        <w:rPr>
          <w:rFonts w:ascii="Arial" w:cs="Arial" w:eastAsia="Arial" w:hAnsi="Arial"/>
          <w:sz w:val="21"/>
          <w:szCs w:val="21"/>
          <w:color w:val="auto"/>
          <w:vertAlign w:val="superscript"/>
        </w:rPr>
        <w:t>TM</w:t>
      </w:r>
      <w:r>
        <w:rPr>
          <w:rFonts w:ascii="Arial" w:cs="Arial" w:eastAsia="Arial" w:hAnsi="Arial"/>
          <w:sz w:val="16"/>
          <w:szCs w:val="16"/>
          <w:color w:val="auto"/>
        </w:rPr>
        <w:t>”) and Multifamily CAS (“MCAS</w:t>
      </w:r>
      <w:r>
        <w:rPr>
          <w:rFonts w:ascii="Arial" w:cs="Arial" w:eastAsia="Arial" w:hAnsi="Arial"/>
          <w:sz w:val="21"/>
          <w:szCs w:val="21"/>
          <w:color w:val="auto"/>
          <w:vertAlign w:val="superscript"/>
        </w:rPr>
        <w:t>TM</w:t>
      </w:r>
      <w:r>
        <w:rPr>
          <w:rFonts w:ascii="Arial" w:cs="Arial" w:eastAsia="Arial" w:hAnsi="Arial"/>
          <w:sz w:val="16"/>
          <w:szCs w:val="16"/>
          <w:color w:val="auto"/>
        </w:rPr>
        <w:t>”) programs. Our back-end MCIRT and MCAS credit risk transfer programs transfer a portion of the credit risk associated with a reference pool of multifamily mortgage loans to insurers, reinsurers, or investors. During the first half of 2025, we entered into two multifamily credit risk transfer transactions through our MCIRT and MCAS programs.</w:t>
      </w:r>
    </w:p>
    <w:p>
      <w:pPr>
        <w:spacing w:after="0" w:line="69"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980" w:type="dxa"/>
            <w:vAlign w:val="bottom"/>
            <w:tcBorders>
              <w:bottom w:val="single" w:sz="8" w:color="2C6937"/>
            </w:tcBorders>
            <w:gridSpan w:val="3"/>
          </w:tcPr>
          <w:p>
            <w:pPr>
              <w:jc w:val="center"/>
              <w:ind w:left="1108"/>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40" w:type="dxa"/>
            <w:vAlign w:val="bottom"/>
            <w:tcBorders>
              <w:bottom w:val="single" w:sz="8" w:color="2C6937"/>
            </w:tcBorders>
          </w:tcPr>
          <w:p>
            <w:pPr>
              <w:spacing w:after="0"/>
              <w:rPr>
                <w:sz w:val="17"/>
                <w:szCs w:val="17"/>
                <w:color w:val="auto"/>
              </w:rPr>
            </w:pPr>
          </w:p>
        </w:tc>
      </w:tr>
      <w:tr>
        <w:trPr>
          <w:trHeight w:val="193"/>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3280" w:type="dxa"/>
            <w:vAlign w:val="bottom"/>
            <w:tcBorders>
              <w:bottom w:val="single" w:sz="8" w:color="2C6937"/>
            </w:tcBorders>
            <w:gridSpan w:val="3"/>
          </w:tcPr>
          <w:p>
            <w:pPr>
              <w:ind w:left="900"/>
              <w:spacing w:after="0"/>
              <w:rPr>
                <w:sz w:val="20"/>
                <w:szCs w:val="20"/>
                <w:color w:val="auto"/>
              </w:rPr>
            </w:pPr>
            <w:r>
              <w:rPr>
                <w:rFonts w:ascii="Arial" w:cs="Arial" w:eastAsia="Arial" w:hAnsi="Arial"/>
                <w:sz w:val="14"/>
                <w:szCs w:val="14"/>
                <w:b w:val="1"/>
                <w:bCs w:val="1"/>
                <w:color w:val="auto"/>
              </w:rPr>
              <w:t>June 30, 2025</w:t>
            </w:r>
          </w:p>
        </w:tc>
        <w:tc>
          <w:tcPr>
            <w:tcW w:w="120" w:type="dxa"/>
            <w:vAlign w:val="bottom"/>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3040" w:type="dxa"/>
            <w:vAlign w:val="bottom"/>
            <w:tcBorders>
              <w:bottom w:val="single" w:sz="8" w:color="2C6937"/>
            </w:tcBorders>
            <w:gridSpan w:val="3"/>
          </w:tcPr>
          <w:p>
            <w:pPr>
              <w:jc w:val="right"/>
              <w:ind w:right="1246"/>
              <w:spacing w:after="0"/>
              <w:rPr>
                <w:sz w:val="20"/>
                <w:szCs w:val="20"/>
                <w:color w:val="auto"/>
              </w:rPr>
            </w:pPr>
            <w:r>
              <w:rPr>
                <w:rFonts w:ascii="Arial" w:cs="Arial" w:eastAsia="Arial" w:hAnsi="Arial"/>
                <w:sz w:val="14"/>
                <w:szCs w:val="14"/>
                <w:b w:val="1"/>
                <w:bCs w:val="1"/>
                <w:color w:val="auto"/>
              </w:rPr>
              <w:t>December 31, 2024</w:t>
            </w:r>
          </w:p>
        </w:tc>
      </w:tr>
      <w:tr>
        <w:trPr>
          <w:trHeight w:val="178"/>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 Multifamily</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right"/>
              <w:ind w:right="106"/>
              <w:spacing w:after="0"/>
              <w:rPr>
                <w:sz w:val="20"/>
                <w:szCs w:val="20"/>
                <w:color w:val="auto"/>
              </w:rPr>
            </w:pPr>
            <w:r>
              <w:rPr>
                <w:rFonts w:ascii="Arial" w:cs="Arial" w:eastAsia="Arial" w:hAnsi="Arial"/>
                <w:sz w:val="14"/>
                <w:szCs w:val="14"/>
                <w:b w:val="1"/>
                <w:bCs w:val="1"/>
                <w:color w:val="auto"/>
              </w:rPr>
              <w:t>Percentage of Multifamily</w:t>
            </w:r>
          </w:p>
        </w:tc>
      </w:t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Unpaid Principal Balance</w:t>
            </w:r>
          </w:p>
        </w:tc>
        <w:tc>
          <w:tcPr>
            <w:tcW w:w="2140" w:type="dxa"/>
            <w:vAlign w:val="bottom"/>
            <w:tcBorders>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Guaranty Book of Business</w:t>
            </w:r>
          </w:p>
        </w:tc>
        <w:tc>
          <w:tcPr>
            <w:tcW w:w="184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Unpaid Principal Balance</w:t>
            </w:r>
          </w:p>
        </w:tc>
        <w:tc>
          <w:tcPr>
            <w:tcW w:w="2040" w:type="dxa"/>
            <w:vAlign w:val="bottom"/>
            <w:tcBorders>
              <w:bottom w:val="single" w:sz="8" w:color="2C6937"/>
            </w:tcBorders>
          </w:tcPr>
          <w:p>
            <w:pPr>
              <w:jc w:val="right"/>
              <w:ind w:right="46"/>
              <w:spacing w:after="0"/>
              <w:rPr>
                <w:sz w:val="20"/>
                <w:szCs w:val="20"/>
                <w:color w:val="auto"/>
              </w:rPr>
            </w:pPr>
            <w:r>
              <w:rPr>
                <w:rFonts w:ascii="Arial" w:cs="Arial" w:eastAsia="Arial" w:hAnsi="Arial"/>
                <w:sz w:val="14"/>
                <w:szCs w:val="14"/>
                <w:b w:val="1"/>
                <w:bCs w:val="1"/>
                <w:color w:val="auto"/>
              </w:rPr>
              <w:t>Guaranty Book of Business</w:t>
            </w:r>
          </w:p>
        </w:tc>
      </w:tr>
      <w:tr>
        <w:trPr>
          <w:trHeight w:val="205"/>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3"/>
          </w:tcPr>
          <w:p>
            <w:pPr>
              <w:jc w:val="center"/>
              <w:ind w:left="1108"/>
              <w:spacing w:after="0"/>
              <w:rPr>
                <w:sz w:val="20"/>
                <w:szCs w:val="20"/>
                <w:color w:val="auto"/>
              </w:rPr>
            </w:pPr>
            <w:r>
              <w:rPr>
                <w:rFonts w:ascii="Arial" w:cs="Arial" w:eastAsia="Arial" w:hAnsi="Arial"/>
                <w:sz w:val="14"/>
                <w:szCs w:val="14"/>
                <w:b w:val="1"/>
                <w:bCs w:val="1"/>
                <w:color w:val="auto"/>
                <w:w w:val="98"/>
              </w:rPr>
              <w:t>(Dollars 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53"/>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600" w:type="dxa"/>
            <w:vAlign w:val="bottom"/>
          </w:tcPr>
          <w:p>
            <w:pPr>
              <w:jc w:val="right"/>
              <w:ind w:right="426"/>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109,381</w:t>
            </w:r>
          </w:p>
        </w:tc>
        <w:tc>
          <w:tcPr>
            <w:tcW w:w="120" w:type="dxa"/>
            <w:vAlign w:val="bottom"/>
          </w:tcPr>
          <w:p>
            <w:pPr>
              <w:spacing w:after="0"/>
              <w:rPr>
                <w:sz w:val="21"/>
                <w:szCs w:val="21"/>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21 %</w:t>
            </w:r>
          </w:p>
        </w:tc>
        <w:tc>
          <w:tcPr>
            <w:tcW w:w="120" w:type="dxa"/>
            <w:vAlign w:val="bottom"/>
          </w:tcPr>
          <w:p>
            <w:pPr>
              <w:spacing w:after="0"/>
              <w:rPr>
                <w:sz w:val="21"/>
                <w:szCs w:val="21"/>
                <w:color w:val="auto"/>
              </w:rPr>
            </w:pPr>
          </w:p>
        </w:tc>
        <w:tc>
          <w:tcPr>
            <w:tcW w:w="840" w:type="dxa"/>
            <w:vAlign w:val="bottom"/>
          </w:tcPr>
          <w:p>
            <w:pPr>
              <w:jc w:val="right"/>
              <w:ind w:right="66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101,181</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5"/>
                <w:szCs w:val="15"/>
                <w:color w:val="auto"/>
              </w:rPr>
              <w:t>20 %</w:t>
            </w:r>
          </w:p>
        </w:tc>
      </w:tr>
      <w:tr>
        <w:trPr>
          <w:trHeight w:val="226"/>
        </w:trPr>
        <w:tc>
          <w:tcPr>
            <w:tcW w:w="32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100" w:type="dxa"/>
            <w:vAlign w:val="bottom"/>
          </w:tcPr>
          <w:p>
            <w:pPr>
              <w:spacing w:after="0"/>
              <w:rPr>
                <w:sz w:val="19"/>
                <w:szCs w:val="19"/>
                <w:color w:val="auto"/>
              </w:rPr>
            </w:pPr>
          </w:p>
        </w:tc>
        <w:tc>
          <w:tcPr>
            <w:tcW w:w="60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69,114</w:t>
            </w:r>
          </w:p>
        </w:tc>
        <w:tc>
          <w:tcPr>
            <w:tcW w:w="120" w:type="dxa"/>
            <w:vAlign w:val="bottom"/>
          </w:tcPr>
          <w:p>
            <w:pPr>
              <w:spacing w:after="0"/>
              <w:rPr>
                <w:sz w:val="19"/>
                <w:szCs w:val="19"/>
                <w:color w:val="auto"/>
              </w:rPr>
            </w:pPr>
          </w:p>
        </w:tc>
        <w:tc>
          <w:tcPr>
            <w:tcW w:w="2020" w:type="dxa"/>
            <w:vAlign w:val="bottom"/>
            <w:tcBorders>
              <w:bottom w:val="single" w:sz="8" w:color="2C6937"/>
            </w:tcBorders>
          </w:tcPr>
          <w:p>
            <w:pPr>
              <w:ind w:left="1660"/>
              <w:spacing w:after="0"/>
              <w:rPr>
                <w:sz w:val="20"/>
                <w:szCs w:val="20"/>
                <w:color w:val="auto"/>
              </w:rPr>
            </w:pPr>
            <w:r>
              <w:rPr>
                <w:rFonts w:ascii="Arial" w:cs="Arial" w:eastAsia="Arial" w:hAnsi="Arial"/>
                <w:sz w:val="15"/>
                <w:szCs w:val="15"/>
                <w:b w:val="1"/>
                <w:bCs w:val="1"/>
                <w:color w:val="auto"/>
              </w:rPr>
              <w:t>14</w:t>
            </w:r>
          </w:p>
        </w:tc>
        <w:tc>
          <w:tcPr>
            <w:tcW w:w="120" w:type="dxa"/>
            <w:vAlign w:val="bottom"/>
          </w:tcPr>
          <w:p>
            <w:pPr>
              <w:spacing w:after="0"/>
              <w:rPr>
                <w:sz w:val="19"/>
                <w:szCs w:val="19"/>
                <w:color w:val="auto"/>
              </w:rPr>
            </w:pPr>
          </w:p>
        </w:tc>
        <w:tc>
          <w:tcPr>
            <w:tcW w:w="84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56,142</w:t>
            </w:r>
          </w:p>
        </w:tc>
        <w:tc>
          <w:tcPr>
            <w:tcW w:w="100" w:type="dxa"/>
            <w:vAlign w:val="bottom"/>
          </w:tcPr>
          <w:p>
            <w:pPr>
              <w:spacing w:after="0"/>
              <w:rPr>
                <w:sz w:val="19"/>
                <w:szCs w:val="19"/>
                <w:color w:val="auto"/>
              </w:rPr>
            </w:pPr>
          </w:p>
        </w:tc>
        <w:tc>
          <w:tcPr>
            <w:tcW w:w="2040" w:type="dxa"/>
            <w:vAlign w:val="bottom"/>
            <w:tcBorders>
              <w:bottom w:val="single" w:sz="8" w:color="2C6937"/>
            </w:tcBorders>
          </w:tcPr>
          <w:p>
            <w:pPr>
              <w:jc w:val="right"/>
              <w:ind w:right="126"/>
              <w:spacing w:after="0"/>
              <w:rPr>
                <w:sz w:val="20"/>
                <w:szCs w:val="20"/>
                <w:color w:val="auto"/>
              </w:rPr>
            </w:pPr>
            <w:r>
              <w:rPr>
                <w:rFonts w:ascii="Arial" w:cs="Arial" w:eastAsia="Arial" w:hAnsi="Arial"/>
                <w:sz w:val="15"/>
                <w:szCs w:val="15"/>
                <w:color w:val="auto"/>
              </w:rPr>
              <w:t>11</w:t>
            </w:r>
          </w:p>
        </w:tc>
      </w:tr>
      <w:tr>
        <w:trPr>
          <w:trHeight w:val="225"/>
        </w:trPr>
        <w:tc>
          <w:tcPr>
            <w:tcW w:w="336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600" w:type="dxa"/>
            <w:vAlign w:val="bottom"/>
          </w:tcPr>
          <w:p>
            <w:pPr>
              <w:jc w:val="right"/>
              <w:ind w:right="426"/>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178,495</w:t>
            </w:r>
          </w:p>
        </w:tc>
        <w:tc>
          <w:tcPr>
            <w:tcW w:w="120" w:type="dxa"/>
            <w:vAlign w:val="bottom"/>
          </w:tcPr>
          <w:p>
            <w:pPr>
              <w:spacing w:after="0"/>
              <w:rPr>
                <w:sz w:val="19"/>
                <w:szCs w:val="19"/>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35 %</w:t>
            </w:r>
          </w:p>
        </w:tc>
        <w:tc>
          <w:tcPr>
            <w:tcW w:w="120" w:type="dxa"/>
            <w:vAlign w:val="bottom"/>
          </w:tcPr>
          <w:p>
            <w:pPr>
              <w:spacing w:after="0"/>
              <w:rPr>
                <w:sz w:val="19"/>
                <w:szCs w:val="19"/>
                <w:color w:val="auto"/>
              </w:rPr>
            </w:pPr>
          </w:p>
        </w:tc>
        <w:tc>
          <w:tcPr>
            <w:tcW w:w="840" w:type="dxa"/>
            <w:vAlign w:val="bottom"/>
          </w:tcPr>
          <w:p>
            <w:pPr>
              <w:jc w:val="right"/>
              <w:ind w:right="66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157,323</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5"/>
                <w:szCs w:val="15"/>
                <w:color w:val="auto"/>
              </w:rPr>
              <w:t>31 %</w:t>
            </w: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0" w:name="page41"/>
    <w:bookmarkEnd w:id="40"/>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6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percentage of loans in our multifamily guaranty book of business that were criticized was 6% as of June 30, 2025, compared with 7% as of December 31, 2024. Our criticized loan population remains elevated, reflecting the continued impact of the high interest rate environment on adjustable-rate mortgages. The criticized loans category substantially consists of loans classified as “Substandard” and also includes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25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multifamily serious delinquency rate increased to 0.61% as of June 30, 2025, compared with 0.57% as of December 31, 2024. The new entrants to the seriously delinquent population consisted primarily of fixed-rate conventional loans. The impact of these new entrants was partially offset by the foreclosure of the remaining loans in a specific seniors housing portfolio that was written off in 2023. Our multifamily serious delinquency rate consists of multifamily loans that were 60 days or more past due based on unpaid principal balance, expressed as a percentage of our multifamily guaranty book of business.</w:t>
      </w:r>
    </w:p>
    <w:p>
      <w:pPr>
        <w:spacing w:after="0" w:line="3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A higher serious delinquency rate may result in a higher allowance for loan losses. The percentage of loans in our multifamily guaranty book of business that were 180 days or more delinquent was 0.47% as of June 30, 2025, compared with 0.44% as of December 31, 2024.</w:t>
      </w:r>
    </w:p>
    <w:p>
      <w:pPr>
        <w:spacing w:after="0" w:line="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As of June 30, 2025, we held 176 multifamily REO properties with a carrying value of $915 million, compared with 139 properties with a carrying value of $638 million as of December 31, 2024. The increase in foreclosure activity was primarily driven by the remaining properties from a specific seniors housing portfolio that was written off in 2023.</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8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 write-offs net of recoveries and foreclosed property income or expense.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1" w:name="page42"/>
    <w:bookmarkEnd w:id="41"/>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Borders>
              <w:top w:val="single" w:sz="8" w:color="2C6937"/>
            </w:tcBorders>
          </w:tcPr>
          <w:p>
            <w:pPr>
              <w:jc w:val="center"/>
              <w:ind w:left="5503"/>
              <w:spacing w:after="0"/>
              <w:rPr>
                <w:sz w:val="20"/>
                <w:szCs w:val="20"/>
                <w:color w:val="auto"/>
              </w:rPr>
            </w:pPr>
            <w:r>
              <w:rPr>
                <w:rFonts w:ascii="Arial" w:cs="Arial" w:eastAsia="Arial" w:hAnsi="Arial"/>
                <w:sz w:val="15"/>
                <w:szCs w:val="15"/>
                <w:b w:val="1"/>
                <w:bCs w:val="1"/>
                <w:color w:val="auto"/>
              </w:rPr>
              <w:t>For the Three Months Ended June</w:t>
            </w:r>
          </w:p>
        </w:tc>
        <w:tc>
          <w:tcPr>
            <w:tcW w:w="2840" w:type="dxa"/>
            <w:vAlign w:val="bottom"/>
            <w:tcBorders>
              <w:top w:val="single" w:sz="8" w:color="2C6937"/>
            </w:tcBorders>
          </w:tcPr>
          <w:p>
            <w:pPr>
              <w:jc w:val="center"/>
              <w:ind w:right="163"/>
              <w:spacing w:after="0"/>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8400" w:type="dxa"/>
            <w:vAlign w:val="bottom"/>
          </w:tcPr>
          <w:p>
            <w:pPr>
              <w:jc w:val="right"/>
              <w:ind w:right="1223"/>
              <w:spacing w:after="0"/>
              <w:rPr>
                <w:sz w:val="20"/>
                <w:szCs w:val="20"/>
                <w:color w:val="auto"/>
              </w:rPr>
            </w:pPr>
            <w:r>
              <w:rPr>
                <w:rFonts w:ascii="Arial" w:cs="Arial" w:eastAsia="Arial" w:hAnsi="Arial"/>
                <w:sz w:val="15"/>
                <w:szCs w:val="15"/>
                <w:b w:val="1"/>
                <w:bCs w:val="1"/>
                <w:color w:val="auto"/>
              </w:rPr>
              <w:t>30,</w:t>
            </w:r>
          </w:p>
        </w:tc>
        <w:tc>
          <w:tcPr>
            <w:tcW w:w="2840" w:type="dxa"/>
            <w:vAlign w:val="bottom"/>
          </w:tcPr>
          <w:p>
            <w:pPr>
              <w:jc w:val="right"/>
              <w:ind w:right="1343"/>
              <w:spacing w:after="0"/>
              <w:rPr>
                <w:sz w:val="20"/>
                <w:szCs w:val="20"/>
                <w:color w:val="auto"/>
              </w:rPr>
            </w:pPr>
            <w:r>
              <w:rPr>
                <w:rFonts w:ascii="Arial" w:cs="Arial" w:eastAsia="Arial" w:hAnsi="Arial"/>
                <w:sz w:val="15"/>
                <w:szCs w:val="15"/>
                <w:b w:val="1"/>
                <w:bCs w:val="1"/>
                <w:color w:val="auto"/>
              </w:rPr>
              <w:t>30,</w:t>
            </w:r>
          </w:p>
        </w:tc>
      </w:tr>
    </w:tbl>
    <w:p>
      <w:pPr>
        <w:spacing w:after="0" w:line="1" w:lineRule="exact"/>
        <w:rPr>
          <w:sz w:val="20"/>
          <w:szCs w:val="20"/>
          <w:color w:val="auto"/>
        </w:rPr>
      </w:pP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Recoveries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Foreclosed property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039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35039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039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03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35039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net of freestanding loss-sharing arrangements (in bps)</w:t>
      </w:r>
      <w:r>
        <w:rPr>
          <w:rFonts w:ascii="Arial" w:cs="Arial" w:eastAsia="Arial" w:hAnsi="Arial"/>
          <w:sz w:val="20"/>
          <w:szCs w:val="20"/>
          <w:color w:val="auto"/>
          <w:vertAlign w:val="superscript"/>
        </w:rPr>
        <w:t>(2)</w:t>
      </w:r>
    </w:p>
    <w:p>
      <w:pPr>
        <w:ind w:left="180"/>
        <w:spacing w:after="0"/>
        <w:rPr>
          <w:sz w:val="20"/>
          <w:szCs w:val="20"/>
          <w:color w:val="auto"/>
        </w:rPr>
      </w:pPr>
      <w:r>
        <w:rPr>
          <w:rFonts w:ascii="Arial" w:cs="Arial" w:eastAsia="Arial" w:hAnsi="Arial"/>
          <w:sz w:val="10"/>
          <w:szCs w:val="10"/>
          <w:color w:val="auto"/>
        </w:rPr>
        <w:t>(3)</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(4)(5)</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8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top w:val="single" w:sz="8" w:color="2C6937"/>
              <w:bottom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2024</w:t>
            </w:r>
          </w:p>
        </w:tc>
        <w:tc>
          <w:tcPr>
            <w:tcW w:w="260" w:type="dxa"/>
            <w:vAlign w:val="bottom"/>
            <w:tcBorders>
              <w:top w:val="single" w:sz="8" w:color="2C6937"/>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top w:val="single" w:sz="8" w:color="2C6937"/>
              <w:bottom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74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2024</w:t>
            </w:r>
          </w:p>
        </w:tc>
        <w:tc>
          <w:tcPr>
            <w:tcW w:w="300" w:type="dxa"/>
            <w:vAlign w:val="bottom"/>
            <w:tcBorders>
              <w:top w:val="single" w:sz="8" w:color="2C6937"/>
              <w:bottom w:val="single" w:sz="8" w:color="2C6937"/>
            </w:tcBorders>
          </w:tcPr>
          <w:p>
            <w:pPr>
              <w:spacing w:after="0"/>
              <w:rPr>
                <w:sz w:val="17"/>
                <w:szCs w:val="17"/>
                <w:color w:val="auto"/>
              </w:rPr>
            </w:pPr>
          </w:p>
        </w:tc>
      </w:tr>
      <w:tr>
        <w:trPr>
          <w:trHeight w:val="296"/>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5"/>
                <w:szCs w:val="15"/>
                <w:b w:val="1"/>
                <w:bCs w:val="1"/>
                <w:color w:val="auto"/>
              </w:rPr>
              <w:t>(Dollars in millions)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2"/>
        </w:trPr>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(122)</w:t>
            </w:r>
          </w:p>
        </w:tc>
        <w:tc>
          <w:tcPr>
            <w:tcW w:w="38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(183)</w:t>
            </w:r>
          </w:p>
        </w:tc>
        <w:tc>
          <w:tcPr>
            <w:tcW w:w="38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(171)</w:t>
            </w:r>
          </w:p>
        </w:tc>
        <w:tc>
          <w:tcPr>
            <w:tcW w:w="300" w:type="dxa"/>
            <w:vAlign w:val="bottom"/>
          </w:tcPr>
          <w:p>
            <w:pPr>
              <w:spacing w:after="0"/>
              <w:rPr>
                <w:sz w:val="24"/>
                <w:szCs w:val="24"/>
                <w:color w:val="auto"/>
              </w:rPr>
            </w:pPr>
          </w:p>
        </w:tc>
      </w:tr>
      <w:tr>
        <w:trPr>
          <w:trHeight w:val="309"/>
        </w:trPr>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61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w:t>
            </w:r>
          </w:p>
        </w:tc>
        <w:tc>
          <w:tcPr>
            <w:tcW w:w="300" w:type="dxa"/>
            <w:vAlign w:val="bottom"/>
          </w:tcPr>
          <w:p>
            <w:pPr>
              <w:spacing w:after="0"/>
              <w:rPr>
                <w:sz w:val="24"/>
                <w:szCs w:val="24"/>
                <w:color w:val="auto"/>
              </w:rPr>
            </w:pPr>
          </w:p>
        </w:tc>
      </w:tr>
      <w:tr>
        <w:trPr>
          <w:trHeight w:val="303"/>
        </w:trPr>
        <w:tc>
          <w:tcPr>
            <w:tcW w:w="28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w:t>
            </w:r>
          </w:p>
        </w:tc>
        <w:tc>
          <w:tcPr>
            <w:tcW w:w="38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(90)</w:t>
            </w:r>
          </w:p>
        </w:tc>
        <w:tc>
          <w:tcPr>
            <w:tcW w:w="38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c>
          <w:tcPr>
            <w:tcW w:w="300" w:type="dxa"/>
            <w:vAlign w:val="bottom"/>
          </w:tcPr>
          <w:p>
            <w:pPr>
              <w:spacing w:after="0"/>
              <w:rPr>
                <w:sz w:val="24"/>
                <w:szCs w:val="24"/>
                <w:color w:val="auto"/>
              </w:rPr>
            </w:pPr>
          </w:p>
        </w:tc>
      </w:tr>
      <w:tr>
        <w:trPr>
          <w:trHeight w:val="309"/>
        </w:trPr>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(136)</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(212)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(183)</w:t>
            </w:r>
          </w:p>
        </w:tc>
        <w:tc>
          <w:tcPr>
            <w:tcW w:w="300" w:type="dxa"/>
            <w:vAlign w:val="bottom"/>
          </w:tcPr>
          <w:p>
            <w:pPr>
              <w:spacing w:after="0"/>
              <w:rPr>
                <w:sz w:val="24"/>
                <w:szCs w:val="24"/>
                <w:color w:val="auto"/>
              </w:rPr>
            </w:pPr>
          </w:p>
        </w:tc>
      </w:tr>
      <w:tr>
        <w:trPr>
          <w:trHeight w:val="303"/>
        </w:trPr>
        <w:tc>
          <w:tcPr>
            <w:tcW w:w="28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w:t>
            </w:r>
          </w:p>
        </w:tc>
        <w:tc>
          <w:tcPr>
            <w:tcW w:w="38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65</w:t>
            </w:r>
          </w:p>
        </w:tc>
        <w:tc>
          <w:tcPr>
            <w:tcW w:w="38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w:t>
            </w:r>
          </w:p>
        </w:tc>
        <w:tc>
          <w:tcPr>
            <w:tcW w:w="300" w:type="dxa"/>
            <w:vAlign w:val="bottom"/>
          </w:tcPr>
          <w:p>
            <w:pPr>
              <w:spacing w:after="0"/>
              <w:rPr>
                <w:sz w:val="24"/>
                <w:szCs w:val="24"/>
                <w:color w:val="auto"/>
              </w:rPr>
            </w:pPr>
          </w:p>
        </w:tc>
      </w:tr>
      <w:tr>
        <w:trPr>
          <w:trHeight w:val="302"/>
        </w:trPr>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(101)</w:t>
            </w:r>
          </w:p>
        </w:tc>
        <w:tc>
          <w:tcPr>
            <w:tcW w:w="380" w:type="dxa"/>
            <w:vAlign w:val="bottom"/>
          </w:tcPr>
          <w:p>
            <w:pPr>
              <w:spacing w:after="0"/>
              <w:rPr>
                <w:sz w:val="24"/>
                <w:szCs w:val="24"/>
                <w:color w:val="auto"/>
              </w:rPr>
            </w:pPr>
          </w:p>
        </w:tc>
        <w:tc>
          <w:tcPr>
            <w:tcW w:w="30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(147)</w:t>
            </w:r>
          </w:p>
        </w:tc>
        <w:tc>
          <w:tcPr>
            <w:tcW w:w="380" w:type="dxa"/>
            <w:vAlign w:val="bottom"/>
          </w:tcPr>
          <w:p>
            <w:pPr>
              <w:spacing w:after="0"/>
              <w:rPr>
                <w:sz w:val="24"/>
                <w:szCs w:val="24"/>
                <w:color w:val="auto"/>
              </w:rPr>
            </w:pPr>
          </w:p>
        </w:tc>
        <w:tc>
          <w:tcPr>
            <w:tcW w:w="30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(130)</w:t>
            </w:r>
          </w:p>
        </w:tc>
        <w:tc>
          <w:tcPr>
            <w:tcW w:w="300" w:type="dxa"/>
            <w:vAlign w:val="bottom"/>
          </w:tcPr>
          <w:p>
            <w:pPr>
              <w:spacing w:after="0"/>
              <w:rPr>
                <w:sz w:val="24"/>
                <w:szCs w:val="24"/>
                <w:color w:val="auto"/>
              </w:rPr>
            </w:pPr>
          </w:p>
        </w:tc>
      </w:tr>
      <w:tr>
        <w:trPr>
          <w:trHeight w:val="20"/>
        </w:trPr>
        <w:tc>
          <w:tcPr>
            <w:tcW w:w="28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39"/>
        </w:trPr>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(10.7)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(8.4)</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w:t>
            </w:r>
          </w:p>
        </w:tc>
        <w:tc>
          <w:tcPr>
            <w:tcW w:w="300" w:type="dxa"/>
            <w:vAlign w:val="bottom"/>
          </w:tcPr>
          <w:p>
            <w:pPr>
              <w:spacing w:after="0"/>
              <w:rPr>
                <w:sz w:val="24"/>
                <w:szCs w:val="24"/>
                <w:color w:val="auto"/>
              </w:rPr>
            </w:pPr>
          </w:p>
        </w:tc>
      </w:tr>
      <w:tr>
        <w:trPr>
          <w:trHeight w:val="438"/>
        </w:trPr>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(8.0)</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(5.8)</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w:t>
            </w:r>
          </w:p>
        </w:tc>
        <w:tc>
          <w:tcPr>
            <w:tcW w:w="300" w:type="dxa"/>
            <w:vAlign w:val="bottom"/>
          </w:tcPr>
          <w:p>
            <w:pPr>
              <w:spacing w:after="0"/>
              <w:rPr>
                <w:sz w:val="24"/>
                <w:szCs w:val="24"/>
                <w:color w:val="auto"/>
              </w:rPr>
            </w:pPr>
          </w:p>
        </w:tc>
      </w:tr>
      <w:tr>
        <w:trPr>
          <w:trHeight w:val="309"/>
        </w:trPr>
        <w:tc>
          <w:tcPr>
            <w:tcW w:w="2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27.7 %</w:t>
            </w:r>
          </w:p>
        </w:tc>
        <w:tc>
          <w:tcPr>
            <w:tcW w:w="3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3.8 %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26.5 %</w:t>
            </w:r>
          </w:p>
        </w:tc>
        <w:tc>
          <w:tcPr>
            <w:tcW w:w="3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26.9 %</w:t>
            </w:r>
          </w:p>
        </w:tc>
      </w:tr>
      <w:tr>
        <w:trPr>
          <w:trHeight w:val="309"/>
        </w:trPr>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32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300" w:type="dxa"/>
            <w:vAlign w:val="bottom"/>
          </w:tcPr>
          <w:p>
            <w:pPr>
              <w:spacing w:after="0"/>
              <w:rPr>
                <w:sz w:val="24"/>
                <w:szCs w:val="24"/>
                <w:color w:val="auto"/>
              </w:rPr>
            </w:pPr>
          </w:p>
        </w:tc>
      </w:tr>
    </w:tbl>
    <w:p>
      <w:pPr>
        <w:spacing w:after="0" w:line="115" w:lineRule="exact"/>
        <w:rPr>
          <w:sz w:val="20"/>
          <w:szCs w:val="20"/>
          <w:color w:val="auto"/>
        </w:rPr>
      </w:pPr>
    </w:p>
    <w:p>
      <w:pPr>
        <w:sectPr>
          <w:pgSz w:w="11900" w:h="16838" w:orient="portrait"/>
          <w:cols w:equalWidth="0" w:num="2">
            <w:col w:w="5460" w:space="160"/>
            <w:col w:w="5620"/>
          </w:cols>
          <w:pgMar w:left="320" w:top="248" w:right="339" w:bottom="1440" w:gutter="0" w:footer="0" w:header="0"/>
          <w:type w:val="continuous"/>
        </w:sectPr>
      </w:pPr>
    </w:p>
    <w:p>
      <w:pPr>
        <w:ind w:left="240" w:right="500" w:hanging="237"/>
        <w:spacing w:after="0" w:line="226"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write-offs at a liquidation event, which includes foreclosure, a deed-in-lieu of foreclosure or a short-sale, as well as write-offs prior to a liquidation event.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180" w:hanging="237"/>
        <w:spacing w:after="0" w:line="228"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“Other income (expense), net”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unpaid principal balance of the loans written off.</w:t>
      </w:r>
    </w:p>
    <w:p>
      <w:pPr>
        <w:spacing w:after="0" w:line="37" w:lineRule="exact"/>
        <w:rPr>
          <w:rFonts w:ascii="Arial" w:cs="Arial" w:eastAsia="Arial" w:hAnsi="Arial"/>
          <w:sz w:val="18"/>
          <w:szCs w:val="18"/>
          <w:color w:val="auto"/>
          <w:vertAlign w:val="superscript"/>
        </w:rPr>
      </w:pPr>
    </w:p>
    <w:p>
      <w:pPr>
        <w:ind w:left="240" w:right="200" w:hanging="237"/>
        <w:spacing w:after="0" w:line="210"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4"/>
        </w:numPr>
        <w:rPr>
          <w:rFonts w:ascii="Arial" w:cs="Arial" w:eastAsia="Arial" w:hAnsi="Arial"/>
          <w:sz w:val="9"/>
          <w:szCs w:val="9"/>
          <w:color w:val="auto"/>
        </w:rPr>
      </w:pPr>
      <w:r>
        <w:rPr>
          <w:rFonts w:ascii="Arial" w:cs="Arial" w:eastAsia="Arial" w:hAnsi="Arial"/>
          <w:sz w:val="14"/>
          <w:szCs w:val="14"/>
          <w:color w:val="auto"/>
        </w:rPr>
        <w:t>Represents the number of loans that experienced write-offs associated with a liquidation event during the period.</w:t>
      </w:r>
    </w:p>
    <w:p>
      <w:pPr>
        <w:spacing w:after="0" w:line="9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multifamily credit losses increased in the second quarter of 2025 compared with the second quarter of 2024 primarily as a result of write-offs on loans that remained in our multifamily guaranty book of business in the second quarter of 2025 for which collectability was no longer reasonably assured.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2" w:name="page43"/>
    <w:bookmarkEnd w:id="42"/>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As of</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84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1120" w:type="dxa"/>
            <w:vAlign w:val="bottom"/>
            <w:tcBorders>
              <w:bottom w:val="single" w:sz="8" w:color="216C2B"/>
            </w:tcBorders>
            <w:gridSpan w:val="2"/>
          </w:tcPr>
          <w:p>
            <w:pPr>
              <w:spacing w:after="0"/>
              <w:rPr>
                <w:sz w:val="2"/>
                <w:szCs w:val="2"/>
                <w:color w:val="auto"/>
              </w:rPr>
            </w:pPr>
          </w:p>
        </w:tc>
        <w:tc>
          <w:tcPr>
            <w:tcW w:w="300" w:type="dxa"/>
            <w:vAlign w:val="bottom"/>
            <w:tcBorders>
              <w:bottom w:val="single" w:sz="8" w:color="216C2B"/>
            </w:tcBorders>
          </w:tcPr>
          <w:p>
            <w:pPr>
              <w:spacing w:after="0"/>
              <w:rPr>
                <w:sz w:val="2"/>
                <w:szCs w:val="2"/>
                <w:color w:val="auto"/>
              </w:rPr>
            </w:pPr>
          </w:p>
        </w:tc>
        <w:tc>
          <w:tcPr>
            <w:tcW w:w="840" w:type="dxa"/>
            <w:vAlign w:val="bottom"/>
            <w:tcBorders>
              <w:bottom w:val="single" w:sz="8" w:color="216C2B"/>
            </w:tcBorders>
          </w:tcPr>
          <w:p>
            <w:pPr>
              <w:spacing w:after="0"/>
              <w:rPr>
                <w:sz w:val="2"/>
                <w:szCs w:val="2"/>
                <w:color w:val="auto"/>
              </w:rPr>
            </w:pPr>
          </w:p>
        </w:tc>
        <w:tc>
          <w:tcPr>
            <w:tcW w:w="2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60" w:type="dxa"/>
            <w:vAlign w:val="bottom"/>
            <w:tcBorders>
              <w:bottom w:val="single" w:sz="8" w:color="216C2B"/>
            </w:tcBorders>
          </w:tcPr>
          <w:p>
            <w:pPr>
              <w:spacing w:after="0"/>
              <w:rPr>
                <w:sz w:val="2"/>
                <w:szCs w:val="2"/>
                <w:color w:val="auto"/>
              </w:rPr>
            </w:pPr>
          </w:p>
        </w:tc>
        <w:tc>
          <w:tcPr>
            <w:tcW w:w="800" w:type="dxa"/>
            <w:vAlign w:val="bottom"/>
            <w:tcBorders>
              <w:bottom w:val="single" w:sz="8" w:color="216C2B"/>
            </w:tcBorders>
          </w:tcPr>
          <w:p>
            <w:pPr>
              <w:spacing w:after="0"/>
              <w:rPr>
                <w:sz w:val="2"/>
                <w:szCs w:val="2"/>
                <w:color w:val="auto"/>
              </w:rPr>
            </w:pPr>
          </w:p>
        </w:tc>
        <w:tc>
          <w:tcPr>
            <w:tcW w:w="280" w:type="dxa"/>
            <w:vAlign w:val="bottom"/>
            <w:tcBorders>
              <w:bottom w:val="single" w:sz="8" w:color="216C2B"/>
            </w:tcBorders>
          </w:tcPr>
          <w:p>
            <w:pPr>
              <w:spacing w:after="0"/>
              <w:rPr>
                <w:sz w:val="2"/>
                <w:szCs w:val="2"/>
                <w:color w:val="auto"/>
              </w:rPr>
            </w:pPr>
          </w:p>
        </w:tc>
        <w:tc>
          <w:tcPr>
            <w:tcW w:w="1440" w:type="dxa"/>
            <w:vAlign w:val="bottom"/>
            <w:tcBorders>
              <w:bottom w:val="single" w:sz="8" w:color="216C2B"/>
            </w:tcBorders>
            <w:gridSpan w:val="3"/>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220" w:type="dxa"/>
            <w:vAlign w:val="bottom"/>
            <w:tcBorders>
              <w:bottom w:val="single" w:sz="8" w:color="216C2B"/>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gridSpan w:val="2"/>
          </w:tcPr>
          <w:p>
            <w:pPr>
              <w:jc w:val="right"/>
              <w:ind w:right="47"/>
              <w:spacing w:after="0"/>
              <w:rPr>
                <w:sz w:val="20"/>
                <w:szCs w:val="20"/>
                <w:color w:val="auto"/>
              </w:rPr>
            </w:pPr>
            <w:r>
              <w:rPr>
                <w:rFonts w:ascii="Arial" w:cs="Arial" w:eastAsia="Arial" w:hAnsi="Arial"/>
                <w:sz w:val="15"/>
                <w:szCs w:val="15"/>
                <w:b w:val="1"/>
                <w:bCs w:val="1"/>
                <w:color w:val="auto"/>
              </w:rPr>
              <w:t>June 30, 2025</w:t>
            </w:r>
          </w:p>
        </w:tc>
        <w:tc>
          <w:tcPr>
            <w:tcW w:w="30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3"/>
          </w:tcPr>
          <w:p>
            <w:pPr>
              <w:ind w:left="120"/>
              <w:spacing w:after="0"/>
              <w:rPr>
                <w:sz w:val="20"/>
                <w:szCs w:val="20"/>
                <w:color w:val="auto"/>
              </w:rPr>
            </w:pPr>
            <w:r>
              <w:rPr>
                <w:rFonts w:ascii="Arial" w:cs="Arial" w:eastAsia="Arial" w:hAnsi="Arial"/>
                <w:sz w:val="15"/>
                <w:szCs w:val="15"/>
                <w:b w:val="1"/>
                <w:bCs w:val="1"/>
                <w:color w:val="auto"/>
                <w:w w:val="96"/>
              </w:rPr>
              <w:t>December 31, 2024</w:t>
            </w: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jc w:val="right"/>
              <w:ind w:right="87"/>
              <w:spacing w:after="0"/>
              <w:rPr>
                <w:sz w:val="20"/>
                <w:szCs w:val="20"/>
                <w:color w:val="auto"/>
              </w:rPr>
            </w:pPr>
            <w:r>
              <w:rPr>
                <w:rFonts w:ascii="Arial" w:cs="Arial" w:eastAsia="Arial" w:hAnsi="Arial"/>
                <w:sz w:val="15"/>
                <w:szCs w:val="15"/>
                <w:b w:val="1"/>
                <w:bCs w:val="1"/>
                <w:color w:val="auto"/>
                <w:w w:val="98"/>
              </w:rPr>
              <w:t>Single-family</w:t>
            </w:r>
          </w:p>
        </w:tc>
        <w:tc>
          <w:tcPr>
            <w:tcW w:w="24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gridSpan w:val="2"/>
          </w:tcPr>
          <w:p>
            <w:pPr>
              <w:jc w:val="right"/>
              <w:ind w:right="187"/>
              <w:spacing w:after="0"/>
              <w:rPr>
                <w:sz w:val="20"/>
                <w:szCs w:val="20"/>
                <w:color w:val="auto"/>
              </w:rPr>
            </w:pPr>
            <w:r>
              <w:rPr>
                <w:rFonts w:ascii="Arial" w:cs="Arial" w:eastAsia="Arial" w:hAnsi="Arial"/>
                <w:sz w:val="15"/>
                <w:szCs w:val="15"/>
                <w:b w:val="1"/>
                <w:bCs w:val="1"/>
                <w:color w:val="auto"/>
              </w:rPr>
              <w:t>Multifamily</w:t>
            </w:r>
          </w:p>
        </w:tc>
        <w:tc>
          <w:tcPr>
            <w:tcW w:w="1680" w:type="dxa"/>
            <w:vAlign w:val="bottom"/>
            <w:tcBorders>
              <w:bottom w:val="single" w:sz="8" w:color="2C6937"/>
            </w:tcBorders>
            <w:gridSpan w:val="5"/>
          </w:tcPr>
          <w:p>
            <w:pPr>
              <w:ind w:left="100"/>
              <w:spacing w:after="0"/>
              <w:rPr>
                <w:sz w:val="20"/>
                <w:szCs w:val="20"/>
                <w:color w:val="auto"/>
              </w:rPr>
            </w:pPr>
            <w:r>
              <w:rPr>
                <w:rFonts w:ascii="Arial" w:cs="Arial" w:eastAsia="Arial" w:hAnsi="Arial"/>
                <w:sz w:val="15"/>
                <w:szCs w:val="15"/>
                <w:b w:val="1"/>
                <w:bCs w:val="1"/>
                <w:color w:val="auto"/>
              </w:rPr>
              <w:t>Consolidated Total</w:t>
            </w:r>
          </w:p>
        </w:tc>
        <w:tc>
          <w:tcPr>
            <w:tcW w:w="1080" w:type="dxa"/>
            <w:vAlign w:val="bottom"/>
            <w:tcBorders>
              <w:bottom w:val="single" w:sz="8" w:color="2C6937"/>
            </w:tcBorders>
            <w:gridSpan w:val="2"/>
          </w:tcPr>
          <w:p>
            <w:pPr>
              <w:jc w:val="right"/>
              <w:ind w:right="87"/>
              <w:spacing w:after="0"/>
              <w:rPr>
                <w:sz w:val="20"/>
                <w:szCs w:val="20"/>
                <w:color w:val="auto"/>
              </w:rPr>
            </w:pPr>
            <w:r>
              <w:rPr>
                <w:rFonts w:ascii="Arial" w:cs="Arial" w:eastAsia="Arial" w:hAnsi="Arial"/>
                <w:sz w:val="15"/>
                <w:szCs w:val="15"/>
                <w:b w:val="1"/>
                <w:bCs w:val="1"/>
                <w:color w:val="auto"/>
                <w:w w:val="96"/>
              </w:rPr>
              <w:t>Single-family</w:t>
            </w:r>
          </w:p>
        </w:tc>
        <w:tc>
          <w:tcPr>
            <w:tcW w:w="280" w:type="dxa"/>
            <w:vAlign w:val="bottom"/>
            <w:tcBorders>
              <w:bottom w:val="single" w:sz="8" w:color="2C6937"/>
            </w:tcBorders>
          </w:tcPr>
          <w:p>
            <w:pPr>
              <w:spacing w:after="0"/>
              <w:rPr>
                <w:sz w:val="22"/>
                <w:szCs w:val="22"/>
                <w:color w:val="auto"/>
              </w:rPr>
            </w:pPr>
          </w:p>
        </w:tc>
        <w:tc>
          <w:tcPr>
            <w:tcW w:w="1160" w:type="dxa"/>
            <w:vAlign w:val="bottom"/>
            <w:tcBorders>
              <w:bottom w:val="single" w:sz="8" w:color="2C6937"/>
            </w:tcBorders>
            <w:gridSpan w:val="2"/>
          </w:tcPr>
          <w:p>
            <w:pPr>
              <w:jc w:val="right"/>
              <w:ind w:right="267"/>
              <w:spacing w:after="0"/>
              <w:rPr>
                <w:sz w:val="20"/>
                <w:szCs w:val="20"/>
                <w:color w:val="auto"/>
              </w:rPr>
            </w:pPr>
            <w:r>
              <w:rPr>
                <w:rFonts w:ascii="Arial" w:cs="Arial" w:eastAsia="Arial" w:hAnsi="Arial"/>
                <w:sz w:val="15"/>
                <w:szCs w:val="15"/>
                <w:b w:val="1"/>
                <w:bCs w:val="1"/>
                <w:color w:val="auto"/>
              </w:rPr>
              <w:t>Multifamily</w:t>
            </w:r>
          </w:p>
        </w:tc>
        <w:tc>
          <w:tcPr>
            <w:tcW w:w="134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w w:val="96"/>
              </w:rPr>
              <w:t>Consolidated Total</w:t>
            </w:r>
          </w:p>
        </w:tc>
        <w:tc>
          <w:tcPr>
            <w:tcW w:w="0" w:type="dxa"/>
            <w:vAlign w:val="bottom"/>
          </w:tcPr>
          <w:p>
            <w:pPr>
              <w:spacing w:after="0"/>
              <w:rPr>
                <w:sz w:val="1"/>
                <w:szCs w:val="1"/>
                <w:color w:val="auto"/>
              </w:rPr>
            </w:pPr>
          </w:p>
        </w:tc>
      </w:tr>
      <w:tr>
        <w:trPr>
          <w:trHeight w:val="193"/>
        </w:trPr>
        <w:tc>
          <w:tcPr>
            <w:tcW w:w="3100" w:type="dxa"/>
            <w:vAlign w:val="bottom"/>
            <w:vMerge w:val="restart"/>
          </w:tcPr>
          <w:p>
            <w:pPr>
              <w:spacing w:after="0"/>
              <w:rPr>
                <w:sz w:val="20"/>
                <w:szCs w:val="20"/>
                <w:color w:val="auto"/>
              </w:rPr>
            </w:pPr>
            <w:r>
              <w:rPr>
                <w:rFonts w:ascii="Arial" w:cs="Arial" w:eastAsia="Arial" w:hAnsi="Arial"/>
                <w:sz w:val="15"/>
                <w:szCs w:val="15"/>
                <w:b w:val="1"/>
                <w:bCs w:val="1"/>
                <w:color w:val="auto"/>
              </w:rPr>
              <w:t>Credit loss reserves as a percentage of:</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5"/>
          </w:tcPr>
          <w:p>
            <w:pPr>
              <w:jc w:val="right"/>
              <w:ind w:right="247"/>
              <w:spacing w:after="0"/>
              <w:rPr>
                <w:sz w:val="20"/>
                <w:szCs w:val="20"/>
                <w:color w:val="auto"/>
              </w:rPr>
            </w:pPr>
            <w:r>
              <w:rPr>
                <w:rFonts w:ascii="Arial" w:cs="Arial" w:eastAsia="Arial" w:hAnsi="Arial"/>
                <w:sz w:val="15"/>
                <w:szCs w:val="15"/>
                <w:b w:val="1"/>
                <w:bCs w:val="1"/>
                <w:color w:val="auto"/>
              </w:rPr>
              <w:t>(Dollars in millions)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0.16</w:t>
            </w:r>
          </w:p>
        </w:tc>
        <w:tc>
          <w:tcPr>
            <w:tcW w:w="260" w:type="dxa"/>
            <w:vAlign w:val="bottom"/>
          </w:tcPr>
          <w:p>
            <w:pPr>
              <w:jc w:val="right"/>
              <w:ind w:right="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0.49</w:t>
            </w:r>
          </w:p>
        </w:tc>
        <w:tc>
          <w:tcPr>
            <w:tcW w:w="30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0.20</w:t>
            </w:r>
          </w:p>
        </w:tc>
        <w:tc>
          <w:tcPr>
            <w:tcW w:w="28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0.15</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0.48</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0.19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Nonaccrual loans at amortized cost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21.55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86.80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27.84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19.95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95.27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26.43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100" w:type="dxa"/>
            <w:vAlign w:val="bottom"/>
          </w:tcPr>
          <w:p>
            <w:pPr>
              <w:spacing w:after="0"/>
              <w:rPr>
                <w:sz w:val="20"/>
                <w:szCs w:val="20"/>
                <w:color w:val="auto"/>
              </w:rPr>
            </w:pPr>
            <w:r>
              <w:rPr>
                <w:rFonts w:ascii="Arial" w:cs="Arial" w:eastAsia="Arial" w:hAnsi="Arial"/>
                <w:sz w:val="15"/>
                <w:szCs w:val="15"/>
                <w:b w:val="1"/>
                <w:bCs w:val="1"/>
                <w:color w:val="auto"/>
              </w:rPr>
              <w:t>Nonaccrual loans as a percentage of:</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0.75</w:t>
            </w:r>
          </w:p>
        </w:tc>
        <w:tc>
          <w:tcPr>
            <w:tcW w:w="260" w:type="dxa"/>
            <w:vAlign w:val="bottom"/>
          </w:tcPr>
          <w:p>
            <w:pPr>
              <w:jc w:val="right"/>
              <w:ind w:right="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0.56</w:t>
            </w:r>
          </w:p>
        </w:tc>
        <w:tc>
          <w:tcPr>
            <w:tcW w:w="30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0.72</w:t>
            </w:r>
          </w:p>
        </w:tc>
        <w:tc>
          <w:tcPr>
            <w:tcW w:w="28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0.74</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0.50</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0.71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93"/>
        </w:trPr>
        <w:tc>
          <w:tcPr>
            <w:tcW w:w="3100" w:type="dxa"/>
            <w:vAlign w:val="bottom"/>
          </w:tcPr>
          <w:p>
            <w:pPr>
              <w:spacing w:after="0"/>
              <w:rPr>
                <w:sz w:val="20"/>
                <w:szCs w:val="20"/>
                <w:color w:val="auto"/>
              </w:rPr>
            </w:pPr>
            <w:r>
              <w:rPr>
                <w:rFonts w:ascii="Arial" w:cs="Arial" w:eastAsia="Arial" w:hAnsi="Arial"/>
                <w:sz w:val="15"/>
                <w:szCs w:val="15"/>
                <w:b w:val="1"/>
                <w:bCs w:val="1"/>
                <w:color w:val="auto"/>
              </w:rPr>
              <w:t>Select financial information used in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160"/>
              <w:spacing w:after="0"/>
              <w:rPr>
                <w:sz w:val="20"/>
                <w:szCs w:val="20"/>
                <w:color w:val="auto"/>
              </w:rPr>
            </w:pPr>
            <w:r>
              <w:rPr>
                <w:rFonts w:ascii="Arial" w:cs="Arial" w:eastAsia="Arial" w:hAnsi="Arial"/>
                <w:sz w:val="15"/>
                <w:szCs w:val="15"/>
                <w:b w:val="1"/>
                <w:bCs w:val="1"/>
                <w:color w:val="auto"/>
              </w:rPr>
              <w:t>calculating credit ratios: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00" w:type="dxa"/>
            <w:vAlign w:val="bottom"/>
          </w:tcPr>
          <w:p>
            <w:pPr>
              <w:ind w:left="16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(5,789)</w:t>
            </w: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(2,485)</w:t>
            </w:r>
          </w:p>
        </w:tc>
        <w:tc>
          <w:tcPr>
            <w:tcW w:w="30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(8,274)</w:t>
            </w:r>
          </w:p>
        </w:tc>
        <w:tc>
          <w:tcPr>
            <w:tcW w:w="5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(5,332)</w:t>
            </w:r>
          </w:p>
        </w:tc>
        <w:tc>
          <w:tcPr>
            <w:tcW w:w="280" w:type="dxa"/>
            <w:vAlign w:val="bottom"/>
          </w:tcPr>
          <w:p>
            <w:pPr>
              <w:spacing w:after="0"/>
              <w:rPr>
                <w:sz w:val="20"/>
                <w:szCs w:val="20"/>
                <w:color w:val="auto"/>
              </w:rPr>
            </w:pP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(2,398)</w:t>
            </w:r>
          </w:p>
        </w:tc>
        <w:tc>
          <w:tcPr>
            <w:tcW w:w="3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(7,730)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3,591,458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510,767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4,102,225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3,617,267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499,652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4,116,919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00" w:type="dxa"/>
            <w:vAlign w:val="bottom"/>
          </w:tcPr>
          <w:p>
            <w:pPr>
              <w:ind w:left="160"/>
              <w:spacing w:after="0"/>
              <w:rPr>
                <w:sz w:val="20"/>
                <w:szCs w:val="20"/>
                <w:color w:val="auto"/>
              </w:rPr>
            </w:pPr>
            <w:r>
              <w:rPr>
                <w:rFonts w:ascii="Arial" w:cs="Arial" w:eastAsia="Arial" w:hAnsi="Arial"/>
                <w:sz w:val="15"/>
                <w:szCs w:val="15"/>
                <w:color w:val="auto"/>
              </w:rPr>
              <w:t>Nonaccrual loans at amortized cost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26,861</w:t>
            </w:r>
          </w:p>
        </w:tc>
        <w:tc>
          <w:tcPr>
            <w:tcW w:w="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2,863</w:t>
            </w:r>
          </w:p>
        </w:tc>
        <w:tc>
          <w:tcPr>
            <w:tcW w:w="3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29,724</w:t>
            </w:r>
          </w:p>
        </w:tc>
        <w:tc>
          <w:tcPr>
            <w:tcW w:w="5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26,728</w:t>
            </w:r>
          </w:p>
        </w:tc>
        <w:tc>
          <w:tcPr>
            <w:tcW w:w="28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2,517</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29,245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20" w:hanging="217"/>
        <w:spacing w:after="0"/>
        <w:tabs>
          <w:tab w:leader="none" w:pos="2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Credit loss reserves are comprised of our allowance for loan losses, allowance for accrued interest receivable, and reserve for guaranty losses.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3" w:name="page44"/>
    <w:bookmarkEnd w:id="43"/>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gridSpan w:val="9"/>
          </w:tcPr>
          <w:p>
            <w:pPr>
              <w:jc w:val="center"/>
              <w:ind w:right="27"/>
              <w:spacing w:after="0"/>
              <w:rPr>
                <w:sz w:val="20"/>
                <w:szCs w:val="20"/>
                <w:color w:val="auto"/>
              </w:rPr>
            </w:pPr>
            <w:r>
              <w:rPr>
                <w:rFonts w:ascii="Arial" w:cs="Arial" w:eastAsia="Arial" w:hAnsi="Arial"/>
                <w:sz w:val="15"/>
                <w:szCs w:val="15"/>
                <w:b w:val="1"/>
                <w:bCs w:val="1"/>
                <w:color w:val="auto"/>
                <w:w w:val="97"/>
              </w:rPr>
              <w:t>For the Three Months Ended 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60" w:type="dxa"/>
            <w:vAlign w:val="bottom"/>
            <w:tcBorders>
              <w:bottom w:val="single" w:sz="8" w:color="216C2B"/>
            </w:tcBorders>
          </w:tcPr>
          <w:p>
            <w:pPr>
              <w:spacing w:after="0"/>
              <w:rPr>
                <w:sz w:val="2"/>
                <w:szCs w:val="2"/>
                <w:color w:val="auto"/>
              </w:rPr>
            </w:pPr>
          </w:p>
        </w:tc>
        <w:tc>
          <w:tcPr>
            <w:tcW w:w="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287"/>
              <w:spacing w:after="0"/>
              <w:rPr>
                <w:sz w:val="20"/>
                <w:szCs w:val="20"/>
                <w:color w:val="auto"/>
              </w:rPr>
            </w:pPr>
            <w:r>
              <w:rPr>
                <w:rFonts w:ascii="Arial" w:cs="Arial" w:eastAsia="Arial" w:hAnsi="Arial"/>
                <w:sz w:val="15"/>
                <w:szCs w:val="15"/>
                <w:b w:val="1"/>
                <w:bCs w:val="1"/>
                <w:color w:val="auto"/>
              </w:rPr>
              <w:t>2025</w:t>
            </w: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ind w:right="87"/>
              <w:spacing w:after="0"/>
              <w:rPr>
                <w:sz w:val="20"/>
                <w:szCs w:val="20"/>
                <w:color w:val="auto"/>
              </w:rPr>
            </w:pPr>
            <w:r>
              <w:rPr>
                <w:rFonts w:ascii="Arial" w:cs="Arial" w:eastAsia="Arial" w:hAnsi="Arial"/>
                <w:sz w:val="15"/>
                <w:szCs w:val="15"/>
                <w:b w:val="1"/>
                <w:bCs w:val="1"/>
                <w:color w:val="auto"/>
                <w:w w:val="99"/>
              </w:rPr>
              <w:t>Multifamily</w:t>
            </w: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6"/>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 percentage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of the average guaranty book of business (in bps)</w:t>
            </w:r>
          </w:p>
        </w:tc>
        <w:tc>
          <w:tcPr>
            <w:tcW w:w="100" w:type="dxa"/>
            <w:vAlign w:val="bottom"/>
          </w:tcPr>
          <w:p>
            <w:pPr>
              <w:spacing w:after="0"/>
              <w:rPr>
                <w:sz w:val="18"/>
                <w:szCs w:val="18"/>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397"/>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02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7"/>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163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122</w:t>
            </w:r>
          </w:p>
        </w:tc>
        <w:tc>
          <w:tcPr>
            <w:tcW w:w="38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285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181</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(112)</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110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89</w:t>
            </w:r>
          </w:p>
        </w:tc>
        <w:tc>
          <w:tcPr>
            <w:tcW w:w="38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199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3,596,978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507,648</w:t>
            </w:r>
          </w:p>
        </w:tc>
        <w:tc>
          <w:tcPr>
            <w:tcW w:w="38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4,104,626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3,624,820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478,506</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4,103,326</w:t>
            </w:r>
          </w:p>
        </w:tc>
      </w:tr>
    </w:tbl>
    <w:p>
      <w:pPr>
        <w:spacing w:after="0" w:line="224"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For the Six Months Ended June 30,</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60"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106"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20" w:type="dxa"/>
            <w:vAlign w:val="bottom"/>
            <w:tcBorders>
              <w:top w:val="single" w:sz="8" w:color="216C2B"/>
              <w:bottom w:val="single" w:sz="8" w:color="2C6937"/>
            </w:tcBorders>
          </w:tcPr>
          <w:p>
            <w:pPr>
              <w:spacing w:after="0"/>
              <w:rPr>
                <w:sz w:val="17"/>
                <w:szCs w:val="17"/>
                <w:color w:val="auto"/>
              </w:rPr>
            </w:pPr>
          </w:p>
        </w:tc>
        <w:tc>
          <w:tcPr>
            <w:tcW w:w="1320" w:type="dxa"/>
            <w:vAlign w:val="bottom"/>
            <w:tcBorders>
              <w:top w:val="single" w:sz="8" w:color="216C2B"/>
              <w:bottom w:val="single" w:sz="8" w:color="2C6937"/>
            </w:tcBorders>
          </w:tcPr>
          <w:p>
            <w:pPr>
              <w:jc w:val="right"/>
              <w:ind w:right="527"/>
              <w:spacing w:after="0"/>
              <w:rPr>
                <w:sz w:val="20"/>
                <w:szCs w:val="20"/>
                <w:color w:val="auto"/>
              </w:rPr>
            </w:pPr>
            <w:r>
              <w:rPr>
                <w:rFonts w:ascii="Arial" w:cs="Arial" w:eastAsia="Arial" w:hAnsi="Arial"/>
                <w:sz w:val="15"/>
                <w:szCs w:val="15"/>
                <w:b w:val="1"/>
                <w:bCs w:val="1"/>
                <w:color w:val="auto"/>
              </w:rPr>
              <w:t>2025</w:t>
            </w:r>
          </w:p>
        </w:tc>
        <w:tc>
          <w:tcPr>
            <w:tcW w:w="102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1220" w:type="dxa"/>
            <w:vAlign w:val="bottom"/>
            <w:tcBorders>
              <w:top w:val="single" w:sz="8" w:color="216C2B"/>
              <w:bottom w:val="single" w:sz="8" w:color="2C6937"/>
            </w:tcBorders>
          </w:tcPr>
          <w:p>
            <w:pPr>
              <w:spacing w:after="0"/>
              <w:rPr>
                <w:sz w:val="17"/>
                <w:szCs w:val="17"/>
                <w:color w:val="auto"/>
              </w:rPr>
            </w:pPr>
          </w:p>
        </w:tc>
        <w:tc>
          <w:tcPr>
            <w:tcW w:w="1340" w:type="dxa"/>
            <w:vAlign w:val="bottom"/>
            <w:tcBorders>
              <w:top w:val="single" w:sz="8" w:color="216C2B"/>
              <w:bottom w:val="single" w:sz="8" w:color="2C6937"/>
            </w:tcBorders>
          </w:tcPr>
          <w:p>
            <w:pPr>
              <w:jc w:val="right"/>
              <w:ind w:right="547"/>
              <w:spacing w:after="0"/>
              <w:rPr>
                <w:sz w:val="20"/>
                <w:szCs w:val="20"/>
                <w:color w:val="auto"/>
              </w:rPr>
            </w:pPr>
            <w:r>
              <w:rPr>
                <w:rFonts w:ascii="Arial" w:cs="Arial" w:eastAsia="Arial" w:hAnsi="Arial"/>
                <w:sz w:val="15"/>
                <w:szCs w:val="15"/>
                <w:b w:val="1"/>
                <w:bCs w:val="1"/>
                <w:color w:val="auto"/>
              </w:rPr>
              <w:t>2024</w:t>
            </w:r>
          </w:p>
        </w:tc>
        <w:tc>
          <w:tcPr>
            <w:tcW w:w="1000" w:type="dxa"/>
            <w:vAlign w:val="bottom"/>
            <w:tcBorders>
              <w:top w:val="single" w:sz="8" w:color="216C2B"/>
              <w:bottom w:val="single" w:sz="8" w:color="2C6937"/>
            </w:tcBorders>
          </w:tcPr>
          <w:p>
            <w:pPr>
              <w:spacing w:after="0"/>
              <w:rPr>
                <w:sz w:val="17"/>
                <w:szCs w:val="17"/>
                <w:color w:val="auto"/>
              </w:rPr>
            </w:pPr>
          </w:p>
        </w:tc>
      </w:tr>
      <w:tr>
        <w:trPr>
          <w:trHeight w:val="264"/>
        </w:trPr>
        <w:tc>
          <w:tcPr>
            <w:tcW w:w="12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center"/>
              <w:ind w:right="167"/>
              <w:spacing w:after="0"/>
              <w:rPr>
                <w:sz w:val="20"/>
                <w:szCs w:val="20"/>
                <w:color w:val="auto"/>
              </w:rPr>
            </w:pPr>
            <w:r>
              <w:rPr>
                <w:rFonts w:ascii="Arial" w:cs="Arial" w:eastAsia="Arial" w:hAnsi="Arial"/>
                <w:sz w:val="15"/>
                <w:szCs w:val="15"/>
                <w:b w:val="1"/>
                <w:bCs w:val="1"/>
                <w:color w:val="auto"/>
                <w:w w:val="96"/>
              </w:rPr>
              <w:t>Multifamily</w:t>
            </w:r>
          </w:p>
        </w:tc>
        <w:tc>
          <w:tcPr>
            <w:tcW w:w="1120" w:type="dxa"/>
            <w:vAlign w:val="bottom"/>
            <w:tcBorders>
              <w:bottom w:val="single" w:sz="8" w:color="2C6937"/>
            </w:tcBorders>
            <w:gridSpan w:val="2"/>
          </w:tcPr>
          <w:p>
            <w:pPr>
              <w:ind w:left="280"/>
              <w:spacing w:after="0"/>
              <w:rPr>
                <w:sz w:val="20"/>
                <w:szCs w:val="20"/>
                <w:color w:val="auto"/>
              </w:rPr>
            </w:pPr>
            <w:r>
              <w:rPr>
                <w:rFonts w:ascii="Arial" w:cs="Arial" w:eastAsia="Arial" w:hAnsi="Arial"/>
                <w:sz w:val="15"/>
                <w:szCs w:val="15"/>
                <w:b w:val="1"/>
                <w:bCs w:val="1"/>
                <w:color w:val="auto"/>
              </w:rPr>
              <w:t>Total</w:t>
            </w:r>
          </w:p>
        </w:tc>
        <w:tc>
          <w:tcPr>
            <w:tcW w:w="12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40" w:type="dxa"/>
            <w:vAlign w:val="bottom"/>
            <w:tcBorders>
              <w:bottom w:val="single" w:sz="8" w:color="2C6937"/>
            </w:tcBorders>
          </w:tcPr>
          <w:p>
            <w:pPr>
              <w:jc w:val="center"/>
              <w:ind w:right="147"/>
              <w:spacing w:after="0"/>
              <w:rPr>
                <w:sz w:val="20"/>
                <w:szCs w:val="20"/>
                <w:color w:val="auto"/>
              </w:rPr>
            </w:pPr>
            <w:r>
              <w:rPr>
                <w:rFonts w:ascii="Arial" w:cs="Arial" w:eastAsia="Arial" w:hAnsi="Arial"/>
                <w:sz w:val="15"/>
                <w:szCs w:val="15"/>
                <w:b w:val="1"/>
                <w:bCs w:val="1"/>
                <w:color w:val="auto"/>
                <w:w w:val="96"/>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gridSpan w:val="3"/>
          </w:tcPr>
          <w:p>
            <w:pPr>
              <w:jc w:val="right"/>
              <w:ind w:right="527"/>
              <w:spacing w:after="0"/>
              <w:rPr>
                <w:sz w:val="20"/>
                <w:szCs w:val="20"/>
                <w:color w:val="auto"/>
              </w:rPr>
            </w:pPr>
            <w:r>
              <w:rPr>
                <w:rFonts w:ascii="Arial" w:cs="Arial" w:eastAsia="Arial" w:hAnsi="Arial"/>
                <w:sz w:val="15"/>
                <w:szCs w:val="15"/>
                <w:b w:val="1"/>
                <w:bCs w:val="1"/>
                <w:color w:val="auto"/>
              </w:rPr>
              <w:t>(Dollars in millions)</w:t>
            </w: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2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1.5</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4.8</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1220" w:type="dxa"/>
            <w:vAlign w:val="bottom"/>
          </w:tcPr>
          <w:p>
            <w:pPr>
              <w:jc w:val="right"/>
              <w:ind w:right="107"/>
              <w:spacing w:after="0"/>
              <w:rPr>
                <w:sz w:val="20"/>
                <w:szCs w:val="20"/>
                <w:color w:val="auto"/>
              </w:rPr>
            </w:pPr>
            <w:r>
              <w:rPr>
                <w:rFonts w:ascii="Arial" w:cs="Arial" w:eastAsia="Arial" w:hAnsi="Arial"/>
                <w:sz w:val="15"/>
                <w:szCs w:val="15"/>
                <w:color w:val="auto"/>
              </w:rPr>
              <w:t>0.6</w:t>
            </w:r>
          </w:p>
        </w:tc>
        <w:tc>
          <w:tcPr>
            <w:tcW w:w="1340" w:type="dxa"/>
            <w:vAlign w:val="bottom"/>
          </w:tcPr>
          <w:p>
            <w:pPr>
              <w:jc w:val="right"/>
              <w:ind w:right="207"/>
              <w:spacing w:after="0"/>
              <w:rPr>
                <w:sz w:val="20"/>
                <w:szCs w:val="20"/>
                <w:color w:val="auto"/>
              </w:rPr>
            </w:pPr>
            <w:r>
              <w:rPr>
                <w:rFonts w:ascii="Arial" w:cs="Arial" w:eastAsia="Arial" w:hAnsi="Arial"/>
                <w:sz w:val="15"/>
                <w:szCs w:val="15"/>
                <w:color w:val="auto"/>
              </w:rPr>
              <w:t>5.8</w:t>
            </w:r>
          </w:p>
        </w:tc>
        <w:tc>
          <w:tcPr>
            <w:tcW w:w="1000" w:type="dxa"/>
            <w:vAlign w:val="bottom"/>
          </w:tcPr>
          <w:p>
            <w:pPr>
              <w:jc w:val="right"/>
              <w:spacing w:after="0"/>
              <w:rPr>
                <w:sz w:val="20"/>
                <w:szCs w:val="20"/>
                <w:color w:val="auto"/>
              </w:rPr>
            </w:pPr>
            <w:r>
              <w:rPr>
                <w:rFonts w:ascii="Arial" w:cs="Arial" w:eastAsia="Arial" w:hAnsi="Arial"/>
                <w:sz w:val="15"/>
                <w:szCs w:val="15"/>
                <w:color w:val="auto"/>
              </w:rPr>
              <w:t>1.2</w:t>
            </w:r>
          </w:p>
        </w:tc>
      </w:tr>
    </w:tbl>
    <w:p>
      <w:pPr>
        <w:spacing w:after="0" w:line="495" w:lineRule="exact"/>
        <w:rPr>
          <w:sz w:val="20"/>
          <w:szCs w:val="20"/>
          <w:color w:val="auto"/>
        </w:rPr>
      </w:pPr>
    </w:p>
    <w:p>
      <w:pPr>
        <w:sectPr>
          <w:pgSz w:w="11900" w:h="16838" w:orient="portrait"/>
          <w:cols w:equalWidth="0" w:num="2">
            <w:col w:w="3840" w:space="180"/>
            <w:col w:w="7220"/>
          </w:cols>
          <w:pgMar w:left="320" w:top="24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354</w:t>
            </w:r>
          </w:p>
        </w:tc>
        <w:tc>
          <w:tcPr>
            <w:tcW w:w="8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183</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537</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260</w:t>
            </w:r>
          </w:p>
        </w:tc>
        <w:tc>
          <w:tcPr>
            <w:tcW w:w="10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431</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w:t>
            </w:r>
          </w:p>
        </w:tc>
        <w:tc>
          <w:tcPr>
            <w:tcW w:w="8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(61)</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(147)</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(192)</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268</w:t>
            </w:r>
          </w:p>
        </w:tc>
        <w:tc>
          <w:tcPr>
            <w:tcW w:w="8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122</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390</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239</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3,603,741</w:t>
            </w:r>
          </w:p>
        </w:tc>
        <w:tc>
          <w:tcPr>
            <w:tcW w:w="8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504,983</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4,108,724</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3,628,792</w:t>
            </w:r>
          </w:p>
        </w:tc>
        <w:tc>
          <w:tcPr>
            <w:tcW w:w="10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475,803</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4,104,595</w:t>
            </w:r>
          </w:p>
        </w:tc>
      </w:tr>
    </w:tbl>
    <w:p>
      <w:pPr>
        <w:spacing w:after="0" w:line="65" w:lineRule="exact"/>
        <w:rPr>
          <w:sz w:val="20"/>
          <w:szCs w:val="20"/>
          <w:color w:val="auto"/>
        </w:rPr>
      </w:pPr>
    </w:p>
    <w:p>
      <w:pPr>
        <w:ind w:left="220" w:hanging="217"/>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the average of quarter-end balances.</w:t>
      </w:r>
    </w:p>
    <w:p>
      <w:pPr>
        <w:spacing w:after="0" w:line="1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2024 Form 10-K. See “MD&amp;A—Liquidity and Capital Management —Liquidity Management” in our 2024 Form 10-K for additional information, including discussions of our primary sources and uses of funds, our liquidity risk management practices and contingency planning, our liquidity requirements, factors that influence our debt funding activity, factors that may impact our access to or the cost of our debt funding and factors that could adversely affect our liquidity and funding. As of June 30, 2025, we were in compliance with all four components of the liquidity requirements outlined in our 2024 Form 10-K. Also see “Risk Factors—Liquidity Risk” in our 2024 Form 10-K for a discussion of liquidity risks.</w:t>
      </w:r>
    </w:p>
    <w:p>
      <w:pPr>
        <w:spacing w:after="0" w:line="13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6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unpaid principal balance of our aggregate indebtedness was $131.3 billion as of June 30, 2025. Pursuant to the terms of the senior preferred stock purchase agreement with Treasury, we are prohibited from issuing debt without the prior consent of Treasury if it would result in our aggregate indebtedness exceeding our outstanding debt limit, which is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4" w:name="page45"/>
    <w:bookmarkEnd w:id="4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set to $270 billion. The calculation of our indebtedness for purposes of complying with our debt limit reflects the unpaid principal balance and excludes debt basis adjustments and debt of consolidated trusts.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 Our outstanding debt decreased in the first half of 2025 as our funding needs were primarily satisfied by earnings retained from our operations.</w:t>
      </w:r>
    </w:p>
    <w:p>
      <w:pPr>
        <w:spacing w:after="0" w:line="16"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7620</wp:posOffset>
            </wp:positionV>
            <wp:extent cx="4886960" cy="23983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8696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maturing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excluding portion maturing within one year</w:t>
      </w:r>
    </w:p>
    <w:p>
      <w:pPr>
        <w:spacing w:after="0" w:line="142" w:lineRule="exact"/>
        <w:rPr>
          <w:sz w:val="20"/>
          <w:szCs w:val="20"/>
          <w:color w:val="auto"/>
        </w:rPr>
      </w:pPr>
    </w:p>
    <w:p>
      <w:pPr>
        <w:ind w:left="240" w:right="620" w:hanging="237"/>
        <w:spacing w:after="0" w:line="264" w:lineRule="auto"/>
        <w:tabs>
          <w:tab w:leader="none" w:pos="233" w:val="left"/>
        </w:tabs>
        <w:numPr>
          <w:ilvl w:val="0"/>
          <w:numId w:val="37"/>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$2.9 billion and $3.7 billion as of June 30, 2025 and December 31, 2024, respectively.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1400" w:type="dxa"/>
            <w:vAlign w:val="bottom"/>
            <w:tcBorders>
              <w:top w:val="single" w:sz="8" w:color="2C6937"/>
              <w:bottom w:val="single" w:sz="8" w:color="2C6937"/>
            </w:tcBorders>
          </w:tcPr>
          <w:p>
            <w:pPr>
              <w:spacing w:after="0"/>
              <w:rPr>
                <w:sz w:val="18"/>
                <w:szCs w:val="18"/>
                <w:color w:val="auto"/>
              </w:rPr>
            </w:pPr>
          </w:p>
        </w:tc>
        <w:tc>
          <w:tcPr>
            <w:tcW w:w="340" w:type="dxa"/>
            <w:vAlign w:val="bottom"/>
            <w:tcBorders>
              <w:top w:val="single" w:sz="8" w:color="2C6937"/>
              <w:bottom w:val="single" w:sz="8" w:color="2C6937"/>
            </w:tcBorders>
          </w:tcPr>
          <w:p>
            <w:pPr>
              <w:spacing w:after="0"/>
              <w:rPr>
                <w:sz w:val="18"/>
                <w:szCs w:val="18"/>
                <w:color w:val="auto"/>
              </w:rPr>
            </w:pPr>
          </w:p>
        </w:tc>
        <w:tc>
          <w:tcPr>
            <w:tcW w:w="46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w w:val="97"/>
              </w:rPr>
              <w:t>As of</w:t>
            </w:r>
          </w:p>
        </w:tc>
        <w:tc>
          <w:tcPr>
            <w:tcW w:w="1640" w:type="dxa"/>
            <w:vAlign w:val="bottom"/>
            <w:tcBorders>
              <w:top w:val="single" w:sz="8" w:color="2C6937"/>
              <w:bottom w:val="single" w:sz="8" w:color="2C6937"/>
            </w:tcBorders>
          </w:tcPr>
          <w:p>
            <w:pPr>
              <w:spacing w:after="0"/>
              <w:rPr>
                <w:sz w:val="18"/>
                <w:szCs w:val="18"/>
                <w:color w:val="auto"/>
              </w:rPr>
            </w:pPr>
          </w:p>
        </w:tc>
      </w:tr>
      <w:tr>
        <w:trPr>
          <w:trHeight w:val="186"/>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June 30, 2025</w:t>
            </w:r>
          </w:p>
        </w:tc>
        <w:tc>
          <w:tcPr>
            <w:tcW w:w="34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2024</w:t>
            </w: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gridSpan w:val="4"/>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208"/>
        </w:trPr>
        <w:tc>
          <w:tcPr>
            <w:tcW w:w="72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gridSpan w:val="2"/>
          </w:tcPr>
          <w:p>
            <w:pPr>
              <w:jc w:val="right"/>
              <w:ind w:right="227"/>
              <w:spacing w:after="0"/>
              <w:rPr>
                <w:sz w:val="20"/>
                <w:szCs w:val="20"/>
                <w:color w:val="auto"/>
              </w:rPr>
            </w:pPr>
            <w:r>
              <w:rPr>
                <w:rFonts w:ascii="Arial" w:cs="Arial" w:eastAsia="Arial" w:hAnsi="Arial"/>
                <w:sz w:val="15"/>
                <w:szCs w:val="15"/>
                <w:b w:val="1"/>
                <w:bCs w:val="1"/>
                <w:color w:val="auto"/>
              </w:rPr>
              <w:t>4.26 %</w:t>
            </w:r>
          </w:p>
        </w:tc>
        <w:tc>
          <w:tcPr>
            <w:tcW w:w="1640" w:type="dxa"/>
            <w:vAlign w:val="bottom"/>
          </w:tcPr>
          <w:p>
            <w:pPr>
              <w:jc w:val="right"/>
              <w:spacing w:after="0"/>
              <w:rPr>
                <w:sz w:val="20"/>
                <w:szCs w:val="20"/>
                <w:color w:val="auto"/>
              </w:rPr>
            </w:pPr>
            <w:r>
              <w:rPr>
                <w:rFonts w:ascii="Arial" w:cs="Arial" w:eastAsia="Arial" w:hAnsi="Arial"/>
                <w:sz w:val="15"/>
                <w:szCs w:val="15"/>
                <w:color w:val="auto"/>
              </w:rPr>
              <w:t>4.33 %</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3.57</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3.30</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3.36</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2.83</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109</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160</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43</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line="198"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1600" w:type="dxa"/>
            <w:vAlign w:val="bottom"/>
            <w:gridSpan w:val="2"/>
          </w:tcPr>
          <w:p>
            <w:pPr>
              <w:jc w:val="right"/>
              <w:ind w:right="1231"/>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35.9</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41.0</w:t>
            </w:r>
          </w:p>
        </w:tc>
      </w:tr>
      <w:tr>
        <w:trPr>
          <w:trHeight w:val="273"/>
        </w:trPr>
        <w:tc>
          <w:tcPr>
            <w:tcW w:w="7200" w:type="dxa"/>
            <w:vAlign w:val="bottom"/>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460" w:type="dxa"/>
            <w:vAlign w:val="bottom"/>
          </w:tcPr>
          <w:p>
            <w:pPr>
              <w:spacing w:after="0"/>
              <w:rPr>
                <w:sz w:val="23"/>
                <w:szCs w:val="23"/>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5" w:name="page46"/>
    <w:bookmarkEnd w:id="45"/>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Includes no short-term callable debt as of June 30, 2025 and $95 million in short-term callable debt as of December 31, 2024.</w:t>
      </w:r>
    </w:p>
    <w:p>
      <w:pPr>
        <w:spacing w:after="0" w:line="38" w:lineRule="exact"/>
        <w:rPr>
          <w:rFonts w:ascii="Arial" w:cs="Arial" w:eastAsia="Arial" w:hAnsi="Arial"/>
          <w:sz w:val="18"/>
          <w:szCs w:val="18"/>
          <w:color w:val="auto"/>
          <w:vertAlign w:val="superscript"/>
        </w:rPr>
      </w:pPr>
    </w:p>
    <w:p>
      <w:pPr>
        <w:ind w:left="240" w:right="460" w:hanging="237"/>
        <w:spacing w:after="0" w:line="246" w:lineRule="auto"/>
        <w:tabs>
          <w:tab w:leader="none" w:pos="233" w:val="left"/>
        </w:tabs>
        <w:numPr>
          <w:ilvl w:val="0"/>
          <w:numId w:val="38"/>
        </w:numPr>
        <w:rPr>
          <w:rFonts w:ascii="Arial" w:cs="Arial" w:eastAsia="Arial" w:hAnsi="Arial"/>
          <w:sz w:val="17"/>
          <w:szCs w:val="17"/>
          <w:color w:val="auto"/>
          <w:vertAlign w:val="superscript"/>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2024 Form 10-K for information regarding our Connecticut Avenue Securities</w:t>
      </w:r>
      <w:r>
        <w:rPr>
          <w:rFonts w:ascii="Arial" w:cs="Arial" w:eastAsia="Arial" w:hAnsi="Arial"/>
          <w:sz w:val="16"/>
          <w:szCs w:val="16"/>
          <w:color w:val="auto"/>
          <w:vertAlign w:val="superscript"/>
        </w:rPr>
        <w:t>®</w:t>
      </w:r>
      <w:r>
        <w:rPr>
          <w:rFonts w:ascii="Arial" w:cs="Arial" w:eastAsia="Arial" w:hAnsi="Arial"/>
          <w:sz w:val="13"/>
          <w:szCs w:val="13"/>
          <w:color w:val="auto"/>
        </w:rPr>
        <w:t>.</w:t>
      </w:r>
    </w:p>
    <w:p>
      <w:pPr>
        <w:ind w:right="160"/>
        <w:spacing w:after="0" w:line="289"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assets in our corporate liquidity portfolio and the issuance of additional debt securities.</w:t>
      </w:r>
    </w:p>
    <w:p>
      <w:pPr>
        <w:spacing w:after="0" w:line="1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2024 Form 10-K.</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2216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Pr>
          <w:p>
            <w:pPr>
              <w:spacing w:after="0"/>
              <w:rPr>
                <w:sz w:val="16"/>
                <w:szCs w:val="16"/>
                <w:color w:val="auto"/>
              </w:rPr>
            </w:pPr>
          </w:p>
        </w:tc>
        <w:tc>
          <w:tcPr>
            <w:tcW w:w="2700" w:type="dxa"/>
            <w:vAlign w:val="bottom"/>
            <w:gridSpan w:val="3"/>
          </w:tcPr>
          <w:p>
            <w:pPr>
              <w:jc w:val="right"/>
              <w:ind w:right="243"/>
              <w:spacing w:after="0"/>
              <w:rPr>
                <w:sz w:val="20"/>
                <w:szCs w:val="20"/>
                <w:color w:val="auto"/>
              </w:rPr>
            </w:pPr>
            <w:r>
              <w:rPr>
                <w:rFonts w:ascii="Arial" w:cs="Arial" w:eastAsia="Arial" w:hAnsi="Arial"/>
                <w:sz w:val="14"/>
                <w:szCs w:val="14"/>
                <w:b w:val="1"/>
                <w:bCs w:val="1"/>
                <w:color w:val="auto"/>
              </w:rPr>
              <w:t>For the Six Months Ended June 30,</w:t>
            </w:r>
          </w:p>
        </w:tc>
      </w:tr>
      <w:tr>
        <w:trPr>
          <w:trHeight w:val="186"/>
        </w:trPr>
        <w:tc>
          <w:tcPr>
            <w:tcW w:w="536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1280" w:type="dxa"/>
            <w:vAlign w:val="bottom"/>
            <w:tcBorders>
              <w:top w:val="single" w:sz="8" w:color="2C6937"/>
              <w:bottom w:val="single" w:sz="8" w:color="2C6937"/>
            </w:tcBorders>
          </w:tcPr>
          <w:p>
            <w:pPr>
              <w:jc w:val="right"/>
              <w:ind w:right="524"/>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2C6937"/>
              <w:bottom w:val="single" w:sz="8" w:color="2C6937"/>
            </w:tcBorders>
          </w:tcPr>
          <w:p>
            <w:pPr>
              <w:spacing w:after="0"/>
              <w:rPr>
                <w:sz w:val="16"/>
                <w:szCs w:val="16"/>
                <w:color w:val="auto"/>
              </w:rPr>
            </w:pPr>
          </w:p>
        </w:tc>
        <w:tc>
          <w:tcPr>
            <w:tcW w:w="1060" w:type="dxa"/>
            <w:vAlign w:val="bottom"/>
            <w:tcBorders>
              <w:top w:val="single" w:sz="8" w:color="2C6937"/>
              <w:bottom w:val="single" w:sz="8" w:color="2C6937"/>
            </w:tcBorders>
          </w:tcPr>
          <w:p>
            <w:pPr>
              <w:jc w:val="right"/>
              <w:ind w:right="4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1240" w:type="dxa"/>
            <w:vAlign w:val="bottom"/>
            <w:tcBorders>
              <w:top w:val="single" w:sz="8" w:color="2C6937"/>
              <w:bottom w:val="single" w:sz="8" w:color="2C6937"/>
            </w:tcBorders>
          </w:tcPr>
          <w:p>
            <w:pPr>
              <w:jc w:val="right"/>
              <w:ind w:right="504"/>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top w:val="single" w:sz="8" w:color="2C6937"/>
              <w:bottom w:val="single" w:sz="8" w:color="2C6937"/>
            </w:tcBorders>
          </w:tcPr>
          <w:p>
            <w:pPr>
              <w:spacing w:after="0"/>
              <w:rPr>
                <w:sz w:val="16"/>
                <w:szCs w:val="16"/>
                <w:color w:val="auto"/>
              </w:rPr>
            </w:pPr>
          </w:p>
        </w:tc>
        <w:tc>
          <w:tcPr>
            <w:tcW w:w="1080" w:type="dxa"/>
            <w:vAlign w:val="bottom"/>
            <w:tcBorders>
              <w:top w:val="single" w:sz="8" w:color="2C6937"/>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8"/>
        </w:trPr>
        <w:tc>
          <w:tcPr>
            <w:tcW w:w="53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93,732</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61,657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177,860</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141,158</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4.22 %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5.30 %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4.25 %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5.29 %</w:t>
            </w: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Long-term:</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4,519</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5,865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10,323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9,857</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4.39 %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4.71 %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5.14 %</w:t>
            </w: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issued: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98,251</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67,522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188,183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151,015</w:t>
            </w: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4.23 %</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5.30 %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4.27 %</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5.28 %</w:t>
            </w:r>
          </w:p>
        </w:tc>
      </w:tr>
      <w:tr>
        <w:trPr>
          <w:trHeight w:val="208"/>
        </w:trPr>
        <w:tc>
          <w:tcPr>
            <w:tcW w:w="53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93,677</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63,895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177,948</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146,459</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4.12 %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4.20 %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4.75 %</w:t>
            </w:r>
          </w:p>
        </w:tc>
      </w:tr>
      <w:tr>
        <w:trPr>
          <w:trHeight w:val="204"/>
        </w:trPr>
        <w:tc>
          <w:tcPr>
            <w:tcW w:w="5360" w:type="dxa"/>
            <w:vAlign w:val="bottom"/>
          </w:tcPr>
          <w:p>
            <w:pPr>
              <w:ind w:left="160"/>
              <w:spacing w:after="0" w:line="205"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(2)</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13,372</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3,543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22,104</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9,958</w:t>
            </w: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2.14 %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2.46 %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3.54 %</w:t>
            </w: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paid off:</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107,049</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67,438</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64"/>
              <w:spacing w:after="0"/>
              <w:rPr>
                <w:sz w:val="20"/>
                <w:szCs w:val="20"/>
                <w:color w:val="auto"/>
              </w:rPr>
            </w:pPr>
            <w:r>
              <w:rPr>
                <w:rFonts w:ascii="Arial" w:cs="Arial" w:eastAsia="Arial" w:hAnsi="Arial"/>
                <w:sz w:val="15"/>
                <w:szCs w:val="15"/>
                <w:b w:val="1"/>
                <w:bCs w:val="1"/>
                <w:color w:val="auto"/>
              </w:rPr>
              <w:t>200,052</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156,417</w:t>
            </w: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3.87 %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4.01 %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4.67 %</w:t>
            </w:r>
          </w:p>
        </w:tc>
      </w:tr>
    </w:tbl>
    <w:p>
      <w:pPr>
        <w:spacing w:after="0" w:line="115" w:lineRule="exact"/>
        <w:rPr>
          <w:sz w:val="20"/>
          <w:szCs w:val="20"/>
          <w:color w:val="auto"/>
        </w:rPr>
      </w:pPr>
    </w:p>
    <w:p>
      <w:pPr>
        <w:ind w:left="240" w:right="260" w:hanging="237"/>
        <w:spacing w:after="0" w:line="226" w:lineRule="auto"/>
        <w:tabs>
          <w:tab w:leader="none" w:pos="23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14" w:lineRule="exact"/>
        <w:rPr>
          <w:rFonts w:ascii="Arial" w:cs="Arial" w:eastAsia="Arial" w:hAnsi="Arial"/>
          <w:sz w:val="18"/>
          <w:szCs w:val="18"/>
          <w:color w:val="auto"/>
          <w:vertAlign w:val="superscript"/>
        </w:rPr>
      </w:pPr>
    </w:p>
    <w:p>
      <w:pPr>
        <w:ind w:left="240" w:right="140" w:hanging="237"/>
        <w:spacing w:after="0" w:line="264" w:lineRule="auto"/>
        <w:tabs>
          <w:tab w:leader="none" w:pos="233" w:val="left"/>
        </w:tabs>
        <w:numPr>
          <w:ilvl w:val="0"/>
          <w:numId w:val="39"/>
        </w:numPr>
        <w:rPr>
          <w:rFonts w:ascii="Arial" w:cs="Arial" w:eastAsia="Arial" w:hAnsi="Arial"/>
          <w:sz w:val="9"/>
          <w:szCs w:val="9"/>
          <w:color w:val="auto"/>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2024 Form 10-K.</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6" w:name="page47"/>
    <w:bookmarkEnd w:id="4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changes in our cash flows, liquidity in the fixed-income markets, and our liquidity risk management framework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-25400</wp:posOffset>
            </wp:positionV>
            <wp:extent cx="4911725" cy="23495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53975</wp:posOffset>
            </wp:positionV>
            <wp:extent cx="130810" cy="1308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Securities purchased under agreements to resell</w:t>
      </w:r>
    </w:p>
    <w:p>
      <w:pPr>
        <w:spacing w:after="0" w:line="7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-138430</wp:posOffset>
            </wp:positionV>
            <wp:extent cx="130810" cy="1308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76" w:lineRule="exact"/>
        <w:rPr>
          <w:sz w:val="20"/>
          <w:szCs w:val="20"/>
          <w:color w:val="auto"/>
        </w:rPr>
      </w:pPr>
    </w:p>
    <w:p>
      <w:pPr>
        <w:ind w:left="220" w:hanging="217"/>
        <w:spacing w:after="0"/>
        <w:tabs>
          <w:tab w:leader="none" w:pos="220" w:val="left"/>
        </w:tabs>
        <w:numPr>
          <w:ilvl w:val="0"/>
          <w:numId w:val="40"/>
        </w:numPr>
        <w:rPr>
          <w:rFonts w:ascii="Arial" w:cs="Arial" w:eastAsia="Arial" w:hAnsi="Arial"/>
          <w:sz w:val="9"/>
          <w:szCs w:val="9"/>
          <w:color w:val="auto"/>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293" w:lineRule="auto"/>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$203.6 billion as of June 30, 2025 and $211.5 billion as of December 31, 2024.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5"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$3.7 billion as of June 30, 2025 and $4.3 billion as of December 31, 2024. These commitments require us to advance funds to third parties that enable them to repurchase tendered bonds or securities that are unable to be remarketed.</w:t>
      </w:r>
    </w:p>
    <w:p>
      <w:pPr>
        <w:spacing w:after="0" w:line="2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investments in various limited partnerships and similar legal entities, which consist of low income housing tax credit (“LIHTC”) investments, community investments and investments in other entities. When we do not have a controlling financial interest in those entities, our condensed consolidated balance sheets reflect only our investment rather than the full amount of the partnership’s assets and liabilities. See “Note 3, Consolidations and Transfers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7" w:name="page48"/>
    <w:bookmarkEnd w:id="47"/>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Assets—Unconsolidated VIEs” for information regarding our investments in limited partnerships and similar legal entities.</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8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u w:val="single" w:color="auto"/>
          <w:color w:val="auto"/>
        </w:rPr>
        <w:t>Six Months Ended June 30, 2025</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$78.8 billion as of December 31, 2024</w:t>
      </w:r>
      <w:r>
        <w:rPr>
          <w:rFonts w:ascii="Arial" w:cs="Arial" w:eastAsia="Arial" w:hAnsi="Arial"/>
          <w:sz w:val="16"/>
          <w:szCs w:val="16"/>
          <w:i w:val="1"/>
          <w:iCs w:val="1"/>
          <w:color w:val="auto"/>
        </w:rPr>
        <w:t xml:space="preserve"> </w:t>
      </w:r>
      <w:r>
        <w:rPr>
          <w:rFonts w:ascii="Arial" w:cs="Arial" w:eastAsia="Arial" w:hAnsi="Arial"/>
          <w:sz w:val="16"/>
          <w:szCs w:val="16"/>
          <w:color w:val="auto"/>
        </w:rPr>
        <w:t>to $78.6 billion as of June 30, 2025. The decrease was primarily driven by cash outflows from (1) payments on outstanding debt of Fannie Mae and consolidated trusts, (2) purchases of loans acquired as held for investment, (3) advances to lenders, and (4) investments in securities purchased under agreements to resell.</w:t>
      </w:r>
    </w:p>
    <w:p>
      <w:pPr>
        <w:spacing w:after="0" w:line="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Largely offsetting these cash outflows were cash inflows primarily from (1) proceeds from repayments of loans and (2) the sale of Fannie Mae MBS to third parties.</w:t>
      </w:r>
    </w:p>
    <w:p>
      <w:pPr>
        <w:spacing w:after="0" w:line="15"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i w:val="1"/>
          <w:iCs w:val="1"/>
          <w:u w:val="single" w:color="auto"/>
          <w:color w:val="auto"/>
        </w:rPr>
        <w:t>Six Months Ended June 30, 2024</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increased from $68.7 billion as of December 31, 2023</w:t>
      </w:r>
      <w:r>
        <w:rPr>
          <w:rFonts w:ascii="Arial" w:cs="Arial" w:eastAsia="Arial" w:hAnsi="Arial"/>
          <w:sz w:val="16"/>
          <w:szCs w:val="16"/>
          <w:i w:val="1"/>
          <w:iCs w:val="1"/>
          <w:color w:val="auto"/>
        </w:rPr>
        <w:t xml:space="preserve"> </w:t>
      </w:r>
      <w:r>
        <w:rPr>
          <w:rFonts w:ascii="Arial" w:cs="Arial" w:eastAsia="Arial" w:hAnsi="Arial"/>
          <w:sz w:val="16"/>
          <w:szCs w:val="16"/>
          <w:color w:val="auto"/>
        </w:rPr>
        <w:t>to $78.3 billion as of June 30, 2024. The increase was primarily driven by cash inflows from (1) proceeds from repayments of loans, (2) the sale of Fannie Mae MBS to third parties, and (3) investments in securities purchased under agreements to resell.</w:t>
      </w:r>
    </w:p>
    <w:p>
      <w:pPr>
        <w:spacing w:after="0" w:line="32"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auto"/>
        </w:rPr>
        <w:t>Partially offsetting these cash inflows were cash outflows from (1) payments on outstanding debt of consolidated trusts, (2) purchases of loans held for investment, and (3) advances to lenders.</w:t>
      </w:r>
    </w:p>
    <w:p>
      <w:pPr>
        <w:spacing w:after="0" w:line="4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our credit ratings issued by the three major credit rating agencies.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Fannie Mae Credit Ratings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Borders>
              <w:top w:val="single" w:sz="8" w:color="2C6937"/>
            </w:tcBorders>
          </w:tcPr>
          <w:p>
            <w:pPr>
              <w:spacing w:after="0"/>
              <w:rPr>
                <w:sz w:val="18"/>
                <w:szCs w:val="18"/>
                <w:color w:val="auto"/>
              </w:rPr>
            </w:pPr>
          </w:p>
        </w:tc>
        <w:tc>
          <w:tcPr>
            <w:tcW w:w="2720" w:type="dxa"/>
            <w:vAlign w:val="bottom"/>
            <w:tcBorders>
              <w:top w:val="single" w:sz="8" w:color="2C6937"/>
              <w:bottom w:val="single" w:sz="8" w:color="2C6937"/>
            </w:tcBorders>
          </w:tcPr>
          <w:p>
            <w:pPr>
              <w:spacing w:after="0"/>
              <w:rPr>
                <w:sz w:val="18"/>
                <w:szCs w:val="18"/>
                <w:color w:val="auto"/>
              </w:rPr>
            </w:pPr>
          </w:p>
        </w:tc>
        <w:tc>
          <w:tcPr>
            <w:tcW w:w="80" w:type="dxa"/>
            <w:vAlign w:val="bottom"/>
            <w:tcBorders>
              <w:top w:val="single" w:sz="8" w:color="2C6937"/>
              <w:bottom w:val="single" w:sz="8" w:color="2C6937"/>
            </w:tcBorders>
          </w:tcPr>
          <w:p>
            <w:pPr>
              <w:spacing w:after="0"/>
              <w:rPr>
                <w:sz w:val="18"/>
                <w:szCs w:val="18"/>
                <w:color w:val="auto"/>
              </w:rPr>
            </w:pPr>
          </w:p>
        </w:tc>
        <w:tc>
          <w:tcPr>
            <w:tcW w:w="2820" w:type="dxa"/>
            <w:vAlign w:val="bottom"/>
            <w:tcBorders>
              <w:top w:val="single" w:sz="8" w:color="2C6937"/>
              <w:bottom w:val="single" w:sz="8" w:color="2C6937"/>
            </w:tcBorders>
            <w:gridSpan w:val="2"/>
          </w:tcPr>
          <w:p>
            <w:pPr>
              <w:ind w:left="580"/>
              <w:spacing w:after="0"/>
              <w:rPr>
                <w:sz w:val="20"/>
                <w:szCs w:val="20"/>
                <w:color w:val="auto"/>
              </w:rPr>
            </w:pPr>
            <w:r>
              <w:rPr>
                <w:rFonts w:ascii="Arial" w:cs="Arial" w:eastAsia="Arial" w:hAnsi="Arial"/>
                <w:sz w:val="15"/>
                <w:szCs w:val="15"/>
                <w:b w:val="1"/>
                <w:bCs w:val="1"/>
                <w:color w:val="auto"/>
              </w:rPr>
              <w:t>As of June 30, 2025</w:t>
            </w:r>
          </w:p>
        </w:tc>
        <w:tc>
          <w:tcPr>
            <w:tcW w:w="2580" w:type="dxa"/>
            <w:vAlign w:val="bottom"/>
            <w:tcBorders>
              <w:top w:val="single" w:sz="8" w:color="2C6937"/>
              <w:bottom w:val="single" w:sz="8" w:color="2C6937"/>
            </w:tcBorders>
          </w:tcPr>
          <w:p>
            <w:pPr>
              <w:spacing w:after="0"/>
              <w:rPr>
                <w:sz w:val="18"/>
                <w:szCs w:val="18"/>
                <w:color w:val="auto"/>
              </w:rPr>
            </w:pPr>
          </w:p>
        </w:tc>
      </w:tr>
      <w:tr>
        <w:trPr>
          <w:trHeight w:val="212"/>
        </w:trPr>
        <w:tc>
          <w:tcPr>
            <w:tcW w:w="3040" w:type="dxa"/>
            <w:vAlign w:val="bottom"/>
          </w:tcPr>
          <w:p>
            <w:pPr>
              <w:spacing w:after="0"/>
              <w:rPr>
                <w:sz w:val="18"/>
                <w:szCs w:val="18"/>
                <w:color w:val="auto"/>
              </w:rPr>
            </w:pPr>
          </w:p>
        </w:tc>
        <w:tc>
          <w:tcPr>
            <w:tcW w:w="27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S&amp;P</w:t>
            </w:r>
          </w:p>
        </w:tc>
        <w:tc>
          <w:tcPr>
            <w:tcW w:w="80" w:type="dxa"/>
            <w:vAlign w:val="bottom"/>
          </w:tcPr>
          <w:p>
            <w:pPr>
              <w:spacing w:after="0"/>
              <w:rPr>
                <w:sz w:val="18"/>
                <w:szCs w:val="18"/>
                <w:color w:val="auto"/>
              </w:rPr>
            </w:pPr>
          </w:p>
        </w:tc>
        <w:tc>
          <w:tcPr>
            <w:tcW w:w="27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Moody’s</w:t>
            </w:r>
          </w:p>
        </w:tc>
        <w:tc>
          <w:tcPr>
            <w:tcW w:w="100" w:type="dxa"/>
            <w:vAlign w:val="bottom"/>
          </w:tcPr>
          <w:p>
            <w:pPr>
              <w:spacing w:after="0"/>
              <w:rPr>
                <w:sz w:val="18"/>
                <w:szCs w:val="18"/>
                <w:color w:val="auto"/>
              </w:rPr>
            </w:pPr>
          </w:p>
        </w:tc>
        <w:tc>
          <w:tcPr>
            <w:tcW w:w="2580" w:type="dxa"/>
            <w:vAlign w:val="bottom"/>
            <w:tcBorders>
              <w:bottom w:val="single" w:sz="8" w:color="2C6937"/>
            </w:tcBorders>
          </w:tcPr>
          <w:p>
            <w:pPr>
              <w:jc w:val="center"/>
              <w:spacing w:after="0"/>
              <w:rPr>
                <w:sz w:val="20"/>
                <w:szCs w:val="20"/>
                <w:color w:val="auto"/>
              </w:rPr>
            </w:pPr>
            <w:r>
              <w:rPr>
                <w:rFonts w:ascii="Arial" w:cs="Arial" w:eastAsia="Arial" w:hAnsi="Arial"/>
                <w:sz w:val="16"/>
                <w:szCs w:val="16"/>
                <w:b w:val="1"/>
                <w:bCs w:val="1"/>
                <w:color w:val="auto"/>
                <w:w w:val="99"/>
              </w:rPr>
              <w:t>Fitch</w:t>
            </w:r>
          </w:p>
        </w:tc>
      </w:tr>
      <w:tr>
        <w:trPr>
          <w:trHeight w:val="198"/>
        </w:trPr>
        <w:tc>
          <w:tcPr>
            <w:tcW w:w="3040" w:type="dxa"/>
            <w:vAlign w:val="bottom"/>
          </w:tcPr>
          <w:p>
            <w:pPr>
              <w:ind w:left="20"/>
              <w:spacing w:after="0"/>
              <w:rPr>
                <w:sz w:val="20"/>
                <w:szCs w:val="20"/>
                <w:color w:val="auto"/>
              </w:rPr>
            </w:pPr>
            <w:r>
              <w:rPr>
                <w:rFonts w:ascii="Arial" w:cs="Arial" w:eastAsia="Arial" w:hAnsi="Arial"/>
                <w:sz w:val="15"/>
                <w:szCs w:val="15"/>
                <w:color w:val="auto"/>
              </w:rPr>
              <w:t>Long-term senior debt</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rPr>
              <w:t>AA+</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Aa1</w:t>
            </w:r>
          </w:p>
        </w:tc>
        <w:tc>
          <w:tcPr>
            <w:tcW w:w="2580" w:type="dxa"/>
            <w:vAlign w:val="bottom"/>
          </w:tcPr>
          <w:p>
            <w:pPr>
              <w:jc w:val="center"/>
              <w:spacing w:after="0"/>
              <w:rPr>
                <w:sz w:val="20"/>
                <w:szCs w:val="20"/>
                <w:color w:val="auto"/>
              </w:rPr>
            </w:pPr>
            <w:r>
              <w:rPr>
                <w:rFonts w:ascii="Arial" w:cs="Arial" w:eastAsia="Arial" w:hAnsi="Arial"/>
                <w:sz w:val="15"/>
                <w:szCs w:val="15"/>
                <w:color w:val="auto"/>
              </w:rPr>
              <w:t>AA+</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Short-term senior debt</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rPr>
              <w:t>A-1+</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P-1</w:t>
            </w:r>
          </w:p>
        </w:tc>
        <w:tc>
          <w:tcPr>
            <w:tcW w:w="2580" w:type="dxa"/>
            <w:vAlign w:val="bottom"/>
          </w:tcPr>
          <w:p>
            <w:pPr>
              <w:jc w:val="center"/>
              <w:spacing w:after="0"/>
              <w:rPr>
                <w:sz w:val="20"/>
                <w:szCs w:val="20"/>
                <w:color w:val="auto"/>
              </w:rPr>
            </w:pPr>
            <w:r>
              <w:rPr>
                <w:rFonts w:ascii="Arial" w:cs="Arial" w:eastAsia="Arial" w:hAnsi="Arial"/>
                <w:sz w:val="15"/>
                <w:szCs w:val="15"/>
                <w:color w:val="auto"/>
                <w:w w:val="98"/>
              </w:rPr>
              <w:t>F1+</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Preferred stock</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Ca(hyb)</w:t>
            </w:r>
          </w:p>
        </w:tc>
        <w:tc>
          <w:tcPr>
            <w:tcW w:w="2580" w:type="dxa"/>
            <w:vAlign w:val="bottom"/>
          </w:tcPr>
          <w:p>
            <w:pPr>
              <w:jc w:val="center"/>
              <w:spacing w:after="0"/>
              <w:rPr>
                <w:sz w:val="20"/>
                <w:szCs w:val="20"/>
                <w:color w:val="auto"/>
              </w:rPr>
            </w:pPr>
            <w:r>
              <w:rPr>
                <w:rFonts w:ascii="Arial" w:cs="Arial" w:eastAsia="Arial" w:hAnsi="Arial"/>
                <w:sz w:val="15"/>
                <w:szCs w:val="15"/>
                <w:color w:val="auto"/>
              </w:rPr>
              <w:t>C/RR6</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Outlook</w:t>
            </w:r>
          </w:p>
        </w:tc>
        <w:tc>
          <w:tcPr>
            <w:tcW w:w="2800" w:type="dxa"/>
            <w:vAlign w:val="bottom"/>
            <w:gridSpan w:val="2"/>
          </w:tcPr>
          <w:p>
            <w:pPr>
              <w:jc w:val="center"/>
              <w:ind w:right="80"/>
              <w:spacing w:after="0"/>
              <w:rPr>
                <w:sz w:val="20"/>
                <w:szCs w:val="20"/>
                <w:color w:val="auto"/>
              </w:rPr>
            </w:pPr>
            <w:r>
              <w:rPr>
                <w:rFonts w:ascii="Arial" w:cs="Arial" w:eastAsia="Arial" w:hAnsi="Arial"/>
                <w:sz w:val="15"/>
                <w:szCs w:val="15"/>
                <w:color w:val="auto"/>
              </w:rPr>
              <w:t>Stable</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Stable</w:t>
            </w:r>
          </w:p>
        </w:tc>
        <w:tc>
          <w:tcPr>
            <w:tcW w:w="2580" w:type="dxa"/>
            <w:vAlign w:val="bottom"/>
          </w:tcPr>
          <w:p>
            <w:pPr>
              <w:jc w:val="center"/>
              <w:spacing w:after="0"/>
              <w:rPr>
                <w:sz w:val="20"/>
                <w:szCs w:val="20"/>
                <w:color w:val="auto"/>
              </w:rPr>
            </w:pPr>
            <w:r>
              <w:rPr>
                <w:rFonts w:ascii="Arial" w:cs="Arial" w:eastAsia="Arial" w:hAnsi="Arial"/>
                <w:sz w:val="15"/>
                <w:szCs w:val="15"/>
                <w:color w:val="auto"/>
              </w:rPr>
              <w:t>Stable</w:t>
            </w:r>
          </w:p>
        </w:tc>
      </w:tr>
    </w:tbl>
    <w:p>
      <w:pPr>
        <w:spacing w:after="0" w:line="13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On May 19, 2025, Moody’s Ratings (“Moody’s”) downgraded our long-term senior unsecured debt rating to Aa1 from Aaa and changed the outlook to stable from negative. This action followed Moody’s downgrade of the U.S. Government’s long-term issuer and senior unsecured ratings to Aa1 from Aaa and change in outlook to stable from negative on May 16, 2025.</w:t>
      </w:r>
    </w:p>
    <w:p>
      <w:pPr>
        <w:spacing w:after="0" w:line="2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have no covenants in our existing debt agreements that would be violated by a downgrade in our credit ratings. However, in connection with certain derivatives counterparties, we could be required to provide additional collateral to or terminate transactions with certain counterparties in the event that our senior unsecured debt ratings are downgraded. For a discussion of additional risks to our business relating to a decrease in our credit ratings, which could include an increase in our borrowing costs and limits on our ability to issue debt, see “MD&amp;A—Liquidity and Capital Management—Liquidity Management— Credit Ratings” and “Risk Factors” in our 2024 Form 10-K.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8" w:name="page49"/>
    <w:bookmarkEnd w:id="48"/>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8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For a description of our capital requirements under the enterprise regulatory capital framework, see “Business—Legislation and Regulation—Capital Requirements” in our 2024 Form 10-K.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3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As of June 30, 2025, we had a deficit in available capital for purposes of the enterprise regulatory capital framework even though we had positive net worth under U.S. generally accepted accounting principles (“GAAP”) of $101.6 billion primarily because the $120.8 billion stated value of the senior preferred stock does not qualify as regulatory capital. Our deficit in available capital for purposes of our risk-based adjusted total capital requirement declined $8 billion in the first half of 2025, from $37 billion as of December 31, 2024 to $29 billion as of June 30, 2025.</w:t>
      </w:r>
    </w:p>
    <w:p>
      <w:pPr>
        <w:spacing w:after="0" w:line="3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As of June 30, 2025, we had a $214 billion shortfall to our risk-based adjusted total capital requirement including buffers of $185 billion, and a $134 billion shortfall to our minimum risk-based adjusted total capital requirement excluding buffers of $105 billion. From December 31, 2024 to June 30, 2025, our capital shortfall including buffers declined by $13 billion and our capital shortfall excluding buffers declined by $12 billion. These declines were primarily driven by the increase in our retained earnings and lower minimum capital requirements driven by the decrease in risk-weighted assets during the first half of 2025. The decrease in risk-weighted assets during the first half of 2025 was primarily due to single-family home price appreciation relative to changes in the consumer price index, as well as credit risk transfer transactions completed during the period.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June 30,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5"/>
          </w:tcPr>
          <w:p>
            <w:pPr>
              <w:ind w:left="20"/>
              <w:spacing w:after="0"/>
              <w:rPr>
                <w:sz w:val="20"/>
                <w:szCs w:val="20"/>
                <w:color w:val="auto"/>
              </w:rPr>
            </w:pPr>
            <w:r>
              <w:rPr>
                <w:rFonts w:ascii="Arial" w:cs="Arial" w:eastAsia="Arial" w:hAnsi="Arial"/>
                <w:sz w:val="15"/>
                <w:szCs w:val="15"/>
                <w:color w:val="auto"/>
              </w:rPr>
              <w:t>Stress capital buffer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5"/>
          </w:tcPr>
          <w:p>
            <w:pPr>
              <w:ind w:left="20"/>
              <w:spacing w:after="0"/>
              <w:rPr>
                <w:sz w:val="20"/>
                <w:szCs w:val="20"/>
                <w:color w:val="auto"/>
              </w:rPr>
            </w:pPr>
            <w:r>
              <w:rPr>
                <w:rFonts w:ascii="Arial" w:cs="Arial" w:eastAsia="Arial" w:hAnsi="Arial"/>
                <w:sz w:val="15"/>
                <w:szCs w:val="15"/>
                <w:color w:val="auto"/>
              </w:rPr>
              <w:t>Stability capital buffer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360" w:type="dxa"/>
            <w:vAlign w:val="bottom"/>
            <w:gridSpan w:val="3"/>
          </w:tcPr>
          <w:p>
            <w:pPr>
              <w:jc w:val="right"/>
              <w:ind w:right="8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auto"/>
              </w:rPr>
              <w:t>4,446</w:t>
            </w:r>
          </w:p>
        </w:tc>
        <w:tc>
          <w:tcPr>
            <w:tcW w:w="360" w:type="dxa"/>
            <w:vAlign w:val="bottom"/>
          </w:tcPr>
          <w:p>
            <w:pPr>
              <w:spacing w:after="0"/>
              <w:rPr>
                <w:sz w:val="18"/>
                <w:szCs w:val="18"/>
                <w:color w:val="auto"/>
              </w:rPr>
            </w:pPr>
          </w:p>
        </w:tc>
        <w:tc>
          <w:tcPr>
            <w:tcW w:w="2660" w:type="dxa"/>
            <w:vAlign w:val="bottom"/>
            <w:tcBorders>
              <w:bottom w:val="single" w:sz="8" w:color="2C6937"/>
            </w:tcBorders>
            <w:gridSpan w:val="8"/>
          </w:tcPr>
          <w:p>
            <w:pPr>
              <w:ind w:left="20"/>
              <w:spacing w:after="0"/>
              <w:rPr>
                <w:sz w:val="20"/>
                <w:szCs w:val="20"/>
                <w:color w:val="auto"/>
              </w:rPr>
            </w:pPr>
            <w:r>
              <w:rPr>
                <w:rFonts w:ascii="Arial" w:cs="Arial" w:eastAsia="Arial" w:hAnsi="Arial"/>
                <w:sz w:val="15"/>
                <w:szCs w:val="15"/>
                <w:color w:val="auto"/>
              </w:rPr>
              <w:t>Countercyclical capital buffer</w:t>
            </w:r>
          </w:p>
        </w:tc>
        <w:tc>
          <w:tcPr>
            <w:tcW w:w="14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780" w:type="dxa"/>
            <w:vAlign w:val="bottom"/>
          </w:tcPr>
          <w:p>
            <w:pPr>
              <w:ind w:left="20"/>
              <w:spacing w:after="0"/>
              <w:rPr>
                <w:sz w:val="20"/>
                <w:szCs w:val="20"/>
                <w:color w:val="auto"/>
              </w:rPr>
            </w:pPr>
            <w:r>
              <w:rPr>
                <w:rFonts w:ascii="Arial" w:cs="Arial" w:eastAsia="Arial" w:hAnsi="Arial"/>
                <w:sz w:val="15"/>
                <w:szCs w:val="15"/>
                <w:color w:val="auto"/>
              </w:rPr>
              <w:t>Risk-weighted assets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auto"/>
              </w:rPr>
              <w:t>1,312</w:t>
            </w:r>
          </w:p>
        </w:tc>
        <w:tc>
          <w:tcPr>
            <w:tcW w:w="360" w:type="dxa"/>
            <w:vAlign w:val="bottom"/>
          </w:tcPr>
          <w:p>
            <w:pPr>
              <w:spacing w:after="0"/>
              <w:rPr>
                <w:sz w:val="17"/>
                <w:szCs w:val="17"/>
                <w:color w:val="auto"/>
              </w:rPr>
            </w:pPr>
          </w:p>
        </w:tc>
        <w:tc>
          <w:tcPr>
            <w:tcW w:w="3900" w:type="dxa"/>
            <w:vAlign w:val="bottom"/>
            <w:gridSpan w:val="12"/>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10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0"/>
        </w:trPr>
        <w:tc>
          <w:tcPr>
            <w:tcW w:w="2780" w:type="dxa"/>
            <w:vAlign w:val="bottom"/>
            <w:tcBorders>
              <w:bottom w:val="single" w:sz="8" w:color="2C6937"/>
            </w:tcBorders>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780" w:type="dxa"/>
            <w:vAlign w:val="bottom"/>
          </w:tcPr>
          <w:p>
            <w:pPr>
              <w:spacing w:after="0"/>
              <w:rPr>
                <w:sz w:val="14"/>
                <w:szCs w:val="14"/>
                <w:color w:val="auto"/>
              </w:rPr>
            </w:pPr>
          </w:p>
        </w:tc>
        <w:tc>
          <w:tcPr>
            <w:tcW w:w="14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3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Capital Shortfall</w:t>
            </w: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18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80" w:type="dxa"/>
            <w:vAlign w:val="bottom"/>
          </w:tcPr>
          <w:p>
            <w:pPr>
              <w:spacing w:after="0"/>
              <w:rPr>
                <w:sz w:val="17"/>
                <w:szCs w:val="17"/>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Ratio Requirement</w:t>
            </w: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(2)</w:t>
            </w:r>
          </w:p>
        </w:tc>
        <w:tc>
          <w:tcPr>
            <w:tcW w:w="140" w:type="dxa"/>
            <w:vAlign w:val="bottom"/>
          </w:tcPr>
          <w:p>
            <w:pPr>
              <w:spacing w:after="0"/>
              <w:rPr>
                <w:sz w:val="17"/>
                <w:szCs w:val="17"/>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Buffers</w:t>
            </w:r>
            <w:r>
              <w:rPr>
                <w:rFonts w:ascii="Arial" w:cs="Arial" w:eastAsia="Arial" w:hAnsi="Arial"/>
                <w:sz w:val="17"/>
                <w:szCs w:val="17"/>
                <w:b w:val="1"/>
                <w:bCs w:val="1"/>
                <w:color w:val="auto"/>
                <w:w w:val="92"/>
                <w:vertAlign w:val="superscript"/>
              </w:rPr>
              <w:t>(3)</w:t>
            </w: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(with Buffers)</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87"/>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4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tcBorders>
          </w:tcPr>
          <w:p>
            <w:pPr>
              <w:spacing w:after="0"/>
              <w:rPr>
                <w:sz w:val="16"/>
                <w:szCs w:val="16"/>
                <w:color w:val="auto"/>
              </w:rPr>
            </w:pPr>
          </w:p>
        </w:tc>
        <w:tc>
          <w:tcPr>
            <w:tcW w:w="360" w:type="dxa"/>
            <w:vAlign w:val="bottom"/>
            <w:tcBorders>
              <w:top w:val="single" w:sz="8" w:color="2C6937"/>
            </w:tcBorders>
          </w:tcPr>
          <w:p>
            <w:pPr>
              <w:spacing w:after="0"/>
              <w:rPr>
                <w:sz w:val="16"/>
                <w:szCs w:val="16"/>
                <w:color w:val="auto"/>
              </w:rPr>
            </w:pPr>
          </w:p>
        </w:tc>
        <w:tc>
          <w:tcPr>
            <w:tcW w:w="4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80" w:type="dxa"/>
            <w:vAlign w:val="bottom"/>
          </w:tcPr>
          <w:p>
            <w:pPr>
              <w:ind w:left="240"/>
              <w:spacing w:after="0"/>
              <w:rPr>
                <w:sz w:val="20"/>
                <w:szCs w:val="20"/>
                <w:color w:val="auto"/>
              </w:rPr>
            </w:pPr>
            <w:r>
              <w:rPr>
                <w:rFonts w:ascii="Arial" w:cs="Arial" w:eastAsia="Arial" w:hAnsi="Arial"/>
                <w:sz w:val="15"/>
                <w:szCs w:val="15"/>
                <w:color w:val="auto"/>
              </w:rPr>
              <w:t>Total capital (statutory)</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6"/>
        </w:trPr>
        <w:tc>
          <w:tcPr>
            <w:tcW w:w="278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206"/>
        </w:trPr>
        <w:tc>
          <w:tcPr>
            <w:tcW w:w="278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06"/>
        </w:trPr>
        <w:tc>
          <w:tcPr>
            <w:tcW w:w="278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80" w:type="dxa"/>
            <w:vAlign w:val="bottom"/>
          </w:tcPr>
          <w:p>
            <w:pPr>
              <w:ind w:left="240"/>
              <w:spacing w:after="0"/>
              <w:rPr>
                <w:sz w:val="20"/>
                <w:szCs w:val="20"/>
                <w:color w:val="auto"/>
              </w:rPr>
            </w:pPr>
            <w:r>
              <w:rPr>
                <w:rFonts w:ascii="Arial" w:cs="Arial" w:eastAsia="Arial" w:hAnsi="Arial"/>
                <w:sz w:val="15"/>
                <w:szCs w:val="15"/>
                <w:color w:val="auto"/>
              </w:rPr>
              <w:t>Core capital (statutory)</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206"/>
        </w:trPr>
        <w:tc>
          <w:tcPr>
            <w:tcW w:w="278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9" w:name="page50"/>
    <w:bookmarkEnd w:id="49"/>
    <w:p>
      <w:pPr>
        <w:jc w:val="right"/>
        <w:ind w:right="12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4,460</w:t>
            </w:r>
          </w:p>
        </w:tc>
      </w:tr>
      <w:tr>
        <w:trPr>
          <w:trHeight w:val="246"/>
        </w:trPr>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21"/>
                <w:szCs w:val="21"/>
                <w:color w:val="auto"/>
              </w:rPr>
            </w:pPr>
          </w:p>
        </w:tc>
        <w:tc>
          <w:tcPr>
            <w:tcW w:w="60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Stress capital buffer</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Stability capital buffer</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07"/>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Countercyclical capital buffer</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72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140" w:type="dxa"/>
            <w:vAlign w:val="bottom"/>
          </w:tcPr>
          <w:p>
            <w:pPr>
              <w:spacing w:after="0"/>
              <w:rPr>
                <w:sz w:val="17"/>
                <w:szCs w:val="17"/>
                <w:color w:val="auto"/>
              </w:rPr>
            </w:pPr>
          </w:p>
        </w:tc>
        <w:tc>
          <w:tcPr>
            <w:tcW w:w="600" w:type="dxa"/>
            <w:vAlign w:val="bottom"/>
            <w:tcBorders>
              <w:top w:val="single" w:sz="8" w:color="2C6937"/>
              <w:bottom w:val="single" w:sz="8" w:color="2C6937"/>
            </w:tcBorders>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81</w:t>
            </w:r>
          </w:p>
        </w:tc>
      </w:tr>
      <w:tr>
        <w:trPr>
          <w:trHeight w:val="20"/>
        </w:trPr>
        <w:tc>
          <w:tcPr>
            <w:tcW w:w="47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360"/>
            <w:col w:w="6180"/>
          </w:cols>
          <w:pgMar w:left="320" w:top="248" w:right="339" w:bottom="1440" w:gutter="0" w:footer="0" w:header="0"/>
          <w:type w:val="continuous"/>
        </w:sect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5"/>
        </w:trPr>
        <w:tc>
          <w:tcPr>
            <w:tcW w:w="2760" w:type="dxa"/>
            <w:vAlign w:val="bottom"/>
          </w:tcPr>
          <w:p>
            <w:pPr>
              <w:spacing w:after="0"/>
              <w:rPr>
                <w:sz w:val="13"/>
                <w:szCs w:val="13"/>
                <w:color w:val="auto"/>
              </w:rPr>
            </w:pPr>
          </w:p>
        </w:tc>
        <w:tc>
          <w:tcPr>
            <w:tcW w:w="14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Minimum Capital</w:t>
            </w:r>
          </w:p>
        </w:tc>
        <w:tc>
          <w:tcPr>
            <w:tcW w:w="134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Capital Shortfall</w:t>
            </w:r>
          </w:p>
        </w:tc>
      </w:tr>
      <w:tr>
        <w:trPr>
          <w:trHeight w:val="216"/>
        </w:trPr>
        <w:tc>
          <w:tcPr>
            <w:tcW w:w="27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Buffers</w:t>
            </w:r>
            <w:r>
              <w:rPr>
                <w:rFonts w:ascii="Arial" w:cs="Arial" w:eastAsia="Arial" w:hAnsi="Arial"/>
                <w:sz w:val="8"/>
                <w:szCs w:val="8"/>
                <w:b w:val="1"/>
                <w:bCs w:val="1"/>
                <w:color w:val="auto"/>
                <w:w w:val="98"/>
              </w:rPr>
              <w:t>(3)</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(with Buffers)</w:t>
            </w:r>
            <w:r>
              <w:rPr>
                <w:rFonts w:ascii="Arial" w:cs="Arial" w:eastAsia="Arial" w:hAnsi="Arial"/>
                <w:sz w:val="8"/>
                <w:szCs w:val="8"/>
                <w:b w:val="1"/>
                <w:bCs w:val="1"/>
                <w:color w:val="auto"/>
              </w:rPr>
              <w:t>(2)</w:t>
            </w:r>
          </w:p>
        </w:tc>
      </w:tr>
      <w:tr>
        <w:trPr>
          <w:trHeight w:val="187"/>
        </w:trPr>
        <w:tc>
          <w:tcPr>
            <w:tcW w:w="2760" w:type="dxa"/>
            <w:vAlign w:val="bottom"/>
          </w:tcPr>
          <w:p>
            <w:pPr>
              <w:spacing w:after="0"/>
              <w:rPr>
                <w:sz w:val="20"/>
                <w:szCs w:val="20"/>
                <w:color w:val="auto"/>
              </w:rPr>
            </w:pPr>
            <w:r>
              <w:rPr>
                <w:rFonts w:ascii="Arial" w:cs="Arial" w:eastAsia="Arial" w:hAnsi="Arial"/>
                <w:sz w:val="15"/>
                <w:szCs w:val="15"/>
                <w:b w:val="1"/>
                <w:bCs w:val="1"/>
                <w:color w:val="auto"/>
              </w:rPr>
              <w:t>Risk-based capital:</w:t>
            </w:r>
          </w:p>
        </w:tc>
        <w:tc>
          <w:tcPr>
            <w:tcW w:w="13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Total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209"/>
        </w:trPr>
        <w:tc>
          <w:tcPr>
            <w:tcW w:w="2760" w:type="dxa"/>
            <w:vAlign w:val="bottom"/>
          </w:tcPr>
          <w:p>
            <w:pPr>
              <w:spacing w:after="0"/>
              <w:rPr>
                <w:sz w:val="20"/>
                <w:szCs w:val="20"/>
                <w:color w:val="auto"/>
              </w:rPr>
            </w:pPr>
            <w:r>
              <w:rPr>
                <w:rFonts w:ascii="Arial" w:cs="Arial" w:eastAsia="Arial" w:hAnsi="Arial"/>
                <w:sz w:val="15"/>
                <w:szCs w:val="15"/>
                <w:b w:val="1"/>
                <w:bCs w:val="1"/>
                <w:color w:val="auto"/>
              </w:rPr>
              <w:t>Leverage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Core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(137)</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(172)</w:t>
            </w:r>
          </w:p>
        </w:tc>
      </w:tr>
    </w:tbl>
    <w:p>
      <w:pPr>
        <w:spacing w:after="0" w:line="162" w:lineRule="exact"/>
        <w:rPr>
          <w:sz w:val="20"/>
          <w:szCs w:val="20"/>
          <w:color w:val="auto"/>
        </w:rPr>
      </w:pPr>
    </w:p>
    <w:p>
      <w:pPr>
        <w:ind w:left="220" w:hanging="217"/>
        <w:spacing w:after="0"/>
        <w:tabs>
          <w:tab w:leader="none" w:pos="220" w:val="left"/>
        </w:tabs>
        <w:numPr>
          <w:ilvl w:val="0"/>
          <w:numId w:val="42"/>
        </w:numPr>
        <w:rPr>
          <w:rFonts w:ascii="Arial" w:cs="Arial" w:eastAsia="Arial" w:hAnsi="Arial"/>
          <w:sz w:val="9"/>
          <w:szCs w:val="9"/>
          <w:color w:val="auto"/>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capital shortfall in these columns represents the difference between the applicable capital requirement (without or with buffers, as applicable) and the available capital deficit.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54" w:lineRule="exact"/>
        <w:rPr>
          <w:sz w:val="20"/>
          <w:szCs w:val="20"/>
          <w:color w:val="auto"/>
        </w:rPr>
      </w:pPr>
    </w:p>
    <w:p>
      <w:pPr>
        <w:ind w:right="680"/>
        <w:spacing w:after="0" w:line="288" w:lineRule="auto"/>
        <w:rPr>
          <w:sz w:val="20"/>
          <w:szCs w:val="20"/>
          <w:color w:val="auto"/>
        </w:rPr>
      </w:pPr>
      <w:r>
        <w:rPr>
          <w:rFonts w:ascii="Arial" w:cs="Arial" w:eastAsia="Arial" w:hAnsi="Arial"/>
          <w:sz w:val="16"/>
          <w:szCs w:val="16"/>
          <w:color w:val="auto"/>
        </w:rPr>
        <w:t>As of June 30, 2025, our maximum payout ratio under the enterprise regulatory capital framework was 0%. See “Note 15, Regulatory Capital Requirements” for information on our capital ratios as of June 30, 2025 and December 31, 2024 under the enterprise regulatory capital framework.</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0" w:name="page51"/>
    <w:bookmarkEnd w:id="50"/>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1820" w:type="dxa"/>
            <w:vAlign w:val="bottom"/>
            <w:tcBorders>
              <w:top w:val="single" w:sz="8" w:color="2C6937"/>
              <w:bottom w:val="single" w:sz="8" w:color="2C6937"/>
            </w:tcBorders>
            <w:gridSpan w:val="3"/>
          </w:tcPr>
          <w:p>
            <w:pPr>
              <w:ind w:left="138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June 30, 2025</w:t>
            </w:r>
          </w:p>
        </w:tc>
        <w:tc>
          <w:tcPr>
            <w:tcW w:w="200" w:type="dxa"/>
            <w:vAlign w:val="bottom"/>
            <w:tcBorders>
              <w:bottom w:val="single" w:sz="8" w:color="2C6937"/>
            </w:tcBorders>
          </w:tcPr>
          <w:p>
            <w:pPr>
              <w:spacing w:after="0"/>
              <w:rPr>
                <w:sz w:val="24"/>
                <w:szCs w:val="24"/>
                <w:color w:val="auto"/>
              </w:rPr>
            </w:pPr>
          </w:p>
        </w:tc>
        <w:tc>
          <w:tcPr>
            <w:tcW w:w="1580" w:type="dxa"/>
            <w:vAlign w:val="bottom"/>
            <w:tcBorders>
              <w:bottom w:val="single" w:sz="8" w:color="2C6937"/>
            </w:tcBorders>
          </w:tcPr>
          <w:p>
            <w:pPr>
              <w:jc w:val="right"/>
              <w:ind w:right="203"/>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4"/>
          </w:tcPr>
          <w:p>
            <w:pPr>
              <w:ind w:left="9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101,636</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94,657</w:t>
            </w:r>
          </w:p>
        </w:tc>
        <w:tc>
          <w:tcPr>
            <w:tcW w:w="0" w:type="dxa"/>
            <w:vAlign w:val="bottom"/>
          </w:tcPr>
          <w:p>
            <w:pPr>
              <w:spacing w:after="0"/>
              <w:rPr>
                <w:sz w:val="1"/>
                <w:szCs w:val="1"/>
                <w:color w:val="auto"/>
              </w:rPr>
            </w:pPr>
          </w:p>
        </w:tc>
      </w:tr>
      <w:tr>
        <w:trPr>
          <w:trHeight w:val="204"/>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6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3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ind w:left="920"/>
              <w:spacing w:after="0"/>
              <w:rPr>
                <w:sz w:val="20"/>
                <w:szCs w:val="20"/>
                <w:color w:val="auto"/>
              </w:rPr>
            </w:pPr>
            <w:r>
              <w:rPr>
                <w:rFonts w:ascii="Arial" w:cs="Arial" w:eastAsia="Arial" w:hAnsi="Arial"/>
                <w:sz w:val="15"/>
                <w:szCs w:val="15"/>
                <w:b w:val="1"/>
                <w:bCs w:val="1"/>
                <w:color w:val="auto"/>
              </w:rPr>
              <w:t>(38,330)</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(45,309)</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40"/>
              <w:spacing w:after="0" w:line="149"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2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10,127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10,545</w:t>
            </w:r>
          </w:p>
        </w:tc>
        <w:tc>
          <w:tcPr>
            <w:tcW w:w="0" w:type="dxa"/>
            <w:vAlign w:val="bottom"/>
          </w:tcPr>
          <w:p>
            <w:pPr>
              <w:spacing w:after="0"/>
              <w:rPr>
                <w:sz w:val="1"/>
                <w:szCs w:val="1"/>
                <w:color w:val="auto"/>
              </w:rPr>
            </w:pPr>
          </w:p>
        </w:tc>
      </w:tr>
      <w:tr>
        <w:trPr>
          <w:trHeight w:val="206"/>
        </w:trPr>
        <w:tc>
          <w:tcPr>
            <w:tcW w:w="746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ind w:left="920"/>
              <w:spacing w:after="0"/>
              <w:rPr>
                <w:sz w:val="20"/>
                <w:szCs w:val="20"/>
                <w:color w:val="auto"/>
              </w:rPr>
            </w:pPr>
            <w:r>
              <w:rPr>
                <w:rFonts w:ascii="Arial" w:cs="Arial" w:eastAsia="Arial" w:hAnsi="Arial"/>
                <w:sz w:val="15"/>
                <w:szCs w:val="15"/>
                <w:b w:val="1"/>
                <w:bCs w:val="1"/>
                <w:color w:val="auto"/>
              </w:rPr>
              <w:t>(48,457)</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(55,854)</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ind w:left="920"/>
              <w:spacing w:after="0"/>
              <w:rPr>
                <w:sz w:val="20"/>
                <w:szCs w:val="20"/>
                <w:color w:val="auto"/>
              </w:rPr>
            </w:pPr>
            <w:r>
              <w:rPr>
                <w:rFonts w:ascii="Arial" w:cs="Arial" w:eastAsia="Arial" w:hAnsi="Arial"/>
                <w:sz w:val="15"/>
                <w:szCs w:val="15"/>
                <w:b w:val="1"/>
                <w:bCs w:val="1"/>
                <w:color w:val="auto"/>
              </w:rPr>
              <w:t>(29,327)</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(36,724)</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520" w:type="dxa"/>
            <w:vAlign w:val="bottom"/>
          </w:tcPr>
          <w:p>
            <w:pPr>
              <w:ind w:left="920"/>
              <w:spacing w:after="0"/>
              <w:rPr>
                <w:sz w:val="20"/>
                <w:szCs w:val="20"/>
                <w:color w:val="auto"/>
              </w:rPr>
            </w:pPr>
            <w:r>
              <w:rPr>
                <w:rFonts w:ascii="Arial" w:cs="Arial" w:eastAsia="Arial" w:hAnsi="Arial"/>
                <w:sz w:val="15"/>
                <w:szCs w:val="15"/>
                <w:b w:val="1"/>
                <w:bCs w:val="1"/>
                <w:color w:val="auto"/>
              </w:rPr>
              <w:t>(29,327)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(36,724)</w:t>
            </w:r>
          </w:p>
        </w:tc>
        <w:tc>
          <w:tcPr>
            <w:tcW w:w="0" w:type="dxa"/>
            <w:vAlign w:val="bottom"/>
          </w:tcPr>
          <w:p>
            <w:pPr>
              <w:spacing w:after="0"/>
              <w:rPr>
                <w:sz w:val="1"/>
                <w:szCs w:val="1"/>
                <w:color w:val="auto"/>
              </w:rPr>
            </w:pPr>
          </w:p>
        </w:tc>
      </w:tr>
      <w:tr>
        <w:trPr>
          <w:trHeight w:val="20"/>
        </w:trPr>
        <w:tc>
          <w:tcPr>
            <w:tcW w:w="7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184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top w:val="single" w:sz="8" w:color="2C6937"/>
              <w:bottom w:val="single" w:sz="8" w:color="2C6937"/>
            </w:tcBorders>
          </w:tcPr>
          <w:p>
            <w:pPr>
              <w:spacing w:after="0"/>
              <w:rPr>
                <w:sz w:val="17"/>
                <w:szCs w:val="17"/>
                <w:color w:val="auto"/>
              </w:rPr>
            </w:pPr>
          </w:p>
        </w:tc>
      </w:tr>
      <w:tr>
        <w:trPr>
          <w:trHeight w:val="186"/>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62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2024</w:t>
            </w:r>
          </w:p>
        </w:tc>
      </w:tr>
      <w:tr>
        <w:trPr>
          <w:trHeight w:val="185"/>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4"/>
          </w:tcPr>
          <w:p>
            <w:pPr>
              <w:jc w:val="right"/>
              <w:ind w:right="114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ind w:right="6"/>
              <w:spacing w:after="0"/>
              <w:rPr>
                <w:sz w:val="20"/>
                <w:szCs w:val="20"/>
                <w:color w:val="auto"/>
              </w:rPr>
            </w:pPr>
            <w:r>
              <w:rPr>
                <w:rFonts w:ascii="Arial" w:cs="Arial" w:eastAsia="Arial" w:hAnsi="Arial"/>
                <w:sz w:val="15"/>
                <w:szCs w:val="15"/>
                <w:b w:val="1"/>
                <w:bCs w:val="1"/>
                <w:color w:val="auto"/>
              </w:rPr>
              <w:t>101,636</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94,657</w:t>
            </w:r>
          </w:p>
        </w:tc>
      </w:tr>
      <w:tr>
        <w:trPr>
          <w:trHeight w:val="204"/>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4"/>
        </w:trPr>
        <w:tc>
          <w:tcPr>
            <w:tcW w:w="750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80" w:type="dxa"/>
            <w:vAlign w:val="bottom"/>
          </w:tcPr>
          <w:p>
            <w:pPr>
              <w:spacing w:after="0"/>
              <w:rPr>
                <w:sz w:val="18"/>
                <w:szCs w:val="18"/>
                <w:color w:val="auto"/>
              </w:rPr>
            </w:pPr>
          </w:p>
        </w:tc>
        <w:tc>
          <w:tcPr>
            <w:tcW w:w="1540" w:type="dxa"/>
            <w:vAlign w:val="bottom"/>
          </w:tcPr>
          <w:p>
            <w:pPr>
              <w:jc w:val="right"/>
              <w:ind w:right="6"/>
              <w:spacing w:after="0"/>
              <w:rPr>
                <w:sz w:val="20"/>
                <w:szCs w:val="20"/>
                <w:color w:val="auto"/>
              </w:rPr>
            </w:pPr>
            <w:r>
              <w:rPr>
                <w:rFonts w:ascii="Arial" w:cs="Arial" w:eastAsia="Arial" w:hAnsi="Arial"/>
                <w:sz w:val="15"/>
                <w:szCs w:val="15"/>
                <w:b w:val="1"/>
                <w:bCs w:val="1"/>
                <w:color w:val="auto"/>
              </w:rPr>
              <w:t>120,836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51"/>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8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15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30</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r>
      <w:tr>
        <w:trPr>
          <w:trHeight w:val="199"/>
        </w:trPr>
        <w:tc>
          <w:tcPr>
            <w:tcW w:w="74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8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(19,230)</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(26,208)</w:t>
            </w:r>
          </w:p>
        </w:tc>
      </w:tr>
      <w:tr>
        <w:trPr>
          <w:trHeight w:val="199"/>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8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(8,457)</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(7,876)</w:t>
            </w:r>
          </w:p>
        </w:tc>
      </w:tr>
      <w:tr>
        <w:trPr>
          <w:trHeight w:val="19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capital (deficit)</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(10,773)</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(18,332)</w:t>
            </w:r>
          </w:p>
        </w:tc>
      </w:tr>
      <w:tr>
        <w:trPr>
          <w:trHeight w:val="20"/>
        </w:trPr>
        <w:tc>
          <w:tcPr>
            <w:tcW w:w="7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6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second quarter of 2025 and none are payable for the third quarter of 2025.</w:t>
      </w:r>
    </w:p>
    <w:p>
      <w:pPr>
        <w:spacing w:after="0" w:line="2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of the same amount in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$219.8 billion as of June 30, 2025 from $216.2 billion as of March 31, 2025, due to the increase in our net worth in the first quarter of 2025. The aggregate liquidation preference of the senior preferred stock will further increase to $223.1 billion as of September 30, 2025, due to the increase in our net worth in the second quarter of 2025. See “Business—Conservatorship and Treasury Agreements—Treasury Agreements” in our 2024 Form 10-K for more information on the terms of our senior preferred stock, including how the aggregate liquidation preference is determined.</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80"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June 30, 2025, the remaining amount of Treasury’s funding commitment to us was $113.9 billion. See “Note 2, Conservatorship, Senior Preferred Stock Purchase Agreement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1" w:name="page52"/>
    <w:bookmarkEnd w:id="5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Related Matters” in our 2024 Form 10-K for more information on Treasury’s funding commitment under the senior preferred stock purchase agreement.</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exposed to the following principal risk categories: credit risk (including mortgage credit risk and institutional counterparty credit risk), market risk (including interest-rate risk), liquidity risk, operational risk (including cyber and other information security risk), model risk, strategic risk, compliance risk and reputational risk. See “MD&amp;A—Risk Management,” “MD&amp;A—Single-Family Business—Single-Family Mortgage Credit Risk Management,” “MD&amp;A— Multifamily Business—Multifamily Mortgage Credit Risk Management” and “MD&amp;A—Liquidity and Capital Management” in our 2024 Form 10-K for a discussion of our management of the categories of risk we have determined present the most significant exposure. This section, “Single-Family Business— Single-Family Mortgage Credit Risk Management,” “Multifamily Business—Multifamily Mortgage Credit Risk Management” and “Liquidity and Capital Management” in this report supplement and update that discussion, but do not address all of these risk management categories.</w:t>
      </w:r>
    </w:p>
    <w:p>
      <w:pPr>
        <w:spacing w:after="0" w:line="10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Institutional Counterparty Credit Risk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Mortgage Servicers</w:t>
      </w:r>
    </w:p>
    <w:p>
      <w:pPr>
        <w:spacing w:after="0" w:line="6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On March 31, 2025, Rocket Companies, Inc., the parent company of Rocket Mortgage, LLC announced a definitive agreement to acquire Mr. Cooper Group. Rocket Companies stated that the acquisition, which is subject to various closing conditions, is expected to close in the fourth quarter of 2025. If the acquisition is completed, we expect an increase in our single-family servicing concentration to entities controlled by Rocket Companies. As of June 30, 2025, Rocket Mortgage serviced approximately 7%, and Mr. Cooper serviced approximately 9%, of our single-family guaranty book of business, excluding loans they service on behalf of other servicers. Including loans serviced on behalf of other servicers, Rocket Mortgage serviced approximately 7%, and Mr. Cooper serviced approximately 16%, of our single-family guaranty book of business, as of June 30, 2025. These servicing concentrations are based on unpaid principal balance.</w:t>
      </w:r>
    </w:p>
    <w:p>
      <w:pPr>
        <w:spacing w:after="0" w:line="10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We do not currently actively manage or hedge, on an economic basis, our spread risk, or the interest-rate risk arising from cost basis adjustments and float income associated with mortgage assets held by our consolidated MBS trusts. See “MD&amp;A—Risk Management—Market Risk Management, including Interest-Rate Risk Management” and “Risk Factors— Market and Industry Risk” in our 2024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4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2" w:name="page53"/>
    <w:bookmarkEnd w:id="52"/>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Interest-Rate Risk</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We collectively define our net portfolio as: our retained mortgage portfolio assets; our corporate liquidity portfolio; outstanding debt of Fannie Mae used to fund the retained mortgage portfolio assets and corporate liquidity portfolio; mortgage commitments; and risk management derivatives.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June 30, 2025 and 2024. Our practice is to allow interest rates to go below zero in the downward shock models unless otherwise prevented through contractual floors.</w:t>
      </w:r>
    </w:p>
    <w:p>
      <w:pPr>
        <w:spacing w:after="0" w:line="43"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2024 Form 10-K.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6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460" w:type="dxa"/>
            <w:vAlign w:val="bottom"/>
            <w:tcBorders>
              <w:top w:val="single" w:sz="8" w:color="2C6937"/>
            </w:tcBorders>
          </w:tcPr>
          <w:p>
            <w:pPr>
              <w:spacing w:after="0"/>
              <w:rPr>
                <w:sz w:val="19"/>
                <w:szCs w:val="19"/>
                <w:color w:val="auto"/>
              </w:rPr>
            </w:pPr>
          </w:p>
        </w:tc>
        <w:tc>
          <w:tcPr>
            <w:tcW w:w="920" w:type="dxa"/>
            <w:vAlign w:val="bottom"/>
            <w:tcBorders>
              <w:top w:val="single" w:sz="8" w:color="2C6937"/>
            </w:tcBorders>
          </w:tcPr>
          <w:p>
            <w:pPr>
              <w:spacing w:after="0"/>
              <w:rPr>
                <w:sz w:val="19"/>
                <w:szCs w:val="19"/>
                <w:color w:val="auto"/>
              </w:rPr>
            </w:pPr>
          </w:p>
        </w:tc>
        <w:tc>
          <w:tcPr>
            <w:tcW w:w="86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180" w:type="dxa"/>
            <w:vAlign w:val="bottom"/>
            <w:tcBorders>
              <w:top w:val="single" w:sz="8" w:color="2C6937"/>
            </w:tcBorders>
          </w:tcPr>
          <w:p>
            <w:pPr>
              <w:spacing w:after="0"/>
              <w:rPr>
                <w:sz w:val="19"/>
                <w:szCs w:val="19"/>
                <w:color w:val="auto"/>
              </w:rPr>
            </w:pPr>
          </w:p>
        </w:tc>
        <w:tc>
          <w:tcPr>
            <w:tcW w:w="94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60" w:type="dxa"/>
            <w:vAlign w:val="bottom"/>
            <w:tcBorders>
              <w:top w:val="single" w:sz="8" w:color="2C6937"/>
              <w:bottom w:val="single" w:sz="8" w:color="2C6937"/>
            </w:tcBorders>
          </w:tcPr>
          <w:p>
            <w:pPr>
              <w:spacing w:after="0"/>
              <w:rPr>
                <w:sz w:val="19"/>
                <w:szCs w:val="19"/>
                <w:color w:val="auto"/>
              </w:rPr>
            </w:pPr>
          </w:p>
        </w:tc>
        <w:tc>
          <w:tcPr>
            <w:tcW w:w="30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820" w:type="dxa"/>
            <w:vAlign w:val="bottom"/>
            <w:tcBorders>
              <w:top w:val="single" w:sz="8" w:color="2C6937"/>
              <w:bottom w:val="single" w:sz="8" w:color="2C6937"/>
            </w:tcBorders>
          </w:tcPr>
          <w:p>
            <w:pPr>
              <w:jc w:val="center"/>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700" w:type="dxa"/>
            <w:vAlign w:val="bottom"/>
            <w:tcBorders>
              <w:top w:val="single" w:sz="8" w:color="2C6937"/>
              <w:bottom w:val="single" w:sz="8" w:color="2C6937"/>
            </w:tcBorders>
          </w:tcPr>
          <w:p>
            <w:pPr>
              <w:spacing w:after="0"/>
              <w:rPr>
                <w:sz w:val="19"/>
                <w:szCs w:val="19"/>
                <w:color w:val="auto"/>
              </w:rPr>
            </w:pPr>
          </w:p>
        </w:tc>
        <w:tc>
          <w:tcPr>
            <w:tcW w:w="86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Borders>
              <w:bottom w:val="single" w:sz="8" w:color="2C6937"/>
            </w:tcBorders>
            <w:gridSpan w:val="4"/>
          </w:tcPr>
          <w:p>
            <w:pPr>
              <w:ind w:left="500"/>
              <w:spacing w:after="0"/>
              <w:rPr>
                <w:sz w:val="20"/>
                <w:szCs w:val="20"/>
                <w:color w:val="auto"/>
              </w:rPr>
            </w:pPr>
            <w:r>
              <w:rPr>
                <w:rFonts w:ascii="Arial" w:cs="Arial" w:eastAsia="Arial" w:hAnsi="Arial"/>
                <w:sz w:val="14"/>
                <w:szCs w:val="14"/>
                <w:b w:val="1"/>
                <w:bCs w:val="1"/>
                <w:color w:val="auto"/>
                <w:w w:val="96"/>
              </w:rPr>
              <w:t>June 30, 2025</w:t>
            </w:r>
          </w:p>
        </w:tc>
        <w:tc>
          <w:tcPr>
            <w:tcW w:w="10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jc w:val="right"/>
              <w:ind w:right="243"/>
              <w:spacing w:after="0"/>
              <w:rPr>
                <w:sz w:val="20"/>
                <w:szCs w:val="20"/>
                <w:color w:val="auto"/>
              </w:rPr>
            </w:pPr>
            <w:r>
              <w:rPr>
                <w:rFonts w:ascii="Arial" w:cs="Arial" w:eastAsia="Arial" w:hAnsi="Arial"/>
                <w:sz w:val="14"/>
                <w:szCs w:val="14"/>
                <w:b w:val="1"/>
                <w:bCs w:val="1"/>
                <w:color w:val="auto"/>
                <w:w w:val="96"/>
              </w:rPr>
              <w:t>December 31, 2024</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4"/>
          </w:tcPr>
          <w:p>
            <w:pPr>
              <w:jc w:val="center"/>
              <w:ind w:right="167"/>
              <w:spacing w:after="0"/>
              <w:rPr>
                <w:sz w:val="20"/>
                <w:szCs w:val="20"/>
                <w:color w:val="auto"/>
              </w:rPr>
            </w:pPr>
            <w:r>
              <w:rPr>
                <w:rFonts w:ascii="Arial" w:cs="Arial" w:eastAsia="Arial" w:hAnsi="Arial"/>
                <w:sz w:val="14"/>
                <w:szCs w:val="14"/>
                <w:b w:val="1"/>
                <w:bCs w:val="1"/>
                <w:color w:val="auto"/>
                <w:w w:val="98"/>
              </w:rPr>
              <w:t>(Dollars 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4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84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39</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8"/>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4"/>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4"/>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06"/>
        </w:trPr>
        <w:tc>
          <w:tcPr>
            <w:tcW w:w="296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2920" w:type="dxa"/>
            <w:vAlign w:val="bottom"/>
            <w:tcBorders>
              <w:bottom w:val="single" w:sz="8" w:color="2C6937"/>
            </w:tcBorders>
            <w:gridSpan w:val="7"/>
          </w:tcPr>
          <w:p>
            <w:pPr>
              <w:ind w:left="220"/>
              <w:spacing w:after="0"/>
              <w:rPr>
                <w:sz w:val="20"/>
                <w:szCs w:val="20"/>
                <w:color w:val="auto"/>
              </w:rPr>
            </w:pPr>
            <w:r>
              <w:rPr>
                <w:rFonts w:ascii="Arial" w:cs="Arial" w:eastAsia="Arial" w:hAnsi="Arial"/>
                <w:sz w:val="14"/>
                <w:szCs w:val="14"/>
                <w:b w:val="1"/>
                <w:bCs w:val="1"/>
                <w:color w:val="auto"/>
                <w:w w:val="96"/>
              </w:rPr>
              <w:t>For the Three Months Ended June 30,</w:t>
            </w:r>
            <w:r>
              <w:rPr>
                <w:rFonts w:ascii="Arial" w:cs="Arial" w:eastAsia="Arial" w:hAnsi="Arial"/>
                <w:sz w:val="17"/>
                <w:szCs w:val="17"/>
                <w:b w:val="1"/>
                <w:bCs w:val="1"/>
                <w:color w:val="auto"/>
                <w:w w:val="96"/>
                <w:vertAlign w:val="superscript"/>
              </w:rPr>
              <w:t>(1)(3)</w:t>
            </w:r>
          </w:p>
        </w:tc>
        <w:tc>
          <w:tcPr>
            <w:tcW w:w="3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307"/>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0"/>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Duration Gap</w:t>
            </w:r>
          </w:p>
        </w:tc>
        <w:tc>
          <w:tcPr>
            <w:tcW w:w="13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Rate Slope Shock</w:t>
            </w:r>
          </w:p>
        </w:tc>
        <w:tc>
          <w:tcPr>
            <w:tcW w:w="15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140" w:type="dxa"/>
            <w:vAlign w:val="bottom"/>
          </w:tcPr>
          <w:p>
            <w:pPr>
              <w:spacing w:after="0"/>
              <w:rPr>
                <w:sz w:val="12"/>
                <w:szCs w:val="12"/>
                <w:color w:val="auto"/>
              </w:rPr>
            </w:pPr>
          </w:p>
        </w:tc>
        <w:tc>
          <w:tcPr>
            <w:tcW w:w="12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9"/>
              </w:rPr>
              <w:t>Duration Gap</w:t>
            </w:r>
          </w:p>
        </w:tc>
        <w:tc>
          <w:tcPr>
            <w:tcW w:w="122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auto"/>
                <w:w w:val="99"/>
              </w:rPr>
              <w:t>Rate Slope Shock</w:t>
            </w:r>
          </w:p>
        </w:tc>
        <w:tc>
          <w:tcPr>
            <w:tcW w:w="15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07"/>
              <w:spacing w:after="0"/>
              <w:rPr>
                <w:sz w:val="20"/>
                <w:szCs w:val="20"/>
                <w:color w:val="auto"/>
              </w:rPr>
            </w:pPr>
            <w:r>
              <w:rPr>
                <w:rFonts w:ascii="Arial" w:cs="Arial" w:eastAsia="Arial" w:hAnsi="Arial"/>
                <w:sz w:val="14"/>
                <w:szCs w:val="14"/>
                <w:b w:val="1"/>
                <w:bCs w:val="1"/>
                <w:color w:val="auto"/>
                <w:w w:val="94"/>
              </w:rPr>
              <w:t>25 bps</w:t>
            </w:r>
          </w:p>
        </w:tc>
        <w:tc>
          <w:tcPr>
            <w:tcW w:w="150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rPr>
              <w:t>bps</w:t>
            </w:r>
          </w:p>
        </w:tc>
        <w:tc>
          <w:tcPr>
            <w:tcW w:w="14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10"/>
              <w:spacing w:after="0"/>
              <w:rPr>
                <w:sz w:val="20"/>
                <w:szCs w:val="20"/>
                <w:color w:val="auto"/>
              </w:rPr>
            </w:pPr>
            <w:r>
              <w:rPr>
                <w:rFonts w:ascii="Arial" w:cs="Arial" w:eastAsia="Arial" w:hAnsi="Arial"/>
                <w:sz w:val="14"/>
                <w:szCs w:val="14"/>
                <w:b w:val="1"/>
                <w:bCs w:val="1"/>
                <w:color w:val="auto"/>
                <w:w w:val="94"/>
              </w:rPr>
              <w:t>25 bps</w:t>
            </w:r>
          </w:p>
        </w:tc>
        <w:tc>
          <w:tcPr>
            <w:tcW w:w="700" w:type="dxa"/>
            <w:vAlign w:val="bottom"/>
          </w:tcPr>
          <w:p>
            <w:pPr>
              <w:spacing w:after="0"/>
              <w:rPr>
                <w:sz w:val="15"/>
                <w:szCs w:val="15"/>
                <w:color w:val="auto"/>
              </w:rPr>
            </w:pPr>
          </w:p>
        </w:tc>
        <w:tc>
          <w:tcPr>
            <w:tcW w:w="860" w:type="dxa"/>
            <w:vAlign w:val="bottom"/>
          </w:tcPr>
          <w:p>
            <w:pPr>
              <w:jc w:val="right"/>
              <w:ind w:right="483"/>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2"/>
          </w:tcPr>
          <w:p>
            <w:pPr>
              <w:jc w:val="center"/>
              <w:ind w:left="107"/>
              <w:spacing w:after="0"/>
              <w:rPr>
                <w:sz w:val="20"/>
                <w:szCs w:val="20"/>
                <w:color w:val="auto"/>
              </w:rPr>
            </w:pPr>
            <w:r>
              <w:rPr>
                <w:rFonts w:ascii="Arial" w:cs="Arial" w:eastAsia="Arial" w:hAnsi="Arial"/>
                <w:sz w:val="14"/>
                <w:szCs w:val="14"/>
                <w:b w:val="1"/>
                <w:bCs w:val="1"/>
                <w:color w:val="auto"/>
                <w:w w:val="97"/>
              </w:rPr>
              <w:t>Market Value Sensitivity</w:t>
            </w:r>
          </w:p>
        </w:tc>
        <w:tc>
          <w:tcPr>
            <w:tcW w:w="640" w:type="dxa"/>
            <w:vAlign w:val="bottom"/>
            <w:tcBorders>
              <w:top w:val="single" w:sz="8" w:color="2C6937"/>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94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6937"/>
              <w:bottom w:val="single" w:sz="8" w:color="2C6937"/>
            </w:tcBorders>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3"/>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460" w:type="dxa"/>
            <w:vAlign w:val="bottom"/>
          </w:tcPr>
          <w:p>
            <w:pPr>
              <w:spacing w:after="0"/>
              <w:rPr>
                <w:sz w:val="16"/>
                <w:szCs w:val="16"/>
                <w:color w:val="auto"/>
              </w:rPr>
            </w:pPr>
          </w:p>
        </w:tc>
        <w:tc>
          <w:tcPr>
            <w:tcW w:w="178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98"/>
              </w:rPr>
              <w:t>(Dollars in millions)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tcPr>
          <w:p>
            <w:pPr>
              <w:jc w:val="right"/>
              <w:ind w:right="70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5"/>
                <w:szCs w:val="15"/>
                <w:color w:val="auto"/>
              </w:rPr>
              <w:t>Average</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0.03</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(7)</w:t>
            </w:r>
          </w:p>
        </w:tc>
        <w:tc>
          <w:tcPr>
            <w:tcW w:w="860" w:type="dxa"/>
            <w:vAlign w:val="bottom"/>
          </w:tcPr>
          <w:p>
            <w:pPr>
              <w:jc w:val="right"/>
              <w:ind w:right="209"/>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(26)</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Minimum</w:t>
            </w:r>
          </w:p>
        </w:tc>
        <w:tc>
          <w:tcPr>
            <w:tcW w:w="1100" w:type="dxa"/>
            <w:vAlign w:val="bottom"/>
          </w:tcPr>
          <w:p>
            <w:pPr>
              <w:jc w:val="right"/>
              <w:ind w:right="266"/>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(18)</w:t>
            </w:r>
          </w:p>
        </w:tc>
        <w:tc>
          <w:tcPr>
            <w:tcW w:w="860" w:type="dxa"/>
            <w:vAlign w:val="bottom"/>
          </w:tcPr>
          <w:p>
            <w:pPr>
              <w:spacing w:after="0"/>
              <w:rPr>
                <w:sz w:val="17"/>
                <w:szCs w:val="17"/>
                <w:color w:val="auto"/>
              </w:rPr>
            </w:pP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(14)</w:t>
            </w:r>
          </w:p>
        </w:tc>
        <w:tc>
          <w:tcPr>
            <w:tcW w:w="700" w:type="dxa"/>
            <w:vAlign w:val="bottom"/>
          </w:tcPr>
          <w:p>
            <w:pPr>
              <w:spacing w:after="0"/>
              <w:rPr>
                <w:sz w:val="17"/>
                <w:szCs w:val="17"/>
                <w:color w:val="auto"/>
              </w:rPr>
            </w:pP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Maximum</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(2)</w:t>
            </w:r>
          </w:p>
        </w:tc>
        <w:tc>
          <w:tcPr>
            <w:tcW w:w="860" w:type="dxa"/>
            <w:vAlign w:val="bottom"/>
          </w:tcPr>
          <w:p>
            <w:pPr>
              <w:spacing w:after="0"/>
              <w:rPr>
                <w:sz w:val="17"/>
                <w:szCs w:val="17"/>
                <w:color w:val="auto"/>
              </w:rPr>
            </w:pPr>
          </w:p>
        </w:tc>
        <w:tc>
          <w:tcPr>
            <w:tcW w:w="640" w:type="dxa"/>
            <w:vAlign w:val="bottom"/>
          </w:tcPr>
          <w:p>
            <w:pPr>
              <w:jc w:val="right"/>
              <w:ind w:right="343"/>
              <w:spacing w:after="0"/>
              <w:rPr>
                <w:sz w:val="20"/>
                <w:szCs w:val="20"/>
                <w:color w:val="auto"/>
              </w:rPr>
            </w:pPr>
            <w:r>
              <w:rPr>
                <w:rFonts w:ascii="Arial" w:cs="Arial" w:eastAsia="Arial" w:hAnsi="Arial"/>
                <w:sz w:val="15"/>
                <w:szCs w:val="15"/>
                <w:b w:val="1"/>
                <w:bCs w:val="1"/>
                <w:color w:val="auto"/>
              </w:rPr>
              <w:t>2</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(4)</w:t>
            </w:r>
          </w:p>
        </w:tc>
        <w:tc>
          <w:tcPr>
            <w:tcW w:w="700" w:type="dxa"/>
            <w:vAlign w:val="bottom"/>
          </w:tcPr>
          <w:p>
            <w:pPr>
              <w:spacing w:after="0"/>
              <w:rPr>
                <w:sz w:val="17"/>
                <w:szCs w:val="17"/>
                <w:color w:val="auto"/>
              </w:rPr>
            </w:pP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3</w:t>
            </w:r>
          </w:p>
        </w:tc>
        <w:tc>
          <w:tcPr>
            <w:tcW w:w="860" w:type="dxa"/>
            <w:vAlign w:val="bottom"/>
          </w:tcPr>
          <w:p>
            <w:pPr>
              <w:spacing w:after="0"/>
              <w:rPr>
                <w:sz w:val="18"/>
                <w:szCs w:val="18"/>
                <w:color w:val="auto"/>
              </w:rPr>
            </w:pPr>
          </w:p>
        </w:tc>
        <w:tc>
          <w:tcPr>
            <w:tcW w:w="640" w:type="dxa"/>
            <w:vAlign w:val="bottom"/>
          </w:tcPr>
          <w:p>
            <w:pPr>
              <w:jc w:val="right"/>
              <w:ind w:right="343"/>
              <w:spacing w:after="0"/>
              <w:rPr>
                <w:sz w:val="20"/>
                <w:szCs w:val="20"/>
                <w:color w:val="auto"/>
              </w:rPr>
            </w:pPr>
            <w:r>
              <w:rPr>
                <w:rFonts w:ascii="Arial" w:cs="Arial" w:eastAsia="Arial" w:hAnsi="Arial"/>
                <w:sz w:val="15"/>
                <w:szCs w:val="15"/>
                <w:b w:val="1"/>
                <w:bCs w:val="1"/>
                <w:color w:val="auto"/>
              </w:rPr>
              <w:t>14</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700" w:type="dxa"/>
            <w:vAlign w:val="bottom"/>
          </w:tcPr>
          <w:p>
            <w:pPr>
              <w:spacing w:after="0"/>
              <w:rPr>
                <w:sz w:val="18"/>
                <w:szCs w:val="18"/>
                <w:color w:val="auto"/>
              </w:rPr>
            </w:pPr>
          </w:p>
        </w:tc>
        <w:tc>
          <w:tcPr>
            <w:tcW w:w="860" w:type="dxa"/>
            <w:vAlign w:val="bottom"/>
          </w:tcPr>
          <w:p>
            <w:pPr>
              <w:jc w:val="right"/>
              <w:ind w:right="34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0" w:hanging="217"/>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3"/>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33" w:lineRule="exact"/>
        <w:rPr>
          <w:rFonts w:ascii="Arial" w:cs="Arial" w:eastAsia="Arial" w:hAnsi="Arial"/>
          <w:sz w:val="9"/>
          <w:szCs w:val="9"/>
          <w:color w:val="auto"/>
        </w:rPr>
      </w:pPr>
    </w:p>
    <w:p>
      <w:pPr>
        <w:ind w:left="220" w:hanging="217"/>
        <w:spacing w:after="0"/>
        <w:tabs>
          <w:tab w:leader="none" w:pos="22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Computed based on daily values during the period presented.</w:t>
      </w:r>
    </w:p>
    <w:p>
      <w:pPr>
        <w:spacing w:after="0" w:line="7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3" w:name="page54"/>
    <w:bookmarkEnd w:id="53"/>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2024 Form 10-K and in this report.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32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467"/>
              <w:spacing w:after="0"/>
              <w:rPr>
                <w:sz w:val="20"/>
                <w:szCs w:val="20"/>
                <w:color w:val="auto"/>
              </w:rPr>
            </w:pPr>
            <w:r>
              <w:rPr>
                <w:rFonts w:ascii="Arial" w:cs="Arial" w:eastAsia="Arial" w:hAnsi="Arial"/>
                <w:sz w:val="14"/>
                <w:szCs w:val="14"/>
                <w:b w:val="1"/>
                <w:bCs w:val="1"/>
                <w:color w:val="auto"/>
              </w:rPr>
              <w:t>June 30, 2025</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2024</w:t>
            </w:r>
          </w:p>
        </w:tc>
      </w:tr>
      <w:tr>
        <w:trPr>
          <w:trHeight w:val="185"/>
        </w:trPr>
        <w:tc>
          <w:tcPr>
            <w:tcW w:w="7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0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7"/>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32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1580" w:type="dxa"/>
            <w:vAlign w:val="bottom"/>
          </w:tcPr>
          <w:p>
            <w:pPr>
              <w:jc w:val="right"/>
              <w:ind w:right="107"/>
              <w:spacing w:after="0"/>
              <w:rPr>
                <w:sz w:val="20"/>
                <w:szCs w:val="20"/>
                <w:color w:val="auto"/>
              </w:rPr>
            </w:pPr>
            <w:r>
              <w:rPr>
                <w:rFonts w:ascii="Arial" w:cs="Arial" w:eastAsia="Arial" w:hAnsi="Arial"/>
                <w:sz w:val="15"/>
                <w:szCs w:val="15"/>
                <w:b w:val="1"/>
                <w:bCs w:val="1"/>
                <w:color w:val="auto"/>
              </w:rPr>
              <w:t>(818)</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(654)</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320" w:type="dxa"/>
            <w:vAlign w:val="bottom"/>
          </w:tcPr>
          <w:p>
            <w:pPr>
              <w:spacing w:after="0"/>
              <w:rPr>
                <w:sz w:val="17"/>
                <w:szCs w:val="17"/>
                <w:color w:val="auto"/>
              </w:rPr>
            </w:pPr>
          </w:p>
        </w:tc>
        <w:tc>
          <w:tcPr>
            <w:tcW w:w="1580" w:type="dxa"/>
            <w:vAlign w:val="bottom"/>
          </w:tcPr>
          <w:p>
            <w:pPr>
              <w:jc w:val="right"/>
              <w:ind w:right="107"/>
              <w:spacing w:after="0"/>
              <w:rPr>
                <w:sz w:val="20"/>
                <w:szCs w:val="20"/>
                <w:color w:val="auto"/>
              </w:rPr>
            </w:pPr>
            <w:r>
              <w:rPr>
                <w:rFonts w:ascii="Arial" w:cs="Arial" w:eastAsia="Arial" w:hAnsi="Arial"/>
                <w:sz w:val="15"/>
                <w:szCs w:val="15"/>
                <w:b w:val="1"/>
                <w:bCs w:val="1"/>
                <w:color w:val="auto"/>
              </w:rPr>
              <w:t>(23)</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(18)</w:t>
            </w:r>
          </w:p>
        </w:tc>
      </w:tr>
      <w:tr>
        <w:trPr>
          <w:trHeight w:val="214"/>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320" w:type="dxa"/>
            <w:vAlign w:val="bottom"/>
          </w:tcPr>
          <w:p>
            <w:pPr>
              <w:spacing w:after="0"/>
              <w:rPr>
                <w:sz w:val="18"/>
                <w:szCs w:val="18"/>
                <w:color w:val="auto"/>
              </w:rPr>
            </w:pPr>
          </w:p>
        </w:tc>
        <w:tc>
          <w:tcPr>
            <w:tcW w:w="1580" w:type="dxa"/>
            <w:vAlign w:val="bottom"/>
          </w:tcPr>
          <w:p>
            <w:pPr>
              <w:jc w:val="right"/>
              <w:ind w:right="167"/>
              <w:spacing w:after="0"/>
              <w:rPr>
                <w:sz w:val="20"/>
                <w:szCs w:val="20"/>
                <w:color w:val="auto"/>
              </w:rPr>
            </w:pPr>
            <w:r>
              <w:rPr>
                <w:rFonts w:ascii="Arial" w:cs="Arial" w:eastAsia="Arial" w:hAnsi="Arial"/>
                <w:sz w:val="15"/>
                <w:szCs w:val="15"/>
                <w:b w:val="1"/>
                <w:bCs w:val="1"/>
                <w:color w:val="auto"/>
              </w:rPr>
              <w:t>795</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636</w:t>
            </w:r>
          </w:p>
        </w:tc>
      </w:tr>
    </w:tbl>
    <w:p>
      <w:pPr>
        <w:spacing w:after="0" w:line="102" w:lineRule="exact"/>
        <w:rPr>
          <w:sz w:val="20"/>
          <w:szCs w:val="20"/>
          <w:color w:val="auto"/>
        </w:rPr>
      </w:pPr>
    </w:p>
    <w:p>
      <w:pPr>
        <w:ind w:left="220" w:hanging="217"/>
        <w:spacing w:after="0"/>
        <w:tabs>
          <w:tab w:leader="none" w:pos="220" w:val="left"/>
        </w:tabs>
        <w:numPr>
          <w:ilvl w:val="0"/>
          <w:numId w:val="44"/>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Earnings Exposure to Interest-Rate Risk</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2024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each business day to provide flexibility in our overall risk management strategy.</w:t>
      </w:r>
    </w:p>
    <w:p>
      <w:pPr>
        <w:spacing w:after="0" w:line="43" w:lineRule="exact"/>
        <w:rPr>
          <w:sz w:val="20"/>
          <w:szCs w:val="20"/>
          <w:color w:val="auto"/>
        </w:rPr>
      </w:pPr>
    </w:p>
    <w:p>
      <w:pPr>
        <w:ind w:right="820"/>
        <w:spacing w:after="0" w:line="310" w:lineRule="auto"/>
        <w:rPr>
          <w:sz w:val="20"/>
          <w:szCs w:val="20"/>
          <w:color w:val="auto"/>
        </w:rPr>
      </w:pPr>
      <w:r>
        <w:rPr>
          <w:rFonts w:ascii="Arial" w:cs="Arial" w:eastAsia="Arial" w:hAnsi="Arial"/>
          <w:sz w:val="16"/>
          <w:szCs w:val="16"/>
          <w:color w:val="auto"/>
        </w:rPr>
        <w:t>See “Note 1, Summary of Significant Accounting Policies” in our 2024 Form 10-K and “Note 9, Derivative Instruments” in this report for additional information on our fair value hedge accounting policy and related disclosures.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2024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2024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4" w:name="page55"/>
    <w:bookmarkEnd w:id="54"/>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89"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5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net operating income and property valuations. In developing a reasonable and supportable forecast, the model simulates multiple paths of interest rates, rental income and property values based on current market conditions.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106"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4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106"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 In the second quarter and first half of 2025, qualitative factors considered included economic uncertainty associated with recent trade and fiscal policies as well as the continuing uncertainty relating to multifamily property values.</w:t>
      </w:r>
    </w:p>
    <w:p>
      <w:pPr>
        <w:spacing w:after="0" w:line="8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9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inputs. For single-family, we have determined that our most significant macroeconomic inputs used in determining our allowance for loan losses consist of forecasted home price growth rates and interest rates. For multifamily, we have determined that our most significant macroeconomic inputs used in determining our allowance for loan losses consist of net operating income and property value growth rates.</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evaluating the sensitivities of our allowance to these macroeconomic inputs, 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2024 Form 10-K. See “Note 5, Allowance for Loan Losses” for additional information about our current period (provision) benefit for loan losses.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5" w:name="page56"/>
    <w:bookmarkEnd w:id="55"/>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Sensitivities and Inputs</w:t>
      </w:r>
    </w:p>
    <w:p>
      <w:pPr>
        <w:spacing w:after="0" w:line="54"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single-family allowance for each quarter through the six months ended June 30, 2025, and for each quarter during the year ended December 31, 2024, and how those forecasts have changed between periods of estimate. Below we present our home price growth and interest rate estimates used in our estimate of expected credit losses. Our forecasts include estimates for periods beyond 2027 that are not presented in the table below.</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28"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320" w:type="dxa"/>
            <w:vAlign w:val="bottom"/>
          </w:tcPr>
          <w:p>
            <w:pPr>
              <w:spacing w:after="0"/>
              <w:rPr>
                <w:sz w:val="17"/>
                <w:szCs w:val="17"/>
                <w:color w:val="auto"/>
              </w:rPr>
            </w:pPr>
          </w:p>
        </w:tc>
        <w:tc>
          <w:tcPr>
            <w:tcW w:w="122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2025</w:t>
            </w:r>
          </w:p>
        </w:tc>
        <w:tc>
          <w:tcPr>
            <w:tcW w:w="58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center"/>
              <w:ind w:right="383"/>
              <w:spacing w:after="0"/>
              <w:rPr>
                <w:sz w:val="20"/>
                <w:szCs w:val="20"/>
                <w:color w:val="auto"/>
              </w:rPr>
            </w:pPr>
            <w:r>
              <w:rPr>
                <w:rFonts w:ascii="Arial" w:cs="Arial" w:eastAsia="Arial" w:hAnsi="Arial"/>
                <w:sz w:val="15"/>
                <w:szCs w:val="15"/>
                <w:b w:val="1"/>
                <w:bCs w:val="1"/>
                <w:color w:val="auto"/>
              </w:rPr>
              <w:t>2027</w:t>
            </w:r>
          </w:p>
        </w:tc>
      </w:tr>
      <w:tr>
        <w:trPr>
          <w:trHeight w:val="210"/>
        </w:trPr>
        <w:tc>
          <w:tcPr>
            <w:tcW w:w="7540" w:type="dxa"/>
            <w:vAlign w:val="bottom"/>
            <w:gridSpan w:val="2"/>
          </w:tcPr>
          <w:p>
            <w:pPr>
              <w:spacing w:after="0"/>
              <w:rPr>
                <w:sz w:val="20"/>
                <w:szCs w:val="20"/>
                <w:color w:val="auto"/>
              </w:rPr>
            </w:pPr>
            <w:r>
              <w:rPr>
                <w:rFonts w:ascii="Arial" w:cs="Arial" w:eastAsia="Arial" w:hAnsi="Arial"/>
                <w:sz w:val="15"/>
                <w:szCs w:val="15"/>
                <w:color w:val="auto"/>
              </w:rPr>
              <w:t>Second Quarter 2025</w:t>
            </w:r>
          </w:p>
        </w:tc>
        <w:tc>
          <w:tcPr>
            <w:tcW w:w="580" w:type="dxa"/>
            <w:vAlign w:val="bottom"/>
          </w:tcPr>
          <w:p>
            <w:pPr>
              <w:ind w:left="160"/>
              <w:spacing w:after="0"/>
              <w:rPr>
                <w:sz w:val="20"/>
                <w:szCs w:val="20"/>
                <w:color w:val="auto"/>
              </w:rPr>
            </w:pPr>
            <w:r>
              <w:rPr>
                <w:rFonts w:ascii="Arial" w:cs="Arial" w:eastAsia="Arial" w:hAnsi="Arial"/>
                <w:sz w:val="15"/>
                <w:szCs w:val="15"/>
                <w:color w:val="auto"/>
              </w:rPr>
              <w:t>3.4 %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1.1 %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w w:val="98"/>
              </w:rPr>
              <w:t>1.1 %</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First Quarter 2025</w:t>
            </w:r>
          </w:p>
        </w:tc>
        <w:tc>
          <w:tcPr>
            <w:tcW w:w="580" w:type="dxa"/>
            <w:vAlign w:val="bottom"/>
          </w:tcPr>
          <w:p>
            <w:pPr>
              <w:ind w:left="16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1.3</w:t>
            </w:r>
          </w:p>
        </w:tc>
      </w:tr>
      <w:tr>
        <w:trPr>
          <w:trHeight w:val="488"/>
        </w:trPr>
        <w:tc>
          <w:tcPr>
            <w:tcW w:w="6320" w:type="dxa"/>
            <w:vAlign w:val="bottom"/>
          </w:tcPr>
          <w:p>
            <w:pPr>
              <w:spacing w:after="0"/>
              <w:rPr>
                <w:sz w:val="24"/>
                <w:szCs w:val="24"/>
                <w:color w:val="auto"/>
              </w:rPr>
            </w:pPr>
          </w:p>
        </w:tc>
        <w:tc>
          <w:tcPr>
            <w:tcW w:w="3940" w:type="dxa"/>
            <w:vAlign w:val="bottom"/>
            <w:tcBorders>
              <w:bottom w:val="single" w:sz="8" w:color="2C6937"/>
            </w:tcBorders>
            <w:gridSpan w:val="6"/>
          </w:tcPr>
          <w:p>
            <w:pPr>
              <w:ind w:left="1040"/>
              <w:spacing w:after="0"/>
              <w:rPr>
                <w:sz w:val="20"/>
                <w:szCs w:val="20"/>
                <w:color w:val="auto"/>
              </w:rPr>
            </w:pPr>
            <w:r>
              <w:rPr>
                <w:rFonts w:ascii="Arial" w:cs="Arial" w:eastAsia="Arial" w:hAnsi="Arial"/>
                <w:sz w:val="15"/>
                <w:szCs w:val="15"/>
                <w:b w:val="1"/>
                <w:bCs w:val="1"/>
                <w:color w:val="auto"/>
              </w:rPr>
              <w:t>For the Full Year ending December 31,</w:t>
            </w:r>
          </w:p>
        </w:tc>
        <w:tc>
          <w:tcPr>
            <w:tcW w:w="960" w:type="dxa"/>
            <w:vAlign w:val="bottom"/>
            <w:tcBorders>
              <w:bottom w:val="single" w:sz="8" w:color="2C6937"/>
            </w:tcBorders>
          </w:tcPr>
          <w:p>
            <w:pPr>
              <w:spacing w:after="0"/>
              <w:rPr>
                <w:sz w:val="24"/>
                <w:szCs w:val="24"/>
                <w:color w:val="auto"/>
              </w:rPr>
            </w:pPr>
          </w:p>
        </w:tc>
      </w:tr>
      <w:tr>
        <w:trPr>
          <w:trHeight w:val="202"/>
        </w:trPr>
        <w:tc>
          <w:tcPr>
            <w:tcW w:w="6320" w:type="dxa"/>
            <w:vAlign w:val="bottom"/>
          </w:tcPr>
          <w:p>
            <w:pPr>
              <w:spacing w:after="0"/>
              <w:rPr>
                <w:sz w:val="17"/>
                <w:szCs w:val="17"/>
                <w:color w:val="auto"/>
              </w:rPr>
            </w:pPr>
          </w:p>
        </w:tc>
        <w:tc>
          <w:tcPr>
            <w:tcW w:w="122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center"/>
              <w:ind w:right="383"/>
              <w:spacing w:after="0"/>
              <w:rPr>
                <w:sz w:val="20"/>
                <w:szCs w:val="20"/>
                <w:color w:val="auto"/>
              </w:rPr>
            </w:pPr>
            <w:r>
              <w:rPr>
                <w:rFonts w:ascii="Arial" w:cs="Arial" w:eastAsia="Arial" w:hAnsi="Arial"/>
                <w:sz w:val="15"/>
                <w:szCs w:val="15"/>
                <w:b w:val="1"/>
                <w:bCs w:val="1"/>
                <w:color w:val="auto"/>
              </w:rPr>
              <w:t>2026</w:t>
            </w:r>
          </w:p>
        </w:tc>
      </w:tr>
      <w:tr>
        <w:trPr>
          <w:trHeight w:val="210"/>
        </w:trPr>
        <w:tc>
          <w:tcPr>
            <w:tcW w:w="7540" w:type="dxa"/>
            <w:vAlign w:val="bottom"/>
            <w:gridSpan w:val="2"/>
          </w:tcPr>
          <w:p>
            <w:pPr>
              <w:spacing w:after="0"/>
              <w:rPr>
                <w:sz w:val="20"/>
                <w:szCs w:val="20"/>
                <w:color w:val="auto"/>
              </w:rPr>
            </w:pPr>
            <w:r>
              <w:rPr>
                <w:rFonts w:ascii="Arial" w:cs="Arial" w:eastAsia="Arial" w:hAnsi="Arial"/>
                <w:sz w:val="15"/>
                <w:szCs w:val="15"/>
                <w:color w:val="auto"/>
              </w:rPr>
              <w:t>Fourth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5.9 %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3.5 %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w w:val="98"/>
              </w:rPr>
              <w:t>1.7 %</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Third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1.7</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Second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0.8</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First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center"/>
              <w:ind w:right="383"/>
              <w:spacing w:after="0"/>
              <w:rPr>
                <w:sz w:val="20"/>
                <w:szCs w:val="20"/>
                <w:color w:val="auto"/>
              </w:rPr>
            </w:pPr>
            <w:r>
              <w:rPr>
                <w:rFonts w:ascii="Arial" w:cs="Arial" w:eastAsia="Arial" w:hAnsi="Arial"/>
                <w:sz w:val="15"/>
                <w:szCs w:val="15"/>
                <w:color w:val="auto"/>
              </w:rPr>
              <w:t>*</w:t>
            </w: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2024</w:t>
      </w:r>
    </w:p>
    <w:p>
      <w:pPr>
        <w:spacing w:after="0" w:line="142" w:lineRule="exact"/>
        <w:rPr>
          <w:sz w:val="20"/>
          <w:szCs w:val="20"/>
          <w:color w:val="auto"/>
        </w:rPr>
      </w:pPr>
    </w:p>
    <w:p>
      <w:pPr>
        <w:ind w:left="200" w:hanging="197"/>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less than 0.05% of home price growth (decline).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02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080" w:type="dxa"/>
            <w:vAlign w:val="bottom"/>
            <w:gridSpan w:val="3"/>
          </w:tcPr>
          <w:p>
            <w:pPr>
              <w:jc w:val="center"/>
              <w:ind w:left="88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0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7"/>
                <w:szCs w:val="17"/>
                <w:color w:val="auto"/>
              </w:rPr>
            </w:pPr>
          </w:p>
        </w:tc>
        <w:tc>
          <w:tcPr>
            <w:tcW w:w="50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2027</w:t>
            </w:r>
          </w:p>
        </w:tc>
      </w:tr>
      <w:tr>
        <w:trPr>
          <w:trHeight w:val="210"/>
        </w:trPr>
        <w:tc>
          <w:tcPr>
            <w:tcW w:w="1800" w:type="dxa"/>
            <w:vAlign w:val="bottom"/>
          </w:tcPr>
          <w:p>
            <w:pPr>
              <w:ind w:left="1380"/>
              <w:spacing w:after="0"/>
              <w:rPr>
                <w:sz w:val="20"/>
                <w:szCs w:val="20"/>
                <w:color w:val="auto"/>
              </w:rPr>
            </w:pPr>
            <w:r>
              <w:rPr>
                <w:rFonts w:ascii="Arial" w:cs="Arial" w:eastAsia="Arial" w:hAnsi="Arial"/>
                <w:sz w:val="15"/>
                <w:szCs w:val="15"/>
                <w:color w:val="auto"/>
              </w:rPr>
              <w:t>6.7 %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6.3 %</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r>
        <w:trPr>
          <w:trHeight w:val="451"/>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02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080" w:type="dxa"/>
            <w:vAlign w:val="bottom"/>
            <w:gridSpan w:val="3"/>
          </w:tcPr>
          <w:p>
            <w:pPr>
              <w:jc w:val="center"/>
              <w:ind w:left="88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0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50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2026</w:t>
            </w:r>
          </w:p>
        </w:tc>
      </w:tr>
      <w:tr>
        <w:trPr>
          <w:trHeight w:val="210"/>
        </w:trPr>
        <w:tc>
          <w:tcPr>
            <w:tcW w:w="1800" w:type="dxa"/>
            <w:vAlign w:val="bottom"/>
          </w:tcPr>
          <w:p>
            <w:pPr>
              <w:ind w:left="1380"/>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6.8 %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6.7 %</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5.9</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6.4</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6.2</w:t>
            </w:r>
          </w:p>
        </w:tc>
      </w:tr>
    </w:tbl>
    <w:p>
      <w:pPr>
        <w:spacing w:after="0" w:line="303" w:lineRule="exact"/>
        <w:rPr>
          <w:sz w:val="20"/>
          <w:szCs w:val="20"/>
          <w:color w:val="auto"/>
        </w:rPr>
      </w:pPr>
    </w:p>
    <w:p>
      <w:pPr>
        <w:sectPr>
          <w:pgSz w:w="11900" w:h="16838" w:orient="portrait"/>
          <w:cols w:equalWidth="0" w:num="2">
            <w:col w:w="5620" w:space="720"/>
            <w:col w:w="4900"/>
          </w:cols>
          <w:pgMar w:left="320" w:top="248" w:right="339" w:bottom="1440" w:gutter="0" w:footer="0" w:header="0"/>
          <w:type w:val="continuous"/>
        </w:sectPr>
      </w:pPr>
    </w:p>
    <w:p>
      <w:pPr>
        <w:ind w:left="240" w:right="120" w:hanging="237"/>
        <w:spacing w:after="0" w:line="259"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These forecasts are provided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and Strategic Research Group provides its economic and housing outlook, which is available in the “Data and Insights” section of our website, www.fanniemae.com. Information on our website is not incorporated into this report.</w:t>
      </w:r>
    </w:p>
    <w:p>
      <w:pPr>
        <w:spacing w:after="0" w:line="1" w:lineRule="exact"/>
        <w:rPr>
          <w:rFonts w:ascii="Arial" w:cs="Arial" w:eastAsia="Arial" w:hAnsi="Arial"/>
          <w:sz w:val="9"/>
          <w:szCs w:val="9"/>
          <w:color w:val="auto"/>
        </w:rPr>
      </w:pPr>
    </w:p>
    <w:p>
      <w:pPr>
        <w:ind w:left="240" w:right="180" w:hanging="237"/>
        <w:spacing w:after="0" w:line="274" w:lineRule="auto"/>
        <w:tabs>
          <w:tab w:leader="none" w:pos="233" w:val="left"/>
        </w:tabs>
        <w:numPr>
          <w:ilvl w:val="0"/>
          <w:numId w:val="46"/>
        </w:numPr>
        <w:rPr>
          <w:rFonts w:ascii="Arial" w:cs="Arial" w:eastAsia="Arial" w:hAnsi="Arial"/>
          <w:sz w:val="8"/>
          <w:szCs w:val="8"/>
          <w:color w:val="auto"/>
        </w:rPr>
      </w:pPr>
      <w:r>
        <w:rPr>
          <w:rFonts w:ascii="Arial" w:cs="Arial" w:eastAsia="Arial" w:hAnsi="Arial"/>
          <w:sz w:val="13"/>
          <w:szCs w:val="13"/>
          <w:color w:val="auto"/>
        </w:rPr>
        <w:t>These estimates are based on our national home price index, which is calculated differently from the S&amp;P CoreLogic Case-Shiller U.S. National Home Price Index and therefore results in different percentages for comparable growth. We periodically update our home price growth estimates and forecasts as new data become available. As a result,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ensure the reasonableness of the inputs used to calculate estimated credit losses. The forecast data excludes the impact of any qualitative adjustments.</w:t>
      </w:r>
    </w:p>
    <w:p>
      <w:pPr>
        <w:spacing w:after="0" w:line="7" w:lineRule="exact"/>
        <w:rPr>
          <w:rFonts w:ascii="Arial" w:cs="Arial" w:eastAsia="Arial" w:hAnsi="Arial"/>
          <w:sz w:val="8"/>
          <w:szCs w:val="8"/>
          <w:color w:val="auto"/>
        </w:rPr>
      </w:pPr>
    </w:p>
    <w:p>
      <w:pPr>
        <w:ind w:left="240" w:right="160" w:hanging="237"/>
        <w:spacing w:after="0" w:line="278"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2025 and 2024 represent the average</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6" w:name="page57"/>
    <w:bookmarkEnd w:id="56"/>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240" w:right="180"/>
        <w:spacing w:after="0" w:line="264" w:lineRule="auto"/>
        <w:rPr>
          <w:sz w:val="20"/>
          <w:szCs w:val="20"/>
          <w:color w:val="auto"/>
        </w:rPr>
      </w:pPr>
      <w:r>
        <w:rPr>
          <w:rFonts w:ascii="Arial" w:cs="Arial" w:eastAsia="Arial" w:hAnsi="Arial"/>
          <w:sz w:val="14"/>
          <w:szCs w:val="14"/>
          <w:color w:val="auto"/>
        </w:rPr>
        <w:t>forecasted rate from the quarter-end through the calendar year end of December 31st. The fourth quarter of 2024 interest rate represents the 30-year interest rate as of December 31, 2024. This table reflects the forecasted interest rate data we used in estimating credit losses for the periods shown and does not reflect changes in interest rates that occurred after the forecast date.</w:t>
      </w:r>
    </w:p>
    <w:p>
      <w:pPr>
        <w:spacing w:after="0" w:line="22"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As noted above, our single-family allowance for loan losses is sensitive to changes in home prices and interest rate changes. We present in the table below the impact of hypothetical changes in home prices and 30-year interest rates, with all other factors held constant.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712216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as of June 30, 2025</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173"/>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5"/>
                <w:szCs w:val="15"/>
                <w:color w:val="auto"/>
              </w:rPr>
            </w:pPr>
          </w:p>
        </w:tc>
        <w:tc>
          <w:tcPr>
            <w:tcW w:w="2000" w:type="dxa"/>
            <w:vAlign w:val="bottom"/>
            <w:tcBorders>
              <w:top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Borders>
              <w:top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Change in home prices growth rate:</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30-year interest rates:</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-915035</wp:posOffset>
            </wp:positionV>
            <wp:extent cx="90170" cy="1066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-751205</wp:posOffset>
            </wp:positionV>
            <wp:extent cx="98425" cy="1066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-325755</wp:posOffset>
            </wp:positionV>
            <wp:extent cx="98425" cy="1066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-161925</wp:posOffset>
            </wp:positionV>
            <wp:extent cx="90170" cy="1066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0170"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single-family allowance for loan losses.</w:t>
      </w:r>
    </w:p>
    <w:p>
      <w:pPr>
        <w:spacing w:after="0" w:line="25"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47"/>
        </w:numPr>
        <w:rPr>
          <w:rFonts w:ascii="Arial" w:cs="Arial" w:eastAsia="Arial" w:hAnsi="Arial"/>
          <w:sz w:val="9"/>
          <w:szCs w:val="9"/>
          <w:color w:val="auto"/>
        </w:rPr>
      </w:pPr>
      <w:r>
        <w:rPr>
          <w:rFonts w:ascii="Arial" w:cs="Arial" w:eastAsia="Arial" w:hAnsi="Arial"/>
          <w:sz w:val="14"/>
          <w:szCs w:val="14"/>
          <w:color w:val="auto"/>
        </w:rPr>
        <w:t>Change in home price shown on a normalized basis.</w:t>
      </w:r>
    </w:p>
    <w:p>
      <w:pPr>
        <w:spacing w:after="0" w:line="5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home price and interest rate changes are non-linear. As a result, changes in these estimates are not always incrementally proportional. The purpose of this analysis is to provide an indication of the impact of changes in home prices and 30-year interest rates on the estimate of the single-family allowance for credit losses. This analysis is not intended to imply management’s expectation of future changes in our forecasts or any other variables that may change as a result.</w:t>
      </w:r>
    </w:p>
    <w:p>
      <w:pPr>
        <w:spacing w:after="0" w:line="3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See “Key Market Economic Indicators” in our 2024 Form 10-K and in this report for additional information about how home prices and interest rates can affect our credit loss estimates, including a discussion of home price growth rates and our home price forecast. Also see “Consolidated Results of Operations—(Provision) Benefit for Credit Losses” for information on how our home price and interest rate forecasts impacted our single-family (provision) benefit for credit losses.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Sensitivities and Inputs</w:t>
      </w:r>
    </w:p>
    <w:p>
      <w:pPr>
        <w:spacing w:after="0" w:line="6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multifamily allowance for loan losses: multifamily property net operating income and property value growth rates. Although the model consumes a wide range of possible future economic scenarios, the forecasts below represent the mean path of those simulations used in determining the multifamily allowance for the quarter ended June 30, 2025, and for the quarter ended December 31, 2024, and how those forecasts have changed between periods of estimate. Our forecasts include estimates for periods beyond those presented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r>
      <w:tr>
        <w:trPr>
          <w:trHeight w:val="194"/>
        </w:trPr>
        <w:tc>
          <w:tcPr>
            <w:tcW w:w="69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7" w:name="page58"/>
    <w:bookmarkEnd w:id="57"/>
    <w:p>
      <w:pPr>
        <w:ind w:left="8840"/>
        <w:spacing w:after="0"/>
        <w:rPr>
          <w:sz w:val="20"/>
          <w:szCs w:val="20"/>
          <w:color w:val="auto"/>
        </w:rPr>
      </w:pPr>
      <w:r>
        <w:rPr>
          <w:rFonts w:ascii="Arial" w:cs="Arial" w:eastAsia="Arial" w:hAnsi="Arial"/>
          <w:sz w:val="13"/>
          <w:szCs w:val="13"/>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Multifamily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08088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80885" cy="16510"/>
                    </a:xfrm>
                    <a:prstGeom prst="rect">
                      <a:avLst/>
                    </a:prstGeom>
                    <a:noFill/>
                  </pic:spPr>
                </pic:pic>
              </a:graphicData>
            </a:graphic>
          </wp:anchor>
        </w:drawing>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780" w:type="dxa"/>
            <w:vAlign w:val="bottom"/>
            <w:gridSpan w:val="4"/>
          </w:tcPr>
          <w:p>
            <w:pPr>
              <w:spacing w:after="0"/>
              <w:rPr>
                <w:sz w:val="20"/>
                <w:szCs w:val="20"/>
                <w:color w:val="auto"/>
              </w:rPr>
            </w:pPr>
            <w:r>
              <w:rPr>
                <w:rFonts w:ascii="Arial" w:cs="Arial" w:eastAsia="Arial" w:hAnsi="Arial"/>
                <w:sz w:val="15"/>
                <w:szCs w:val="15"/>
                <w:b w:val="1"/>
                <w:bCs w:val="1"/>
                <w:color w:val="auto"/>
              </w:rPr>
              <w:t>Forecasted net operating income growth (decline) rate by period of estimate: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5"/>
        </w:trPr>
        <w:tc>
          <w:tcPr>
            <w:tcW w:w="3520" w:type="dxa"/>
            <w:vAlign w:val="bottom"/>
          </w:tcPr>
          <w:p>
            <w:pPr>
              <w:spacing w:after="0"/>
              <w:rPr>
                <w:sz w:val="20"/>
                <w:szCs w:val="20"/>
                <w:color w:val="auto"/>
              </w:rPr>
            </w:pPr>
          </w:p>
        </w:tc>
        <w:tc>
          <w:tcPr>
            <w:tcW w:w="184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3520" w:type="dxa"/>
            <w:vAlign w:val="bottom"/>
            <w:tcBorders>
              <w:bottom w:val="single" w:sz="8" w:color="2C6937"/>
            </w:tcBorders>
            <w:gridSpan w:val="4"/>
          </w:tcPr>
          <w:p>
            <w:pPr>
              <w:ind w:left="14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20"/>
                <w:szCs w:val="20"/>
                <w:color w:val="auto"/>
              </w:rPr>
            </w:pPr>
          </w:p>
        </w:tc>
      </w:tr>
      <w:tr>
        <w:trPr>
          <w:trHeight w:val="202"/>
        </w:trPr>
        <w:tc>
          <w:tcPr>
            <w:tcW w:w="352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r>
      <w:tr>
        <w:trPr>
          <w:trHeight w:val="210"/>
        </w:trPr>
        <w:tc>
          <w:tcPr>
            <w:tcW w:w="3520" w:type="dxa"/>
            <w:vAlign w:val="bottom"/>
          </w:tcPr>
          <w:p>
            <w:pPr>
              <w:spacing w:after="0"/>
              <w:rPr>
                <w:sz w:val="20"/>
                <w:szCs w:val="20"/>
                <w:color w:val="auto"/>
              </w:rPr>
            </w:pPr>
            <w:r>
              <w:rPr>
                <w:rFonts w:ascii="Arial" w:cs="Arial" w:eastAsia="Arial" w:hAnsi="Arial"/>
                <w:sz w:val="15"/>
                <w:szCs w:val="15"/>
                <w:color w:val="auto"/>
              </w:rPr>
              <w:t>Second Quarter 2025</w:t>
            </w:r>
          </w:p>
        </w:tc>
        <w:tc>
          <w:tcPr>
            <w:tcW w:w="2260" w:type="dxa"/>
            <w:vAlign w:val="bottom"/>
            <w:gridSpan w:val="3"/>
          </w:tcPr>
          <w:p>
            <w:pPr>
              <w:ind w:left="1560"/>
              <w:spacing w:after="0"/>
              <w:rPr>
                <w:sz w:val="20"/>
                <w:szCs w:val="20"/>
                <w:color w:val="auto"/>
              </w:rPr>
            </w:pPr>
            <w:r>
              <w:rPr>
                <w:rFonts w:ascii="Arial" w:cs="Arial" w:eastAsia="Arial" w:hAnsi="Arial"/>
                <w:sz w:val="15"/>
                <w:szCs w:val="15"/>
                <w:color w:val="auto"/>
              </w:rPr>
              <w:t>N/A</w:t>
            </w:r>
          </w:p>
        </w:tc>
        <w:tc>
          <w:tcPr>
            <w:tcW w:w="1500" w:type="dxa"/>
            <w:vAlign w:val="bottom"/>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0.7 %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1.4 %</w:t>
            </w:r>
          </w:p>
        </w:tc>
      </w:tr>
      <w:tr>
        <w:trPr>
          <w:trHeight w:val="232"/>
        </w:trPr>
        <w:tc>
          <w:tcPr>
            <w:tcW w:w="3520" w:type="dxa"/>
            <w:vAlign w:val="bottom"/>
          </w:tcPr>
          <w:p>
            <w:pPr>
              <w:spacing w:after="0"/>
              <w:rPr>
                <w:sz w:val="20"/>
                <w:szCs w:val="20"/>
                <w:color w:val="auto"/>
              </w:rPr>
            </w:pPr>
            <w:r>
              <w:rPr>
                <w:rFonts w:ascii="Arial" w:cs="Arial" w:eastAsia="Arial" w:hAnsi="Arial"/>
                <w:sz w:val="15"/>
                <w:szCs w:val="15"/>
                <w:color w:val="auto"/>
              </w:rPr>
              <w:t>Fourth Quarter 2024</w:t>
            </w:r>
          </w:p>
        </w:tc>
        <w:tc>
          <w:tcPr>
            <w:tcW w:w="1840" w:type="dxa"/>
            <w:vAlign w:val="bottom"/>
          </w:tcPr>
          <w:p>
            <w:pPr>
              <w:jc w:val="right"/>
              <w:spacing w:after="0"/>
              <w:rPr>
                <w:sz w:val="20"/>
                <w:szCs w:val="20"/>
                <w:color w:val="auto"/>
              </w:rPr>
            </w:pPr>
            <w:r>
              <w:rPr>
                <w:rFonts w:ascii="Arial" w:cs="Arial" w:eastAsia="Arial" w:hAnsi="Arial"/>
                <w:sz w:val="15"/>
                <w:szCs w:val="15"/>
                <w:color w:val="auto"/>
              </w:rPr>
              <w:t>3.1 %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1.7 %</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627"/>
        </w:trPr>
        <w:tc>
          <w:tcPr>
            <w:tcW w:w="5780" w:type="dxa"/>
            <w:vAlign w:val="bottom"/>
            <w:gridSpan w:val="4"/>
          </w:tcPr>
          <w:p>
            <w:pPr>
              <w:spacing w:after="0"/>
              <w:rPr>
                <w:sz w:val="20"/>
                <w:szCs w:val="20"/>
                <w:color w:val="auto"/>
              </w:rPr>
            </w:pPr>
            <w:r>
              <w:rPr>
                <w:rFonts w:ascii="Arial" w:cs="Arial" w:eastAsia="Arial" w:hAnsi="Arial"/>
                <w:sz w:val="15"/>
                <w:szCs w:val="15"/>
                <w:b w:val="1"/>
                <w:bCs w:val="1"/>
                <w:color w:val="auto"/>
              </w:rPr>
              <w:t>Forecasted property value growth (decline) rate by period of estimate: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5"/>
        </w:trPr>
        <w:tc>
          <w:tcPr>
            <w:tcW w:w="3520" w:type="dxa"/>
            <w:vAlign w:val="bottom"/>
          </w:tcPr>
          <w:p>
            <w:pPr>
              <w:spacing w:after="0"/>
              <w:rPr>
                <w:sz w:val="20"/>
                <w:szCs w:val="20"/>
                <w:color w:val="auto"/>
              </w:rPr>
            </w:pPr>
          </w:p>
        </w:tc>
        <w:tc>
          <w:tcPr>
            <w:tcW w:w="184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3520" w:type="dxa"/>
            <w:vAlign w:val="bottom"/>
            <w:tcBorders>
              <w:bottom w:val="single" w:sz="8" w:color="2C6937"/>
            </w:tcBorders>
            <w:gridSpan w:val="4"/>
          </w:tcPr>
          <w:p>
            <w:pPr>
              <w:ind w:left="14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20"/>
                <w:szCs w:val="20"/>
                <w:color w:val="auto"/>
              </w:rPr>
            </w:pPr>
          </w:p>
        </w:tc>
      </w:tr>
      <w:tr>
        <w:trPr>
          <w:trHeight w:val="202"/>
        </w:trPr>
        <w:tc>
          <w:tcPr>
            <w:tcW w:w="352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r>
      <w:tr>
        <w:trPr>
          <w:trHeight w:val="210"/>
        </w:trPr>
        <w:tc>
          <w:tcPr>
            <w:tcW w:w="3520" w:type="dxa"/>
            <w:vAlign w:val="bottom"/>
          </w:tcPr>
          <w:p>
            <w:pPr>
              <w:spacing w:after="0"/>
              <w:rPr>
                <w:sz w:val="20"/>
                <w:szCs w:val="20"/>
                <w:color w:val="auto"/>
              </w:rPr>
            </w:pPr>
            <w:r>
              <w:rPr>
                <w:rFonts w:ascii="Arial" w:cs="Arial" w:eastAsia="Arial" w:hAnsi="Arial"/>
                <w:sz w:val="15"/>
                <w:szCs w:val="15"/>
                <w:color w:val="auto"/>
              </w:rPr>
              <w:t>Second Quarter 2025</w:t>
            </w:r>
          </w:p>
        </w:tc>
        <w:tc>
          <w:tcPr>
            <w:tcW w:w="2260" w:type="dxa"/>
            <w:vAlign w:val="bottom"/>
            <w:gridSpan w:val="3"/>
          </w:tcPr>
          <w:p>
            <w:pPr>
              <w:ind w:left="1560"/>
              <w:spacing w:after="0"/>
              <w:rPr>
                <w:sz w:val="20"/>
                <w:szCs w:val="20"/>
                <w:color w:val="auto"/>
              </w:rPr>
            </w:pPr>
            <w:r>
              <w:rPr>
                <w:rFonts w:ascii="Arial" w:cs="Arial" w:eastAsia="Arial" w:hAnsi="Arial"/>
                <w:sz w:val="15"/>
                <w:szCs w:val="15"/>
                <w:color w:val="auto"/>
              </w:rPr>
              <w:t>N/A</w:t>
            </w:r>
          </w:p>
        </w:tc>
        <w:tc>
          <w:tcPr>
            <w:tcW w:w="1500" w:type="dxa"/>
            <w:vAlign w:val="bottom"/>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1.3 %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3.7 %</w:t>
            </w:r>
          </w:p>
        </w:tc>
      </w:tr>
      <w:tr>
        <w:trPr>
          <w:trHeight w:val="232"/>
        </w:trPr>
        <w:tc>
          <w:tcPr>
            <w:tcW w:w="3520" w:type="dxa"/>
            <w:vAlign w:val="bottom"/>
          </w:tcPr>
          <w:p>
            <w:pPr>
              <w:spacing w:after="0"/>
              <w:rPr>
                <w:sz w:val="20"/>
                <w:szCs w:val="20"/>
                <w:color w:val="auto"/>
              </w:rPr>
            </w:pPr>
            <w:r>
              <w:rPr>
                <w:rFonts w:ascii="Arial" w:cs="Arial" w:eastAsia="Arial" w:hAnsi="Arial"/>
                <w:sz w:val="15"/>
                <w:szCs w:val="15"/>
                <w:color w:val="auto"/>
              </w:rPr>
              <w:t>Fourth Quarter 2024</w:t>
            </w:r>
          </w:p>
        </w:tc>
        <w:tc>
          <w:tcPr>
            <w:tcW w:w="1840" w:type="dxa"/>
            <w:vAlign w:val="bottom"/>
          </w:tcPr>
          <w:p>
            <w:pPr>
              <w:jc w:val="right"/>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3.7 %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bl>
    <w:p>
      <w:pPr>
        <w:spacing w:after="0" w:line="119" w:lineRule="exact"/>
        <w:rPr>
          <w:sz w:val="20"/>
          <w:szCs w:val="20"/>
          <w:color w:val="auto"/>
        </w:rPr>
      </w:pPr>
    </w:p>
    <w:p>
      <w:pPr>
        <w:sectPr>
          <w:pgSz w:w="11900" w:h="16838" w:orient="portrait"/>
          <w:cols w:equalWidth="0" w:num="1">
            <w:col w:w="11240"/>
          </w:cols>
          <w:pgMar w:left="320" w:top="248" w:right="339" w:bottom="1440" w:gutter="0" w:footer="0" w:header="0"/>
        </w:sectPr>
      </w:pPr>
    </w:p>
    <w:p>
      <w:pPr>
        <w:spacing w:after="0"/>
        <w:rPr>
          <w:sz w:val="20"/>
          <w:szCs w:val="20"/>
          <w:color w:val="auto"/>
        </w:rPr>
      </w:pPr>
      <w:r>
        <w:rPr>
          <w:rFonts w:ascii="Arial" w:cs="Arial" w:eastAsia="Arial" w:hAnsi="Arial"/>
          <w:sz w:val="9"/>
          <w:szCs w:val="9"/>
          <w:color w:val="auto"/>
        </w:rPr>
        <w:t>N/A</w:t>
      </w:r>
    </w:p>
    <w:p>
      <w:pPr>
        <w:spacing w:after="0" w:line="20" w:lineRule="exact"/>
        <w:rPr>
          <w:sz w:val="20"/>
          <w:szCs w:val="20"/>
          <w:color w:val="auto"/>
        </w:rPr>
      </w:pPr>
      <w:r>
        <w:rPr>
          <w:sz w:val="20"/>
          <w:szCs w:val="20"/>
          <w:color w:val="auto"/>
        </w:rPr>
        <w:br w:type="column"/>
      </w:r>
    </w:p>
    <w:p>
      <w:pPr>
        <w:ind w:right="220" w:firstLine="69"/>
        <w:spacing w:after="0" w:line="269" w:lineRule="auto"/>
        <w:rPr>
          <w:sz w:val="20"/>
          <w:szCs w:val="20"/>
          <w:color w:val="auto"/>
        </w:rPr>
      </w:pPr>
      <w:r>
        <w:rPr>
          <w:rFonts w:ascii="Arial" w:cs="Arial" w:eastAsia="Arial" w:hAnsi="Arial"/>
          <w:sz w:val="14"/>
          <w:szCs w:val="14"/>
          <w:color w:val="auto"/>
        </w:rPr>
        <w:t>Not applicable. For purposes of this disclosure, we provide the forecasted net operating income growth rate and property value growth rate for the period of estimate and the two years following the period of estimate.</w:t>
      </w:r>
    </w:p>
    <w:p>
      <w:pPr>
        <w:spacing w:after="0" w:line="1" w:lineRule="exact"/>
        <w:rPr>
          <w:sz w:val="20"/>
          <w:szCs w:val="20"/>
          <w:color w:val="auto"/>
        </w:rPr>
      </w:pPr>
    </w:p>
    <w:p>
      <w:pPr>
        <w:sectPr>
          <w:pgSz w:w="11900" w:h="16838" w:orient="portrait"/>
          <w:cols w:equalWidth="0" w:num="2">
            <w:col w:w="160" w:space="80"/>
            <w:col w:w="11000"/>
          </w:cols>
          <w:pgMar w:left="320" w:top="248" w:right="339" w:bottom="1440" w:gutter="0" w:footer="0" w:header="0"/>
          <w:type w:val="continuous"/>
        </w:sectPr>
      </w:pPr>
    </w:p>
    <w:p>
      <w:pPr>
        <w:ind w:left="220" w:hanging="231"/>
        <w:spacing w:after="0" w:line="278" w:lineRule="auto"/>
        <w:tabs>
          <w:tab w:leader="none" w:pos="20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These forecasts are provided solely for the purpose of providing insight into our credit loss model. Forecasts for future periods are increases for periods that are further in the future.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subject to significant uncertainty, which</w:t>
      </w:r>
    </w:p>
    <w:p>
      <w:pPr>
        <w:spacing w:after="0" w:line="248" w:lineRule="exact"/>
        <w:rPr>
          <w:sz w:val="20"/>
          <w:szCs w:val="20"/>
          <w:color w:val="auto"/>
        </w:rPr>
      </w:pPr>
    </w:p>
    <w:p>
      <w:pPr>
        <w:sectPr>
          <w:pgSz w:w="11900" w:h="16838" w:orient="portrait"/>
          <w:cols w:equalWidth="0" w:num="2">
            <w:col w:w="8080" w:space="340"/>
            <w:col w:w="2820"/>
          </w:cols>
          <w:pgMar w:left="320" w:top="248" w:right="339" w:bottom="1440" w:gutter="0" w:footer="0" w:header="0"/>
          <w:type w:val="continuous"/>
        </w:sectPr>
      </w:pPr>
    </w:p>
    <w:p>
      <w:pPr>
        <w:ind w:right="240"/>
        <w:spacing w:after="0" w:line="293" w:lineRule="auto"/>
        <w:rPr>
          <w:sz w:val="20"/>
          <w:szCs w:val="20"/>
          <w:color w:val="auto"/>
        </w:rPr>
      </w:pPr>
      <w:r>
        <w:rPr>
          <w:rFonts w:ascii="Arial" w:cs="Arial" w:eastAsia="Arial" w:hAnsi="Arial"/>
          <w:sz w:val="16"/>
          <w:szCs w:val="16"/>
          <w:color w:val="auto"/>
        </w:rPr>
        <w:t>As noted above, our multifamily allowance for loan losses is sensitive to changes in net operating income and property value changes. We present in the table below the impact of hypothetical changes in net operating income and property value, with all other factors held constant.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338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6"/>
              </w:rPr>
              <w:t>as of June 30, 2025</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172"/>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4"/>
                <w:szCs w:val="14"/>
                <w:color w:val="auto"/>
              </w:rPr>
            </w:pPr>
          </w:p>
        </w:tc>
        <w:tc>
          <w:tcPr>
            <w:tcW w:w="1980" w:type="dxa"/>
            <w:vAlign w:val="bottom"/>
            <w:tcBorders>
              <w:top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net operating income growth rate:</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property value growth rate:</w:t>
            </w: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-915035</wp:posOffset>
            </wp:positionV>
            <wp:extent cx="90170" cy="1066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-751205</wp:posOffset>
            </wp:positionV>
            <wp:extent cx="98425" cy="1066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-325755</wp:posOffset>
            </wp:positionV>
            <wp:extent cx="90170" cy="1066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-161925</wp:posOffset>
            </wp:positionV>
            <wp:extent cx="98425" cy="1066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8425"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multifamily allowance for loan losses.</w:t>
      </w:r>
    </w:p>
    <w:p>
      <w:pPr>
        <w:spacing w:after="0" w:line="5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net operating income and property value changes are non-linear. As a result, changes in these estimates are not always incrementally proportional. The purpose of this analysis is to provide an indication of the impact of net operating income and property value changes on the estimate of the multifamily allowance for credit losses. This analysis is not intended to imply management’s expectation of future changes in our forecasts or any other variables that may change as a result.</w:t>
      </w:r>
    </w:p>
    <w:p>
      <w:pPr>
        <w:spacing w:after="0" w:line="3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information on how our property valuations impacted our multifamily (provision) benefit for credit losses.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80"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8" w:name="page59"/>
    <w:bookmarkEnd w:id="58"/>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41" w:lineRule="exact"/>
        <w:rPr>
          <w:sz w:val="20"/>
          <w:szCs w:val="20"/>
          <w:color w:val="auto"/>
        </w:rPr>
      </w:pPr>
    </w:p>
    <w:p>
      <w:pPr>
        <w:ind w:left="620" w:right="20" w:hanging="307"/>
        <w:spacing w:after="0" w:line="281" w:lineRule="auto"/>
        <w:tabs>
          <w:tab w:leader="none" w:pos="612" w:val="left"/>
        </w:tabs>
        <w:numPr>
          <w:ilvl w:val="0"/>
          <w:numId w:val="49"/>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growth, home price growth, multifamily property values, the unemployment rate, loan origination volumes, interest rates and multifamily property net operating income), the factors that will affect those conditions, and the impact of those conditions on our business and financial results;</w:t>
      </w:r>
    </w:p>
    <w:p>
      <w:pPr>
        <w:spacing w:after="0" w:line="24" w:lineRule="exact"/>
        <w:rPr>
          <w:rFonts w:ascii="Arial" w:cs="Arial" w:eastAsia="Arial" w:hAnsi="Arial"/>
          <w:sz w:val="16"/>
          <w:szCs w:val="16"/>
          <w:i w:val="1"/>
          <w:iCs w:val="1"/>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impact of hedge accounting on the volatility of our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 including our plans relating to new credit score models;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credit performance of the loans in our guaranty book of business and the factors that will affect such performance;</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right="660" w:hanging="307"/>
        <w:spacing w:after="0" w:line="293"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impact on our single-family guaranty book servicing concentration if Rocket Companies’ announced acquisition of Mr. Cooper Group is completed;</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right="20" w:hanging="307"/>
        <w:spacing w:after="0" w:line="310"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payments to specified U.S. Department of Housing and Urban Development (“HUD”) and Treasury funds in support of affordable housing under the Federal Housing Enterprises Financial Safety and Soundness Act of 1992, as amended (the “GSE Act”);</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38"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15" w:lineRule="exact"/>
        <w:rPr>
          <w:sz w:val="20"/>
          <w:szCs w:val="20"/>
          <w:color w:val="auto"/>
        </w:rPr>
      </w:pPr>
    </w:p>
    <w:p>
      <w:pPr>
        <w:ind w:left="620" w:right="180" w:hanging="307"/>
        <w:spacing w:after="0" w:line="310"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impact of trade, fiscal, regulatory and immigration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deterioration in a specific sector of the U.S. economy or in one or more regional areas of the United States;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99" w:lineRule="exact"/>
        <w:rPr>
          <w:rFonts w:ascii="Arial" w:cs="Arial" w:eastAsia="Arial" w:hAnsi="Arial"/>
          <w:sz w:val="16"/>
          <w:szCs w:val="16"/>
          <w:color w:val="auto"/>
        </w:rPr>
      </w:pPr>
    </w:p>
    <w:p>
      <w:pPr>
        <w:ind w:left="620" w:right="460" w:hanging="307"/>
        <w:spacing w:after="0" w:line="293"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size and our share of the U.S. mortgage market (including the volume of mortgage originations) and the factors that affect them, including population growth and household formation;</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the impact of conflicts in the Middle East, the Russian war in Ukraine, and tensions between China and Taiwan;</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9" w:name="page60"/>
    <w:bookmarkEnd w:id="59"/>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80" w:hanging="307"/>
        <w:spacing w:after="0" w:line="272"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 value of our assets and liabilities; and developments that affect our loss reserves, such as changes in interest rates or home prices;</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86" w:lineRule="exact"/>
        <w:rPr>
          <w:rFonts w:ascii="Arial" w:cs="Arial" w:eastAsia="Arial" w:hAnsi="Arial"/>
          <w:sz w:val="16"/>
          <w:szCs w:val="16"/>
          <w:color w:val="auto"/>
        </w:rPr>
      </w:pPr>
    </w:p>
    <w:p>
      <w:pPr>
        <w:ind w:left="620" w:right="12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27" w:lineRule="exact"/>
        <w:rPr>
          <w:rFonts w:ascii="Arial" w:cs="Arial" w:eastAsia="Arial" w:hAnsi="Arial"/>
          <w:sz w:val="16"/>
          <w:szCs w:val="16"/>
          <w:color w:val="auto"/>
        </w:rPr>
      </w:pPr>
    </w:p>
    <w:p>
      <w:pPr>
        <w:ind w:left="620" w:right="38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senior preferred stock or warrant, and their effect on our business, including restrictions imposed on us by the terms of the senior preferred stock purchase agreement, the senior preferred stock, or the warrant, as well as the extent that these or other restrictions on our business and activities are applied to us through other mechanisms even if we cease to be subject to these agreements and instruments;</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and our ability to raise or earn the capital needed to meet our capital requirements;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on our business and financial results;</w:t>
      </w:r>
    </w:p>
    <w:p>
      <w:pPr>
        <w:spacing w:after="0" w:line="99" w:lineRule="exact"/>
        <w:rPr>
          <w:rFonts w:ascii="Arial" w:cs="Arial" w:eastAsia="Arial" w:hAnsi="Arial"/>
          <w:sz w:val="16"/>
          <w:szCs w:val="16"/>
          <w:color w:val="auto"/>
        </w:rPr>
      </w:pPr>
    </w:p>
    <w:p>
      <w:pPr>
        <w:ind w:left="620" w:right="260" w:hanging="307"/>
        <w:spacing w:after="0" w:line="272"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31"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macroeconomic conditions, such as changes to trade, fiscal, tax or immigration policies;</w:t>
      </w:r>
    </w:p>
    <w:p>
      <w:pPr>
        <w:spacing w:after="0" w:line="14" w:lineRule="exact"/>
        <w:rPr>
          <w:rFonts w:ascii="Arial" w:cs="Arial" w:eastAsia="Arial" w:hAnsi="Arial"/>
          <w:sz w:val="16"/>
          <w:szCs w:val="16"/>
          <w:color w:val="auto"/>
        </w:rPr>
      </w:pPr>
    </w:p>
    <w:p>
      <w:pPr>
        <w:ind w:left="620" w:right="60" w:hanging="307"/>
        <w:spacing w:after="0" w:line="281"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the SEC or other regulators, Congress, the Executive Branch, or state or local governments that affect our business;</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will result in additional changes that affect our company or our business;</w:t>
      </w:r>
    </w:p>
    <w:p>
      <w:pPr>
        <w:spacing w:after="0" w:line="86" w:lineRule="exact"/>
        <w:rPr>
          <w:rFonts w:ascii="Arial" w:cs="Arial" w:eastAsia="Arial" w:hAnsi="Arial"/>
          <w:sz w:val="16"/>
          <w:szCs w:val="16"/>
          <w:color w:val="auto"/>
        </w:rPr>
      </w:pPr>
    </w:p>
    <w:p>
      <w:pPr>
        <w:ind w:left="620" w:right="400" w:hanging="307"/>
        <w:spacing w:after="0" w:line="310"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actions relating to UMBS or our resecuritization of Freddie Mac-issued securities, or credit risk management actions;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 or from pursuing new business activities;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r>
      <w:tr>
        <w:trPr>
          <w:trHeight w:val="194"/>
        </w:trPr>
        <w:tc>
          <w:tcPr>
            <w:tcW w:w="69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0" w:name="page61"/>
    <w:bookmarkEnd w:id="60"/>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99"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27"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environmental disasters, terrorist attacks, widespread health emergencies or pandemics, infrastructure failures, or other disruptive or catastrophic events;</w:t>
      </w:r>
    </w:p>
    <w:p>
      <w:pPr>
        <w:spacing w:after="0" w:line="14" w:lineRule="exact"/>
        <w:rPr>
          <w:rFonts w:ascii="Arial" w:cs="Arial" w:eastAsia="Arial" w:hAnsi="Arial"/>
          <w:sz w:val="16"/>
          <w:szCs w:val="16"/>
          <w:color w:val="auto"/>
        </w:rPr>
      </w:pPr>
    </w:p>
    <w:p>
      <w:pPr>
        <w:ind w:left="620" w:right="4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earthquakes or other natural disasters, including those for which we may be uninsured or under-insured or that may affect our counterparties or the hazard insurers insuring properties underlying our guaranty book of business;</w:t>
      </w:r>
    </w:p>
    <w:p>
      <w:pPr>
        <w:spacing w:after="0" w:line="14" w:lineRule="exact"/>
        <w:rPr>
          <w:rFonts w:ascii="Arial" w:cs="Arial" w:eastAsia="Arial" w:hAnsi="Arial"/>
          <w:sz w:val="16"/>
          <w:szCs w:val="16"/>
          <w:color w:val="auto"/>
        </w:rPr>
      </w:pPr>
    </w:p>
    <w:p>
      <w:pPr>
        <w:ind w:left="620" w:right="400" w:hanging="307"/>
        <w:spacing w:after="0" w:line="281"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severe weather events, fires, floods, wind or other climate-related events or impacts, including those for which we may be uninsured or under-insured or that may affect our counterparties or the hazard insurers insuring properties underlying our guaranty book of business, and other climate-related risks;</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need to rely on third parties to achieve some of our corporate objectives, including our reliance on mortgage servicers;</w:t>
      </w:r>
    </w:p>
    <w:p>
      <w:pPr>
        <w:spacing w:after="0" w:line="86" w:lineRule="exact"/>
        <w:rPr>
          <w:rFonts w:ascii="Arial" w:cs="Arial" w:eastAsia="Arial" w:hAnsi="Arial"/>
          <w:sz w:val="16"/>
          <w:szCs w:val="16"/>
          <w:color w:val="auto"/>
        </w:rPr>
      </w:pPr>
    </w:p>
    <w:p>
      <w:pPr>
        <w:ind w:left="620" w:right="140" w:hanging="307"/>
        <w:spacing w:after="0" w:line="271"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reliance on U.S. Financial Technology, LLC (“U.S. Fin Tech”), formerly named Common Securitization Solutions, LLC, and the common securitization platform U.S. Fin Tech operates for a majority of our single-family securitization activities; provisions in the limited liability company agreement with U.S. Fin Tech that permit FHFA to appoint members to the U.S. Fin Tech Board of Managers, which limit the ability of Fannie Mae and Freddie Mac to control decisions of the Board; and changes FHFA may require in our relationship with or in our support of U.S. Fin Tech;</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99" w:lineRule="exact"/>
        <w:rPr>
          <w:rFonts w:ascii="Arial" w:cs="Arial" w:eastAsia="Arial" w:hAnsi="Arial"/>
          <w:sz w:val="16"/>
          <w:szCs w:val="16"/>
          <w:color w:val="auto"/>
        </w:rPr>
      </w:pPr>
    </w:p>
    <w:p>
      <w:pPr>
        <w:ind w:left="620" w:right="58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U.S. Fin Tech, our other counterparties and other third parties;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opportunities and risks presented by the use or anticipated use of artificial intelligence (“AI”) technologies or other emerging technologies by us or third parties, including generative AI and agentic AI;</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cyber attacks or other cybersecurity breaches or threats impacting us, the third parties with which we do business or our regulators;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SEC guidance, and our accounting policies;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2024 Form 10-K.</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2024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58</w:t>
            </w:r>
          </w:p>
        </w:tc>
      </w:tr>
      <w:tr>
        <w:trPr>
          <w:trHeight w:val="207"/>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110" w:lineRule="exact"/>
        <w:rPr>
          <w:sz w:val="20"/>
          <w:szCs w:val="20"/>
          <w:color w:val="auto"/>
        </w:rPr>
      </w:pPr>
    </w:p>
    <w:p>
      <w:pPr>
        <w:jc w:val="center"/>
        <w:ind w:right="-1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(In conservatorship)</w:t>
      </w:r>
    </w:p>
    <w:p>
      <w:pPr>
        <w:spacing w:after="0" w:line="176" w:lineRule="exact"/>
        <w:rPr>
          <w:sz w:val="20"/>
          <w:szCs w:val="20"/>
          <w:color w:val="auto"/>
        </w:rPr>
      </w:pPr>
    </w:p>
    <w:p>
      <w:pPr>
        <w:jc w:val="center"/>
        <w:ind w:right="-119"/>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84"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(Dollars in millions)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7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gridSpan w:val="4"/>
          </w:tcPr>
          <w:p>
            <w:pPr>
              <w:jc w:val="right"/>
              <w:ind w:right="131"/>
              <w:spacing w:after="0"/>
              <w:rPr>
                <w:sz w:val="20"/>
                <w:szCs w:val="20"/>
                <w:color w:val="auto"/>
              </w:rPr>
            </w:pPr>
            <w:r>
              <w:rPr>
                <w:rFonts w:ascii="Arial" w:cs="Arial" w:eastAsia="Arial" w:hAnsi="Arial"/>
                <w:sz w:val="14"/>
                <w:szCs w:val="14"/>
                <w:b w:val="1"/>
                <w:bCs w:val="1"/>
                <w:color w:val="auto"/>
                <w:w w:val="91"/>
              </w:rPr>
              <w:t>As of</w:t>
            </w:r>
          </w:p>
        </w:tc>
        <w:tc>
          <w:tcPr>
            <w:tcW w:w="8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7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bottom w:val="single" w:sz="8" w:color="2C6937"/>
            </w:tcBorders>
            <w:gridSpan w:val="4"/>
          </w:tcPr>
          <w:p>
            <w:pPr>
              <w:ind w:left="20"/>
              <w:spacing w:after="0"/>
              <w:rPr>
                <w:sz w:val="20"/>
                <w:szCs w:val="20"/>
                <w:color w:val="auto"/>
              </w:rPr>
            </w:pPr>
            <w:r>
              <w:rPr>
                <w:rFonts w:ascii="Arial" w:cs="Arial" w:eastAsia="Arial" w:hAnsi="Arial"/>
                <w:sz w:val="14"/>
                <w:szCs w:val="14"/>
                <w:b w:val="1"/>
                <w:bCs w:val="1"/>
                <w:color w:val="auto"/>
                <w:w w:val="98"/>
              </w:rPr>
              <w:t>December 31, 2024</w:t>
            </w:r>
          </w:p>
        </w:tc>
        <w:tc>
          <w:tcPr>
            <w:tcW w:w="0" w:type="dxa"/>
            <w:vAlign w:val="bottom"/>
          </w:tcPr>
          <w:p>
            <w:pPr>
              <w:spacing w:after="0"/>
              <w:rPr>
                <w:sz w:val="1"/>
                <w:szCs w:val="1"/>
                <w:color w:val="auto"/>
              </w:rPr>
            </w:pPr>
          </w:p>
        </w:tc>
      </w:tr>
      <w:tr>
        <w:trPr>
          <w:trHeight w:val="173"/>
        </w:trPr>
        <w:tc>
          <w:tcPr>
            <w:tcW w:w="7880" w:type="dxa"/>
            <w:vAlign w:val="bottom"/>
            <w:gridSpan w:val="2"/>
          </w:tcPr>
          <w:p>
            <w:pPr>
              <w:ind w:left="36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38,229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38,853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Restricted cash and cash equivalents (includes $33,264 and $31,893, respectively, related to consolidated trusts)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40,323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Securities purchased under agreements to resell (includes $1,553 and $0, respectively, related to consolidated trusts)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23,753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77,430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79,197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Mortgage loans: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340"/>
              <w:spacing w:after="0"/>
              <w:rPr>
                <w:sz w:val="20"/>
                <w:szCs w:val="20"/>
                <w:color w:val="auto"/>
              </w:rPr>
            </w:pPr>
            <w:r>
              <w:rPr>
                <w:rFonts w:ascii="Arial" w:cs="Arial" w:eastAsia="Arial" w:hAnsi="Arial"/>
                <w:sz w:val="14"/>
                <w:szCs w:val="14"/>
                <w:color w:val="auto"/>
              </w:rPr>
              <w:t>Of Fannie Mae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51,905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Of consolidated trusts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4,076,080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4,095,287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gridSpan w:val="3"/>
          </w:tcPr>
          <w:p>
            <w:pPr>
              <w:ind w:left="320"/>
              <w:spacing w:after="0"/>
              <w:rPr>
                <w:sz w:val="20"/>
                <w:szCs w:val="20"/>
                <w:color w:val="auto"/>
              </w:rPr>
            </w:pPr>
            <w:r>
              <w:rPr>
                <w:rFonts w:ascii="Arial" w:cs="Arial" w:eastAsia="Arial" w:hAnsi="Arial"/>
                <w:sz w:val="14"/>
                <w:szCs w:val="14"/>
                <w:color w:val="auto"/>
              </w:rPr>
              <w:t>Total loans held for investment (includes $4,892 and $3,744, respectively, at fair value)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4,127,985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4,145,340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Allowance for loan losses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(8,247)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4,119,738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4,137,633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gridSpan w:val="3"/>
          </w:tcPr>
          <w:p>
            <w:pPr>
              <w:ind w:left="640"/>
              <w:spacing w:after="0"/>
              <w:rPr>
                <w:sz w:val="20"/>
                <w:szCs w:val="20"/>
                <w:color w:val="auto"/>
              </w:rPr>
            </w:pPr>
            <w:r>
              <w:rPr>
                <w:rFonts w:ascii="Arial" w:cs="Arial" w:eastAsia="Arial" w:hAnsi="Arial"/>
                <w:sz w:val="14"/>
                <w:szCs w:val="14"/>
                <w:color w:val="auto"/>
              </w:rPr>
              <w:t>Total mortgage loans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4,120,131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4,138,006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Advances to lenders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2,211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Deferred tax assets, net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10,127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Accrued interest receivable (includes $11,031 and $10,666, respectively, related to consolidated trusts)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11,678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14,345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4,338,227</w:t>
            </w:r>
          </w:p>
        </w:tc>
        <w:tc>
          <w:tcPr>
            <w:tcW w:w="300" w:type="dxa"/>
            <w:vAlign w:val="bottom"/>
            <w:gridSpan w:val="3"/>
          </w:tcPr>
          <w:p>
            <w:pPr>
              <w:spacing w:after="0"/>
              <w:rPr>
                <w:sz w:val="16"/>
                <w:szCs w:val="16"/>
                <w:color w:val="auto"/>
              </w:rPr>
            </w:pPr>
          </w:p>
        </w:tc>
        <w:tc>
          <w:tcPr>
            <w:tcW w:w="240" w:type="dxa"/>
            <w:vAlign w:val="bottom"/>
            <w:tcBorders>
              <w:bottom w:val="single" w:sz="8" w:color="2C6937"/>
            </w:tcBorders>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4,349,731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80" w:type="dxa"/>
            <w:vAlign w:val="bottom"/>
            <w:gridSpan w:val="3"/>
          </w:tcPr>
          <w:p>
            <w:pPr>
              <w:ind w:left="306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Accrued interest payable (includes $11,116 and $10,858, respectively, related to consolidated trusts)</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11,841</w:t>
            </w:r>
          </w:p>
        </w:tc>
        <w:tc>
          <w:tcPr>
            <w:tcW w:w="54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340"/>
              <w:spacing w:after="0"/>
              <w:rPr>
                <w:sz w:val="20"/>
                <w:szCs w:val="20"/>
                <w:color w:val="auto"/>
              </w:rPr>
            </w:pPr>
            <w:r>
              <w:rPr>
                <w:rFonts w:ascii="Arial" w:cs="Arial" w:eastAsia="Arial" w:hAnsi="Arial"/>
                <w:sz w:val="14"/>
                <w:szCs w:val="14"/>
                <w:color w:val="auto"/>
              </w:rPr>
              <w:t>Of Fannie Mae (includes $327 and $385, respectively, at fair value)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128,316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340"/>
              <w:spacing w:after="0"/>
              <w:rPr>
                <w:sz w:val="20"/>
                <w:szCs w:val="20"/>
                <w:color w:val="auto"/>
              </w:rPr>
            </w:pPr>
            <w:r>
              <w:rPr>
                <w:rFonts w:ascii="Arial" w:cs="Arial" w:eastAsia="Arial" w:hAnsi="Arial"/>
                <w:sz w:val="14"/>
                <w:szCs w:val="14"/>
                <w:color w:val="auto"/>
              </w:rPr>
              <w:t>Of consolidated trusts (includes $15,305 and $13,292, respectively, at fair value)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4,082,196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4,088,675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$1,663 and $1,699, respectively, related to consolidated trusts)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15,392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4,236,591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4,255,074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Commitments and contingencies (Note 14)</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980" w:type="dxa"/>
            <w:vAlign w:val="bottom"/>
            <w:gridSpan w:val="3"/>
          </w:tcPr>
          <w:p>
            <w:pPr>
              <w:ind w:left="20"/>
              <w:spacing w:after="0"/>
              <w:rPr>
                <w:sz w:val="20"/>
                <w:szCs w:val="20"/>
                <w:color w:val="auto"/>
              </w:rPr>
            </w:pPr>
            <w:r>
              <w:rPr>
                <w:rFonts w:ascii="Arial" w:cs="Arial" w:eastAsia="Arial" w:hAnsi="Arial"/>
                <w:sz w:val="14"/>
                <w:szCs w:val="14"/>
                <w:color w:val="auto"/>
              </w:rPr>
              <w:t>Fannie Mae stockholders’ equity:</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Senior preferred stock (liquidation preference of $219,811 and $212,029, respectively)</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9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Common stock, no par value, no maximum authorization—1,308,762,703 shares issued and 1,158,087,567 shares</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outstanding</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(31,647)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(38,625)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180" w:type="dxa"/>
            <w:vAlign w:val="bottom"/>
            <w:gridSpan w:val="2"/>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180" w:type="dxa"/>
            <w:vAlign w:val="bottom"/>
            <w:gridSpan w:val="2"/>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101,636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94,657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980" w:type="dxa"/>
            <w:vAlign w:val="bottom"/>
            <w:gridSpan w:val="3"/>
          </w:tcPr>
          <w:p>
            <w:pPr>
              <w:ind w:left="180"/>
              <w:spacing w:after="0"/>
              <w:rPr>
                <w:sz w:val="20"/>
                <w:szCs w:val="20"/>
                <w:color w:val="auto"/>
              </w:rPr>
            </w:pPr>
            <w:r>
              <w:rPr>
                <w:rFonts w:ascii="Arial" w:cs="Arial" w:eastAsia="Arial" w:hAnsi="Arial"/>
                <w:sz w:val="14"/>
                <w:szCs w:val="14"/>
                <w:color w:val="auto"/>
              </w:rPr>
              <w:t>Total liabilities and equity</w:t>
            </w:r>
          </w:p>
        </w:tc>
        <w:tc>
          <w:tcPr>
            <w:tcW w:w="240" w:type="dxa"/>
            <w:vAlign w:val="bottom"/>
          </w:tcPr>
          <w:p>
            <w:pPr>
              <w:jc w:val="right"/>
              <w:ind w:right="7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4,338,227</w:t>
            </w:r>
          </w:p>
        </w:tc>
        <w:tc>
          <w:tcPr>
            <w:tcW w:w="540" w:type="dxa"/>
            <w:vAlign w:val="bottom"/>
            <w:gridSpan w:val="4"/>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4,349,731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48" w:right="459" w:bottom="1440" w:gutter="0" w:footer="0" w:header="0"/>
        </w:sectPr>
      </w:pPr>
    </w:p>
    <w:bookmarkStart w:id="62" w:name="page63"/>
    <w:bookmarkEnd w:id="62"/>
    <w:p>
      <w:pPr>
        <w:ind w:left="4820"/>
        <w:spacing w:after="0"/>
        <w:rPr>
          <w:sz w:val="20"/>
          <w:szCs w:val="20"/>
          <w:color w:val="auto"/>
        </w:rPr>
      </w:pPr>
      <w:r>
        <w:rPr>
          <w:rFonts w:ascii="Arial" w:cs="Arial" w:eastAsia="Arial" w:hAnsi="Arial"/>
          <w:sz w:val="13"/>
          <w:szCs w:val="13"/>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24130</wp:posOffset>
            </wp:positionV>
            <wp:extent cx="70154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7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8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7"/>
              </w:rPr>
              <w:t>For the Six Months Ended</w:t>
            </w:r>
          </w:p>
        </w:tc>
        <w:tc>
          <w:tcPr>
            <w:tcW w:w="0" w:type="dxa"/>
            <w:vAlign w:val="bottom"/>
          </w:tcPr>
          <w:p>
            <w:pPr>
              <w:spacing w:after="0"/>
              <w:rPr>
                <w:sz w:val="1"/>
                <w:szCs w:val="1"/>
                <w:color w:val="auto"/>
              </w:rPr>
            </w:pPr>
          </w:p>
        </w:tc>
      </w:tr>
      <w:tr>
        <w:trPr>
          <w:trHeight w:val="177"/>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10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7"/>
        </w:trPr>
        <w:tc>
          <w:tcPr>
            <w:tcW w:w="642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1,170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2,297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160"/>
              <w:spacing w:after="0"/>
              <w:rPr>
                <w:sz w:val="20"/>
                <w:szCs w:val="20"/>
                <w:color w:val="auto"/>
              </w:rPr>
            </w:pPr>
            <w:r>
              <w:rPr>
                <w:rFonts w:ascii="Arial" w:cs="Arial" w:eastAsia="Arial" w:hAnsi="Arial"/>
                <w:sz w:val="14"/>
                <w:szCs w:val="14"/>
                <w:color w:val="auto"/>
              </w:rPr>
              <w:t>Investments in securities</w:t>
            </w: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60"/>
              <w:spacing w:after="0"/>
              <w:rPr>
                <w:sz w:val="20"/>
                <w:szCs w:val="20"/>
                <w:color w:val="auto"/>
              </w:rPr>
            </w:pPr>
            <w:r>
              <w:rPr>
                <w:rFonts w:ascii="Arial" w:cs="Arial" w:eastAsia="Arial" w:hAnsi="Arial"/>
                <w:sz w:val="14"/>
                <w:szCs w:val="14"/>
                <w:color w:val="auto"/>
              </w:rPr>
              <w:t>Mortgage loans</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37,693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35,617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75,092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70,833</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548</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1,038</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39,411</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37,275</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78,427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74,073</w:t>
            </w:r>
          </w:p>
        </w:tc>
        <w:tc>
          <w:tcPr>
            <w:tcW w:w="0" w:type="dxa"/>
            <w:vAlign w:val="bottom"/>
          </w:tcPr>
          <w:p>
            <w:pPr>
              <w:spacing w:after="0"/>
              <w:rPr>
                <w:sz w:val="1"/>
                <w:szCs w:val="1"/>
                <w:color w:val="auto"/>
              </w:rPr>
            </w:pPr>
          </w:p>
        </w:tc>
      </w:tr>
      <w:tr>
        <w:trPr>
          <w:trHeight w:val="179"/>
        </w:trPr>
        <w:tc>
          <w:tcPr>
            <w:tcW w:w="64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160"/>
              <w:spacing w:after="0"/>
              <w:rPr>
                <w:sz w:val="20"/>
                <w:szCs w:val="20"/>
                <w:color w:val="auto"/>
              </w:rPr>
            </w:pPr>
            <w:r>
              <w:rPr>
                <w:rFonts w:ascii="Arial" w:cs="Arial" w:eastAsia="Arial" w:hAnsi="Arial"/>
                <w:sz w:val="14"/>
                <w:szCs w:val="14"/>
                <w:color w:val="auto"/>
              </w:rPr>
              <w:t>Short-term debt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(32,153)</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(29,877)</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(64,063)</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(59,457)</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(32,256)</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(30,007)</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(64,271)</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(59,782)</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7,155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14,156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14,291</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(Provision) benefit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(946)</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(970)</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(provision) benefit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6,209</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7,568</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13,186</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14,771</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Fair value gains (losses), net</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211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93"/>
        </w:trPr>
        <w:tc>
          <w:tcPr>
            <w:tcW w:w="6420" w:type="dxa"/>
            <w:vAlign w:val="bottom"/>
            <w:gridSpan w:val="2"/>
          </w:tcPr>
          <w:p>
            <w:pPr>
              <w:spacing w:after="0"/>
              <w:rPr>
                <w:sz w:val="20"/>
                <w:szCs w:val="20"/>
                <w:color w:val="auto"/>
              </w:rPr>
            </w:pPr>
            <w:r>
              <w:rPr>
                <w:rFonts w:ascii="Arial" w:cs="Arial" w:eastAsia="Arial" w:hAnsi="Arial"/>
                <w:sz w:val="14"/>
                <w:szCs w:val="14"/>
                <w:color w:val="auto"/>
              </w:rPr>
              <w:t>Fee and other income</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Investment gains (losses),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289</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496</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79"/>
        </w:trPr>
        <w:tc>
          <w:tcPr>
            <w:tcW w:w="6420" w:type="dxa"/>
            <w:vAlign w:val="bottom"/>
            <w:gridSpan w:val="2"/>
          </w:tcPr>
          <w:p>
            <w:pPr>
              <w:spacing w:after="0"/>
              <w:rPr>
                <w:sz w:val="20"/>
                <w:szCs w:val="20"/>
                <w:color w:val="auto"/>
              </w:rPr>
            </w:pPr>
            <w:r>
              <w:rPr>
                <w:rFonts w:ascii="Arial" w:cs="Arial" w:eastAsia="Arial" w:hAnsi="Arial"/>
                <w:sz w:val="14"/>
                <w:szCs w:val="14"/>
                <w:color w:val="auto"/>
              </w:rPr>
              <w:t>Non-interest expense: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Salaries and employee benefits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Professional services, technology, and occupancy</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Legislative assessments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Credit enhancement expense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(356)</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non-interest expense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(2,344)</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(2,417)</w:t>
            </w: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(4,944)</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(4,761)</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Income before federal income taxes</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4,154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8,738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11,037</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(837)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(1,760)</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3,317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6,978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3,324</w:t>
            </w:r>
          </w:p>
        </w:tc>
        <w:tc>
          <w:tcPr>
            <w:tcW w:w="100" w:type="dxa"/>
            <w:vAlign w:val="bottom"/>
          </w:tcPr>
          <w:p>
            <w:pPr>
              <w:spacing w:after="0"/>
              <w:rPr>
                <w:sz w:val="16"/>
                <w:szCs w:val="16"/>
                <w:color w:val="auto"/>
              </w:rPr>
            </w:pPr>
          </w:p>
        </w:tc>
        <w:tc>
          <w:tcPr>
            <w:tcW w:w="26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Pr>
          <w:p>
            <w:pPr>
              <w:spacing w:after="0"/>
              <w:rPr>
                <w:sz w:val="16"/>
                <w:szCs w:val="16"/>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6,979</w:t>
            </w:r>
          </w:p>
        </w:tc>
        <w:tc>
          <w:tcPr>
            <w:tcW w:w="100" w:type="dxa"/>
            <w:vAlign w:val="bottom"/>
          </w:tcPr>
          <w:p>
            <w:pPr>
              <w:spacing w:after="0"/>
              <w:rPr>
                <w:sz w:val="16"/>
                <w:szCs w:val="16"/>
                <w:color w:val="auto"/>
              </w:rPr>
            </w:pPr>
          </w:p>
        </w:tc>
        <w:tc>
          <w:tcPr>
            <w:tcW w:w="26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8,801</w:t>
            </w:r>
          </w:p>
        </w:tc>
        <w:tc>
          <w:tcPr>
            <w:tcW w:w="0" w:type="dxa"/>
            <w:vAlign w:val="bottom"/>
          </w:tcPr>
          <w:p>
            <w:pPr>
              <w:spacing w:after="0"/>
              <w:rPr>
                <w:sz w:val="1"/>
                <w:szCs w:val="1"/>
                <w:color w:val="auto"/>
              </w:rPr>
            </w:pPr>
          </w:p>
        </w:tc>
      </w:tr>
      <w:tr>
        <w:trPr>
          <w:trHeight w:val="20"/>
        </w:trPr>
        <w:tc>
          <w:tcPr>
            <w:tcW w:w="63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3,317</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6,978</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(3,324)</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(6,979)</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(8,801)</w:t>
            </w:r>
          </w:p>
        </w:tc>
        <w:tc>
          <w:tcPr>
            <w:tcW w:w="0" w:type="dxa"/>
            <w:vAlign w:val="bottom"/>
          </w:tcPr>
          <w:p>
            <w:pPr>
              <w:spacing w:after="0"/>
              <w:rPr>
                <w:sz w:val="1"/>
                <w:szCs w:val="1"/>
                <w:color w:val="auto"/>
              </w:rPr>
            </w:pPr>
          </w:p>
        </w:tc>
      </w:tr>
      <w:tr>
        <w:trPr>
          <w:trHeight w:val="186"/>
        </w:trPr>
        <w:tc>
          <w:tcPr>
            <w:tcW w:w="642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stockholders</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63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20" w:type="dxa"/>
            <w:vAlign w:val="bottom"/>
            <w:gridSpan w:val="2"/>
          </w:tcPr>
          <w:p>
            <w:pPr>
              <w:spacing w:after="0"/>
              <w:rPr>
                <w:sz w:val="20"/>
                <w:szCs w:val="20"/>
                <w:color w:val="auto"/>
              </w:rPr>
            </w:pPr>
            <w:r>
              <w:rPr>
                <w:rFonts w:ascii="Arial" w:cs="Arial" w:eastAsia="Arial" w:hAnsi="Arial"/>
                <w:sz w:val="14"/>
                <w:szCs w:val="14"/>
                <w:color w:val="auto"/>
              </w:rPr>
              <w:t>Earnings per share: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93"/>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7"/>
        </w:trPr>
        <w:tc>
          <w:tcPr>
            <w:tcW w:w="642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93"/>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387985</wp:posOffset>
            </wp:positionV>
            <wp:extent cx="68059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63" w:name="page64"/>
    <w:bookmarkEnd w:id="63"/>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072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39"/>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(Dollars in millions)</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For the Six Months Ended June</w:t>
      </w:r>
    </w:p>
    <w:p>
      <w:pPr>
        <w:jc w:val="center"/>
        <w:ind w:left="8900"/>
        <w:spacing w:after="0"/>
        <w:rPr>
          <w:sz w:val="20"/>
          <w:szCs w:val="20"/>
          <w:color w:val="auto"/>
        </w:rPr>
      </w:pPr>
      <w:r>
        <w:rPr>
          <w:rFonts w:ascii="Arial" w:cs="Arial" w:eastAsia="Arial" w:hAnsi="Arial"/>
          <w:sz w:val="14"/>
          <w:szCs w:val="14"/>
          <w:b w:val="1"/>
          <w:bCs w:val="1"/>
          <w:color w:val="auto"/>
        </w:rPr>
        <w:t>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bottom w:val="single" w:sz="8" w:color="2C6937"/>
            </w:tcBorders>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8,413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8,622</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(58,237)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(64,066)</w:t>
            </w:r>
          </w:p>
        </w:tc>
        <w:tc>
          <w:tcPr>
            <w:tcW w:w="100" w:type="dxa"/>
            <w:vAlign w:val="bottom"/>
          </w:tcPr>
          <w:p>
            <w:pPr>
              <w:spacing w:after="0"/>
              <w:rPr>
                <w:sz w:val="17"/>
                <w:szCs w:val="17"/>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1,952</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190,263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168,189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(45,763)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(39,996)</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Net change in securities purchased under agreements to resell</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(7,778)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3,050</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79,247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70,533</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Borrowings that have an original maturity of three months or less, net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12,907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15,117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(24,801)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(18,995)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121,287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105,591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(197,324)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(169,702)</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(87,919)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(69,548)</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 and cash equivalents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9,607</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cash equivalents and restricted cash and cash equivalents at beginning of period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78,811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68,706</w:t>
            </w:r>
          </w:p>
        </w:tc>
        <w:tc>
          <w:tcPr>
            <w:tcW w:w="100" w:type="dxa"/>
            <w:vAlign w:val="bottom"/>
          </w:tcPr>
          <w:p>
            <w:pPr>
              <w:spacing w:after="0"/>
              <w:rPr>
                <w:sz w:val="16"/>
                <w:szCs w:val="16"/>
                <w:color w:val="auto"/>
              </w:rPr>
            </w:pPr>
          </w:p>
        </w:tc>
      </w:tr>
      <w:tr>
        <w:trPr>
          <w:trHeight w:val="186"/>
        </w:trPr>
        <w:tc>
          <w:tcPr>
            <w:tcW w:w="9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cash equivalents and restricted cash and cash equivalents at end of period</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78,552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78,313</w:t>
            </w:r>
          </w:p>
        </w:tc>
        <w:tc>
          <w:tcPr>
            <w:tcW w:w="100" w:type="dxa"/>
            <w:vAlign w:val="bottom"/>
          </w:tcPr>
          <w:p>
            <w:pPr>
              <w:spacing w:after="0"/>
              <w:rPr>
                <w:sz w:val="16"/>
                <w:szCs w:val="16"/>
                <w:color w:val="auto"/>
              </w:rPr>
            </w:pPr>
          </w:p>
        </w:tc>
      </w:tr>
      <w:tr>
        <w:trPr>
          <w:trHeight w:val="20"/>
        </w:trPr>
        <w:tc>
          <w:tcPr>
            <w:tcW w:w="8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67,546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63,302</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Income taxes, net of refunds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64" w:name="page65"/>
    <w:bookmarkEnd w:id="64"/>
    <w:p>
      <w:pPr>
        <w:jc w:val="right"/>
        <w:ind w:right="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March 31, 2025</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(34,964)</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98,312</w:t>
            </w:r>
          </w:p>
        </w:tc>
        <w:tc>
          <w:tcPr>
            <w:tcW w:w="0" w:type="dxa"/>
            <w:vAlign w:val="bottom"/>
          </w:tcPr>
          <w:p>
            <w:pPr>
              <w:spacing w:after="0"/>
              <w:rPr>
                <w:sz w:val="1"/>
                <w:szCs w:val="1"/>
                <w:color w:val="auto"/>
              </w:rPr>
            </w:pPr>
          </w:p>
        </w:tc>
      </w:tr>
      <w:tr>
        <w:trPr>
          <w:trHeight w:val="149"/>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3,317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3,317</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$2)</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3,324</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2025</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(31,647)</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101,636</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89"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2024</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(38,625)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94,657</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6,978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6,978</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6,979</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2025</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(31,647)</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101,636</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818515</wp:posOffset>
            </wp:positionV>
            <wp:extent cx="68059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bookmarkStart w:id="65" w:name="page66"/>
    <w:bookmarkEnd w:id="65"/>
    <w:p>
      <w:pPr>
        <w:ind w:left="6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March 31, 2024</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(51,283)</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82,006</w:t>
            </w:r>
          </w:p>
        </w:tc>
        <w:tc>
          <w:tcPr>
            <w:tcW w:w="0" w:type="dxa"/>
            <w:vAlign w:val="bottom"/>
          </w:tcPr>
          <w:p>
            <w:pPr>
              <w:spacing w:after="0"/>
              <w:rPr>
                <w:sz w:val="1"/>
                <w:szCs w:val="1"/>
                <w:color w:val="auto"/>
              </w:rPr>
            </w:pPr>
          </w:p>
        </w:tc>
      </w:tr>
      <w:tr>
        <w:trPr>
          <w:trHeight w:val="149"/>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4,484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4,484</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$2)</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4,477</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(46,799)</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86,483</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89"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2023</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(55,603)</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77,682</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8,804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8,804</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8,801</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June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(46,799)</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86,483</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1182370</wp:posOffset>
            </wp:positionV>
            <wp:extent cx="68059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bookmarkStart w:id="66" w:name="page67"/>
    <w:bookmarkEnd w:id="66"/>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2024 (“2024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and include our accounts as well as the accounts of other entities in which we have a controlling financial interest. All intercompany balances and transactions have been eliminated.</w:t>
      </w:r>
    </w:p>
    <w:p>
      <w:pPr>
        <w:spacing w:after="0" w:line="32"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The accompanying financial statements should be read in conjunction with our audited consolidated financial statements and related notes included in our 2024 Form 10-K. Certain disclosures are condensed or omitted from the accompanying financial statements as they are not required for interim financial statements under GAAP. In the opinion of management, the accompanying financial statements contain all adjustments, which include only normal recurring adjustments, necessary for a fair presentation of our results. The nature of our business is such that the results of any interim period are not necessarily indicative of results for a full year. To conform to our current-period presentation, we have reclassified certain amounts reported in our prior period consolidated financial statements.</w:t>
      </w:r>
    </w:p>
    <w:p>
      <w:pPr>
        <w:spacing w:after="0" w:line="41"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Beginning in the first quarter of 2025, we changed our presentation on the condensed consolidated statement of cash flows for certain borrowings with original contractual maturities of three months or less such that the proceeds from the issuance of these borrowings and the related payments to redeem them are presented on a net basis. Previously, proceeds from the issuance of these borrowings and the related repayments to redeem them were presented separately (i.e., gross) on the condensed consolidated statements of cash flows. As a result of this change, we recast the prior periods presented to reflect the net presentation of cash flows on these borrowings. For borrowings with original contractual maturities greater than three months, we continue to present proceeds from issuance and payments to redeem the borrowings on a gross basis.</w:t>
      </w:r>
    </w:p>
    <w:p>
      <w:pPr>
        <w:spacing w:after="0" w:line="8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9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Earnings per share (“EPS”) is presented for basic and diluted EPS. For the three months ended June 30, 2025 and 2024, the weighted average shares outstanding used in the computation of basic and diluted EPS includes 4.7 billion shares of common stock that would be issuable upon full exercise of the common stock warrant issued to the U.S. Department of the Treasury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7" w:name="page68"/>
    <w:bookmarkEnd w:id="67"/>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 For the three and six months ended June 30, 2025, our diluted EPS weighted-average shares outstanding does not include the 26 million shares issuable upon the conversion of convertible preferred stock because it would have had an anti-dilutive effect. For the three and six months ended June 30, 2024, our diluted EPS weighted-average shares outstanding includes 26 million shares issuable upon the conversion of convertible preferred stock.</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Collateral</w:t>
      </w:r>
    </w:p>
    <w:p>
      <w:pPr>
        <w:spacing w:after="0" w:line="68"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We enter into various transactions where we pledge and accept collateral, the most common of which are our derivative transactions. We also pledge and receive collateral under our repurchase and reverse repurchase agreements.</w:t>
      </w:r>
    </w:p>
    <w:p>
      <w:pPr>
        <w:spacing w:after="0" w:line="2"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We posted U.S. Treasury securities of $9.7 billion and $8.9 billion as collateral as of June 30, 2025 and December 31, 2024, respectively. The fair value of non-cash collateral received was $63.9 billion and $56.3 billion, of which $61.7 billion and $49.0 billion could be sold or repledged as of June 30, 2025 and December 31, 2024, respectively. None of the underlying collateral we received was sold or repledged as of June 30, 2025 or December 31, 2024.</w:t>
      </w:r>
    </w:p>
    <w:p>
      <w:pPr>
        <w:spacing w:after="0" w:line="7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81"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We present foreclosed property in “Other assets” in our condensed consolidated balance sheets. We held $1.8 billion and $1.7 billion of acquired property, net as of June 30, 2025 and December 31, 2024, respectively.</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Income Taxes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In December 2023, the Financial Accounting Standards Board (“FASB”) issued Accounting Standards Update (“ASU”) 2023-09,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enhances the required disclosures primarily related to the income tax rate reconciliation and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paid. The ASU requires an entity’s income tax rate reconciliation to provide additional information for reconciling items meeting a quantitative threshold, and to disclose certain selected categories within the income tax rate reconciliation. The ASU also requires entities to disclose the amount of income taxes paid, disaggregated by federal, state and foreign taxes. The ASU is effective for annual periods beginning after December 15, 2024, though early adoption is permitted. The adoption of this guidance is not expected to have a material impact on our consolidated financial statements.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Disaggregation of Income Statement Expenses</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The guidance enhances the disclosures about an entity’s expenses by requiring more detailed information about the types of expenses in commonly presented expense captions. This guidance is effective for fiscal years beginning after December 15, 2026 and interim periods beginning after December 15, 2027. The adoption of this guidance is not expected to have a material impact on our consolidated financial statements.</w:t>
      </w:r>
    </w:p>
    <w:p>
      <w:pPr>
        <w:spacing w:after="0" w:line="147" w:lineRule="exact"/>
        <w:rPr>
          <w:sz w:val="20"/>
          <w:szCs w:val="20"/>
          <w:color w:val="auto"/>
        </w:rPr>
      </w:pPr>
    </w:p>
    <w:p>
      <w:pPr>
        <w:ind w:right="200" w:firstLine="3"/>
        <w:spacing w:after="0" w:line="244" w:lineRule="auto"/>
        <w:tabs>
          <w:tab w:leader="none" w:pos="452" w:val="left"/>
        </w:tabs>
        <w:numPr>
          <w:ilvl w:val="0"/>
          <w:numId w:val="53"/>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12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81"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68"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FHFA, as conservator, entered into a senior preferred stock purchase agreement with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of $0.00001. This agreement also provides funding to us under certain circumstances if we have a net worth deficit. Pursuant to the senior preferred stock purchase agreement, we have received a total of $119.8 billion from Treasury as of June 30, 2025, and the amount of remaining funding available to us under the agreement is $113.9 billion. We have not received any funding from Treasury under this commitment since the first quarter of 2018. We had a positive net worth of $101.6 billion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8" w:name="page69"/>
    <w:bookmarkEnd w:id="68"/>
    <w:p>
      <w:pPr>
        <w:ind w:left="2620"/>
        <w:spacing w:after="0"/>
        <w:rPr>
          <w:sz w:val="20"/>
          <w:szCs w:val="20"/>
          <w:color w:val="auto"/>
        </w:rPr>
      </w:pPr>
      <w:r>
        <w:rPr>
          <w:rFonts w:ascii="Arial" w:cs="Arial" w:eastAsia="Arial" w:hAnsi="Arial"/>
          <w:sz w:val="13"/>
          <w:szCs w:val="13"/>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3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aggregate liquidation preference of the senior preferred stock increased to $219.8 billion as of June 30, 2025 from $216.2 billion as of March 31, 2025, due to the increase in our net worth in the first quarter of 2025. The aggregate liquidation preference of the senior preferred stock will further increase to $223.1 billion as of September 30, 2025, due to the increase in our net worth in the second quarter of 2025.</w:t>
      </w:r>
    </w:p>
    <w:p>
      <w:pPr>
        <w:spacing w:after="0" w:line="7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Impact of U.S. Government Support</w:t>
      </w:r>
    </w:p>
    <w:p>
      <w:pPr>
        <w:spacing w:after="0" w:line="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been operating under the control of FHFA as conservator since 2008, which is a form of government support. We continue to rely on financial support from Treasury pursuant to our senior preferred stock purchase agreement to eliminate any net worth deficits we may experience in the future, which would otherwise trigger our being placed into receivership by FHFA. Treasury also has authority under the Charter Act to purchase up to $2.25 billion of the debt obligations that we issue. We believe that continued support from Treasury and our status as a government-sponsored enterprise are essential to maintaining our access to debt funding and maintaining the liquidity necessary to conduct our normal business activities. Therefore, changes or perceived changes in (i) our status as a government-sponsored enterprise, (ii) our support from Treasury and/or (iii) the creditworthiness of the U.S. government could have a material adverse impact on our access to debt funding or the cost of debt funding. These events would have a negative impact on our liquidity, financial condition, and results of operations. Our reliance on support from the U.S. government is critical to keeping us operating as a going concern.</w:t>
      </w:r>
    </w:p>
    <w:p>
      <w:pPr>
        <w:spacing w:after="0" w:line="139"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reduces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8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maximum exposure to loss as a result of our involvement with unconsolidated VIEs and the total assets of the VIEs.</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9" w:name="page70"/>
    <w:bookmarkEnd w:id="69"/>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2160" w:type="dxa"/>
            <w:vAlign w:val="bottom"/>
            <w:tcBorders>
              <w:bottom w:val="single" w:sz="8" w:color="2C6937"/>
            </w:tcBorders>
            <w:gridSpan w:val="3"/>
          </w:tcPr>
          <w:p>
            <w:pPr>
              <w:jc w:val="right"/>
              <w:ind w:right="83"/>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gridSpan w:val="4"/>
          </w:tcPr>
          <w:p>
            <w:pPr>
              <w:ind w:left="1140"/>
              <w:spacing w:after="0"/>
              <w:rPr>
                <w:sz w:val="20"/>
                <w:szCs w:val="20"/>
                <w:color w:val="auto"/>
              </w:rPr>
            </w:pPr>
            <w:r>
              <w:rPr>
                <w:rFonts w:ascii="Arial" w:cs="Arial" w:eastAsia="Arial" w:hAnsi="Arial"/>
                <w:sz w:val="15"/>
                <w:szCs w:val="15"/>
                <w:b w:val="1"/>
                <w:bCs w:val="1"/>
                <w:color w:val="auto"/>
              </w:rPr>
              <w:t>June 30, 2025</w:t>
            </w:r>
          </w:p>
        </w:tc>
        <w:tc>
          <w:tcPr>
            <w:tcW w:w="300" w:type="dxa"/>
            <w:vAlign w:val="bottom"/>
          </w:tcPr>
          <w:p>
            <w:pPr>
              <w:spacing w:after="0"/>
              <w:rPr>
                <w:sz w:val="17"/>
                <w:szCs w:val="17"/>
                <w:color w:val="auto"/>
              </w:rPr>
            </w:pPr>
          </w:p>
        </w:tc>
        <w:tc>
          <w:tcPr>
            <w:tcW w:w="3540" w:type="dxa"/>
            <w:vAlign w:val="bottom"/>
            <w:gridSpan w:val="3"/>
          </w:tcPr>
          <w:p>
            <w:pPr>
              <w:jc w:val="right"/>
              <w:ind w:right="1143"/>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80" w:type="dxa"/>
            <w:vAlign w:val="bottom"/>
            <w:tcBorders>
              <w:top w:val="single" w:sz="8" w:color="2C6937"/>
            </w:tcBorders>
          </w:tcPr>
          <w:p>
            <w:pPr>
              <w:spacing w:after="0"/>
              <w:rPr>
                <w:sz w:val="12"/>
                <w:szCs w:val="12"/>
                <w:color w:val="auto"/>
              </w:rPr>
            </w:pPr>
          </w:p>
        </w:tc>
        <w:tc>
          <w:tcPr>
            <w:tcW w:w="1600" w:type="dxa"/>
            <w:vAlign w:val="bottom"/>
            <w:tcBorders>
              <w:top w:val="single" w:sz="8" w:color="2C6937"/>
            </w:tcBorders>
            <w:vMerge w:val="restart"/>
          </w:tcPr>
          <w:p>
            <w:pPr>
              <w:jc w:val="right"/>
              <w:ind w:right="42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2C6937"/>
            </w:tcBorders>
          </w:tcPr>
          <w:p>
            <w:pPr>
              <w:spacing w:after="0"/>
              <w:rPr>
                <w:sz w:val="12"/>
                <w:szCs w:val="12"/>
                <w:color w:val="auto"/>
              </w:rPr>
            </w:pPr>
          </w:p>
        </w:tc>
        <w:tc>
          <w:tcPr>
            <w:tcW w:w="1760" w:type="dxa"/>
            <w:vAlign w:val="bottom"/>
            <w:tcBorders>
              <w:top w:val="single" w:sz="8" w:color="2C6937"/>
            </w:tcBorders>
          </w:tcPr>
          <w:p>
            <w:pPr>
              <w:jc w:val="center"/>
              <w:ind w:right="23"/>
              <w:spacing w:after="0" w:line="148" w:lineRule="exact"/>
              <w:rPr>
                <w:sz w:val="20"/>
                <w:szCs w:val="20"/>
                <w:color w:val="auto"/>
              </w:rPr>
            </w:pPr>
            <w:r>
              <w:rPr>
                <w:rFonts w:ascii="Arial" w:cs="Arial" w:eastAsia="Arial" w:hAnsi="Arial"/>
                <w:sz w:val="15"/>
                <w:szCs w:val="15"/>
                <w:b w:val="1"/>
                <w:bCs w:val="1"/>
                <w:color w:val="auto"/>
              </w:rPr>
              <w:t>Maximum Exposure to</w:t>
            </w:r>
          </w:p>
        </w:tc>
        <w:tc>
          <w:tcPr>
            <w:tcW w:w="100" w:type="dxa"/>
            <w:vAlign w:val="bottom"/>
          </w:tcPr>
          <w:p>
            <w:pPr>
              <w:spacing w:after="0"/>
              <w:rPr>
                <w:sz w:val="12"/>
                <w:szCs w:val="12"/>
                <w:color w:val="auto"/>
              </w:rPr>
            </w:pPr>
          </w:p>
        </w:tc>
        <w:tc>
          <w:tcPr>
            <w:tcW w:w="300" w:type="dxa"/>
            <w:vAlign w:val="bottom"/>
            <w:tcBorders>
              <w:top w:val="single" w:sz="8" w:color="2C6937"/>
            </w:tcBorders>
          </w:tcPr>
          <w:p>
            <w:pPr>
              <w:spacing w:after="0"/>
              <w:rPr>
                <w:sz w:val="12"/>
                <w:szCs w:val="12"/>
                <w:color w:val="auto"/>
              </w:rPr>
            </w:pPr>
          </w:p>
        </w:tc>
        <w:tc>
          <w:tcPr>
            <w:tcW w:w="1600" w:type="dxa"/>
            <w:vAlign w:val="bottom"/>
            <w:tcBorders>
              <w:top w:val="single" w:sz="8" w:color="2C6937"/>
            </w:tcBorders>
            <w:vMerge w:val="restart"/>
          </w:tcPr>
          <w:p>
            <w:pPr>
              <w:jc w:val="right"/>
              <w:ind w:right="44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2C6937"/>
            </w:tcBorders>
          </w:tcPr>
          <w:p>
            <w:pPr>
              <w:spacing w:after="0"/>
              <w:rPr>
                <w:sz w:val="12"/>
                <w:szCs w:val="12"/>
                <w:color w:val="auto"/>
              </w:rPr>
            </w:pPr>
          </w:p>
        </w:tc>
        <w:tc>
          <w:tcPr>
            <w:tcW w:w="1740" w:type="dxa"/>
            <w:vAlign w:val="bottom"/>
            <w:tcBorders>
              <w:top w:val="single" w:sz="8" w:color="2C6937"/>
            </w:tcBorders>
          </w:tcPr>
          <w:p>
            <w:pPr>
              <w:jc w:val="right"/>
              <w:ind w:right="23"/>
              <w:spacing w:after="0" w:line="148" w:lineRule="exact"/>
              <w:rPr>
                <w:sz w:val="20"/>
                <w:szCs w:val="20"/>
                <w:color w:val="auto"/>
              </w:rPr>
            </w:pPr>
            <w:r>
              <w:rPr>
                <w:rFonts w:ascii="Arial" w:cs="Arial" w:eastAsia="Arial" w:hAnsi="Arial"/>
                <w:sz w:val="15"/>
                <w:szCs w:val="15"/>
                <w:b w:val="1"/>
                <w:bCs w:val="1"/>
                <w:color w:val="auto"/>
              </w:rPr>
              <w:t>Maximum Exposure to</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5"/>
                <w:szCs w:val="15"/>
                <w:b w:val="1"/>
                <w:bCs w:val="1"/>
                <w:color w:val="auto"/>
              </w:rPr>
              <w:t>Loss</w:t>
            </w:r>
          </w:p>
        </w:tc>
        <w:tc>
          <w:tcPr>
            <w:tcW w:w="3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Loss</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4"/>
          </w:tcPr>
          <w:p>
            <w:pPr>
              <w:jc w:val="right"/>
              <w:ind w:right="1163"/>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r>
              <w:rPr>
                <w:rFonts w:ascii="Arial" w:cs="Arial" w:eastAsia="Arial" w:hAnsi="Arial"/>
                <w:sz w:val="15"/>
                <w:szCs w:val="15"/>
                <w:color w:val="auto"/>
              </w:rPr>
              <w:t>Securitization and resecuritization trusts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200,507</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195,404</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203,841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203,316</w:t>
            </w: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r>
              <w:rPr>
                <w:rFonts w:ascii="Arial" w:cs="Arial" w:eastAsia="Arial" w:hAnsi="Arial"/>
                <w:sz w:val="15"/>
                <w:szCs w:val="15"/>
                <w:color w:val="auto"/>
              </w:rPr>
              <w:t>Credit risk transfer SPVs</w:t>
            </w:r>
            <w:r>
              <w:rPr>
                <w:rFonts w:ascii="Arial" w:cs="Arial" w:eastAsia="Arial" w:hAnsi="Arial"/>
                <w:sz w:val="20"/>
                <w:szCs w:val="20"/>
                <w:color w:val="auto"/>
                <w:vertAlign w:val="superscript"/>
              </w:rPr>
              <w:t>(2)</w:t>
            </w:r>
          </w:p>
        </w:tc>
        <w:tc>
          <w:tcPr>
            <w:tcW w:w="280" w:type="dxa"/>
            <w:vAlign w:val="bottom"/>
          </w:tcPr>
          <w:p>
            <w:pPr>
              <w:spacing w:after="0"/>
              <w:rPr>
                <w:sz w:val="20"/>
                <w:szCs w:val="20"/>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24,620</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24,623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23,222</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23,224</w:t>
            </w:r>
          </w:p>
        </w:tc>
        <w:tc>
          <w:tcPr>
            <w:tcW w:w="0" w:type="dxa"/>
            <w:vAlign w:val="bottom"/>
          </w:tcPr>
          <w:p>
            <w:pPr>
              <w:spacing w:after="0"/>
              <w:rPr>
                <w:sz w:val="1"/>
                <w:szCs w:val="1"/>
                <w:color w:val="auto"/>
              </w:rPr>
            </w:pPr>
          </w:p>
        </w:tc>
      </w:tr>
      <w:tr>
        <w:trPr>
          <w:trHeight w:val="180"/>
        </w:trPr>
        <w:tc>
          <w:tcPr>
            <w:tcW w:w="3440" w:type="dxa"/>
            <w:vAlign w:val="bottom"/>
          </w:tcPr>
          <w:p>
            <w:pPr>
              <w:spacing w:after="0"/>
              <w:rPr>
                <w:sz w:val="20"/>
                <w:szCs w:val="20"/>
                <w:color w:val="auto"/>
              </w:rPr>
            </w:pPr>
            <w:r>
              <w:rPr>
                <w:rFonts w:ascii="Arial" w:cs="Arial" w:eastAsia="Arial" w:hAnsi="Arial"/>
                <w:sz w:val="15"/>
                <w:szCs w:val="15"/>
                <w:color w:val="auto"/>
              </w:rPr>
              <w:t>Limited partnerships, including low income</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440" w:type="dxa"/>
            <w:vAlign w:val="bottom"/>
          </w:tcPr>
          <w:p>
            <w:pPr>
              <w:ind w:left="160"/>
              <w:spacing w:after="0"/>
              <w:rPr>
                <w:sz w:val="20"/>
                <w:szCs w:val="20"/>
                <w:color w:val="auto"/>
              </w:rPr>
            </w:pPr>
            <w:r>
              <w:rPr>
                <w:rFonts w:ascii="Arial" w:cs="Arial" w:eastAsia="Arial" w:hAnsi="Arial"/>
                <w:sz w:val="15"/>
                <w:szCs w:val="15"/>
                <w:color w:val="auto"/>
              </w:rPr>
              <w:t>housing tax credit ("LIHTC") investments</w:t>
            </w:r>
            <w:r>
              <w:rPr>
                <w:rFonts w:ascii="Arial" w:cs="Arial" w:eastAsia="Arial" w:hAnsi="Arial"/>
                <w:sz w:val="20"/>
                <w:szCs w:val="20"/>
                <w:color w:val="auto"/>
                <w:vertAlign w:val="superscript"/>
              </w:rPr>
              <w:t>(3)</w:t>
            </w:r>
          </w:p>
        </w:tc>
        <w:tc>
          <w:tcPr>
            <w:tcW w:w="280" w:type="dxa"/>
            <w:vAlign w:val="bottom"/>
          </w:tcPr>
          <w:p>
            <w:pPr>
              <w:spacing w:after="0"/>
              <w:rPr>
                <w:sz w:val="23"/>
                <w:szCs w:val="23"/>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6,372</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6,428</w:t>
            </w: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669</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40" w:right="160" w:hanging="237"/>
        <w:spacing w:after="0" w:line="226" w:lineRule="auto"/>
        <w:tabs>
          <w:tab w:leader="none" w:pos="233"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net carrying amount of securitization and resecuritization trusts were $1.3 billion and $1.2 billion as of June 30, 2025 and December 31, 2024, respectively, which are primarily classified in Investments in securities, at fair value in our condensed consolidated balance sheets.</w:t>
      </w:r>
    </w:p>
    <w:p>
      <w:pPr>
        <w:spacing w:after="0" w:line="14" w:lineRule="exact"/>
        <w:rPr>
          <w:rFonts w:ascii="Arial" w:cs="Arial" w:eastAsia="Arial" w:hAnsi="Arial"/>
          <w:sz w:val="18"/>
          <w:szCs w:val="18"/>
          <w:color w:val="auto"/>
          <w:vertAlign w:val="superscript"/>
        </w:rPr>
      </w:pPr>
    </w:p>
    <w:p>
      <w:pPr>
        <w:ind w:left="240" w:right="740" w:hanging="237"/>
        <w:spacing w:after="0" w:line="275" w:lineRule="auto"/>
        <w:tabs>
          <w:tab w:leader="none" w:pos="233" w:val="left"/>
        </w:tabs>
        <w:numPr>
          <w:ilvl w:val="0"/>
          <w:numId w:val="54"/>
        </w:numPr>
        <w:rPr>
          <w:rFonts w:ascii="Arial" w:cs="Arial" w:eastAsia="Arial" w:hAnsi="Arial"/>
          <w:sz w:val="9"/>
          <w:szCs w:val="9"/>
          <w:color w:val="auto"/>
        </w:rPr>
      </w:pPr>
      <w:r>
        <w:rPr>
          <w:rFonts w:ascii="Arial" w:cs="Arial" w:eastAsia="Arial" w:hAnsi="Arial"/>
          <w:sz w:val="14"/>
          <w:szCs w:val="14"/>
          <w:color w:val="auto"/>
        </w:rPr>
        <w:t>Maximum exposure to loss of credit risk transfer SPVs consists of the unpaid principal balance and accrued interest payable of obligations issued by Connecticut Avenue Securities® ("CAS") and Multifamily Connecticut Avenue Securities® ("MCAS") SPVs.</w:t>
      </w:r>
    </w:p>
    <w:p>
      <w:pPr>
        <w:spacing w:after="0" w:line="4" w:lineRule="exact"/>
        <w:rPr>
          <w:rFonts w:ascii="Arial" w:cs="Arial" w:eastAsia="Arial" w:hAnsi="Arial"/>
          <w:sz w:val="9"/>
          <w:szCs w:val="9"/>
          <w:color w:val="auto"/>
        </w:rPr>
      </w:pPr>
    </w:p>
    <w:p>
      <w:pPr>
        <w:ind w:left="240" w:hanging="237"/>
        <w:spacing w:after="0" w:line="233" w:lineRule="auto"/>
        <w:tabs>
          <w:tab w:leader="none" w:pos="233"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net carrying value of LIHTC investments that represent VIEs was $713 million and $669 million as of June 30, 2025 and December 31, 2024, respectively. The net carrying value of all LIHTC investments was $2.1 billion and $2.0 billion as of June 30, 2025 and December 31, 2024, respectively. In our condensed consolidated balance sheets, the LIHTC investment assets and liabilities are classified as Other assets and Other liabilities, respectively.</w:t>
      </w:r>
    </w:p>
    <w:p>
      <w:pPr>
        <w:spacing w:after="0" w:line="3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As of June 30, 2025, the unpaid principal balance of our multifamily loan portfolio was $501.6 billion. 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however, the disclosures we have provided in “Note 4, Mortgage Loans,” “Note 5, Allowance for Loan Losses” and “Note 7, Financial Guarantees” with respect to this population are consistent with the FASB’s stated objectives for the disclosures related to unconsolidated VIEs.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8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issue single-class Fannie Mae MBS through portfolio securitization transactions by transferring pools of mortgage loans or mortgage-related securities to one or more trusts or special purpose entities. For the three months ended June 30, 2025 and 2024, the unpaid principal balance of portfolio securitizations was $30.9 billion and $35.5 billion, respectively. For the six months ended June 30, 2025 and 2024, the unpaid principal balance of portfolio securitizations was $66.4 billion and $66.7 billion, respectively. We consolidate the substantial majority of these portfolio securitization transactions.</w:t>
      </w:r>
    </w:p>
    <w:p>
      <w:pPr>
        <w:spacing w:after="0" w:line="3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portfolio securitization trusts and unconsolidated single-class and multi -class portfolio resecuritization trusts. As of June 30, 2025, the unpaid principal balance of retained interests was $610 million and its related fair value was $950 million. As of December 31, 2024, the unpaid principal balance of retained interests was $661 million and its related fair value was $1.0 billion. For the three months ended June 30, 2025 and 2024, the principal, interest and other fees received on retained interests was $66 million and $63 million, respectively. For the six months ended June 30, 2025 and 2024, the principal, interest and other fees received on retained interests was $123 million and $127 million, respectively.</w:t>
      </w:r>
    </w:p>
    <w:p>
      <w:pPr>
        <w:spacing w:after="0" w:line="15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67"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record on our consolidated balance sheets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unpaid principal balance, net of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40"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0" w:name="page71"/>
    <w:bookmarkEnd w:id="7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204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820" w:type="dxa"/>
            <w:vAlign w:val="bottom"/>
            <w:tcBorders>
              <w:bottom w:val="single" w:sz="8" w:color="2C6937"/>
            </w:tcBorders>
            <w:gridSpan w:val="2"/>
          </w:tcPr>
          <w:p>
            <w:pPr>
              <w:ind w:left="20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2024</w:t>
            </w:r>
          </w:p>
        </w:tc>
      </w:tr>
      <w:tr>
        <w:trPr>
          <w:trHeight w:val="296"/>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3,593,460</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3,619,838</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501,559</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490,358</w:t>
            </w:r>
          </w:p>
        </w:tc>
      </w:tr>
      <w:tr>
        <w:trPr>
          <w:trHeight w:val="30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unpaid principal balance of mortgage loans</w:t>
            </w:r>
          </w:p>
        </w:tc>
        <w:tc>
          <w:tcPr>
            <w:tcW w:w="300" w:type="dxa"/>
            <w:vAlign w:val="bottom"/>
          </w:tcPr>
          <w:p>
            <w:pPr>
              <w:spacing w:after="0"/>
              <w:rPr>
                <w:sz w:val="24"/>
                <w:szCs w:val="24"/>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4,095,019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4,110,196</w:t>
            </w:r>
          </w:p>
        </w:tc>
      </w:tr>
      <w:tr>
        <w:trPr>
          <w:trHeight w:val="309"/>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Cost basis and fair value adjustments, net</w:t>
            </w:r>
          </w:p>
        </w:tc>
        <w:tc>
          <w:tcPr>
            <w:tcW w:w="300" w:type="dxa"/>
            <w:vAlign w:val="bottom"/>
          </w:tcPr>
          <w:p>
            <w:pPr>
              <w:spacing w:after="0"/>
              <w:rPr>
                <w:sz w:val="24"/>
                <w:szCs w:val="24"/>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33,359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35,517</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 for HFI loans</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(8,247)</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(7,707)</w:t>
            </w:r>
          </w:p>
        </w:tc>
      </w:tr>
      <w:tr>
        <w:trPr>
          <w:trHeight w:val="302"/>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4,120,131</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4,138,006</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Excludes $11.2 billion and $10.8 billion of accrued interest receivable as of June 30, 2025 and December 31, 2024,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sales of mortgage loans during the period.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5"/>
                <w:szCs w:val="15"/>
                <w:b w:val="1"/>
                <w:bCs w:val="1"/>
                <w:color w:val="auto"/>
              </w:rPr>
              <w:t>For the Three Months Ended</w:t>
            </w:r>
          </w:p>
        </w:tc>
        <w:tc>
          <w:tcPr>
            <w:tcW w:w="100" w:type="dxa"/>
            <w:vAlign w:val="bottom"/>
          </w:tcPr>
          <w:p>
            <w:pPr>
              <w:spacing w:after="0"/>
              <w:rPr>
                <w:sz w:val="14"/>
                <w:szCs w:val="14"/>
                <w:color w:val="auto"/>
              </w:rPr>
            </w:pPr>
          </w:p>
        </w:tc>
        <w:tc>
          <w:tcPr>
            <w:tcW w:w="2440" w:type="dxa"/>
            <w:vAlign w:val="bottom"/>
            <w:gridSpan w:val="5"/>
          </w:tcPr>
          <w:p>
            <w:pPr>
              <w:jc w:val="right"/>
              <w:ind w:right="43"/>
              <w:spacing w:after="0"/>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58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gridSpan w:val="3"/>
          </w:tcPr>
          <w:p>
            <w:pPr>
              <w:jc w:val="right"/>
              <w:ind w:right="23"/>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gridSpan w:val="3"/>
          </w:tcPr>
          <w:p>
            <w:pPr>
              <w:jc w:val="right"/>
              <w:ind w:right="200"/>
              <w:spacing w:after="0"/>
              <w:rPr>
                <w:sz w:val="20"/>
                <w:szCs w:val="20"/>
                <w:color w:val="auto"/>
              </w:rPr>
            </w:pPr>
            <w:r>
              <w:rPr>
                <w:rFonts w:ascii="Arial" w:cs="Arial" w:eastAsia="Arial" w:hAnsi="Arial"/>
                <w:sz w:val="15"/>
                <w:szCs w:val="15"/>
                <w:b w:val="1"/>
                <w:bCs w:val="1"/>
                <w:color w:val="auto"/>
                <w:w w:val="95"/>
              </w:rPr>
              <w:t>30,</w:t>
            </w:r>
          </w:p>
        </w:tc>
        <w:tc>
          <w:tcPr>
            <w:tcW w:w="960" w:type="dxa"/>
            <w:vAlign w:val="bottom"/>
            <w:tcBorders>
              <w:bottom w:val="single" w:sz="8" w:color="2C6937"/>
            </w:tcBorders>
          </w:tcPr>
          <w:p>
            <w:pPr>
              <w:spacing w:after="0"/>
              <w:rPr>
                <w:sz w:val="17"/>
                <w:szCs w:val="17"/>
                <w:color w:val="auto"/>
              </w:rPr>
            </w:pPr>
          </w:p>
        </w:tc>
      </w:tr>
      <w:tr>
        <w:trPr>
          <w:trHeight w:val="199"/>
        </w:trPr>
        <w:tc>
          <w:tcPr>
            <w:tcW w:w="58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2024</w:t>
            </w:r>
          </w:p>
        </w:tc>
      </w:tr>
      <w:tr>
        <w:trPr>
          <w:trHeight w:val="283"/>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4"/>
          </w:tcPr>
          <w:p>
            <w:pPr>
              <w:jc w:val="right"/>
              <w:ind w:right="463"/>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4"/>
        </w:trPr>
        <w:tc>
          <w:tcPr>
            <w:tcW w:w="5860" w:type="dxa"/>
            <w:vAlign w:val="bottom"/>
          </w:tcPr>
          <w:p>
            <w:pPr>
              <w:spacing w:after="0"/>
              <w:rPr>
                <w:sz w:val="20"/>
                <w:szCs w:val="20"/>
                <w:color w:val="auto"/>
              </w:rPr>
            </w:pPr>
            <w:r>
              <w:rPr>
                <w:rFonts w:ascii="Arial" w:cs="Arial" w:eastAsia="Arial" w:hAnsi="Arial"/>
                <w:sz w:val="15"/>
                <w:szCs w:val="15"/>
                <w:color w:val="auto"/>
              </w:rPr>
              <w:t>Purchase of HFI loans: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586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83,567</w:t>
            </w:r>
          </w:p>
        </w:tc>
        <w:tc>
          <w:tcPr>
            <w:tcW w:w="10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85,776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147,194</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148,066</w:t>
            </w:r>
          </w:p>
        </w:tc>
      </w:tr>
      <w:tr>
        <w:trPr>
          <w:trHeight w:val="232"/>
        </w:trPr>
        <w:tc>
          <w:tcPr>
            <w:tcW w:w="586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16,636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9,271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28,150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19,339</w:t>
            </w:r>
          </w:p>
        </w:tc>
      </w:tr>
      <w:tr>
        <w:trPr>
          <w:trHeight w:val="392"/>
        </w:trPr>
        <w:tc>
          <w:tcPr>
            <w:tcW w:w="586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586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194</w:t>
            </w:r>
          </w:p>
        </w:tc>
        <w:tc>
          <w:tcPr>
            <w:tcW w:w="10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704</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452</w:t>
            </w:r>
          </w:p>
        </w:tc>
      </w:tr>
      <w:tr>
        <w:trPr>
          <w:trHeight w:val="355"/>
        </w:trPr>
        <w:tc>
          <w:tcPr>
            <w:tcW w:w="586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(90)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63"/>
        </w:trPr>
        <w:tc>
          <w:tcPr>
            <w:tcW w:w="586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92"/>
        </w:trPr>
        <w:tc>
          <w:tcPr>
            <w:tcW w:w="586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586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660</w:t>
            </w:r>
          </w:p>
        </w:tc>
        <w:tc>
          <w:tcPr>
            <w:tcW w:w="10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1,832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660</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2,331</w:t>
            </w:r>
          </w:p>
        </w:tc>
      </w:tr>
      <w:tr>
        <w:trPr>
          <w:trHeight w:val="309"/>
        </w:trPr>
        <w:tc>
          <w:tcPr>
            <w:tcW w:w="5860" w:type="dxa"/>
            <w:vAlign w:val="bottom"/>
          </w:tcPr>
          <w:p>
            <w:pPr>
              <w:ind w:left="160"/>
              <w:spacing w:after="0"/>
              <w:rPr>
                <w:sz w:val="20"/>
                <w:szCs w:val="20"/>
                <w:color w:val="auto"/>
              </w:rPr>
            </w:pPr>
            <w:r>
              <w:rPr>
                <w:rFonts w:ascii="Arial" w:cs="Arial" w:eastAsia="Arial" w:hAnsi="Arial"/>
                <w:sz w:val="15"/>
                <w:szCs w:val="15"/>
                <w:color w:val="auto"/>
              </w:rPr>
              <w:t>Realized gains (losses), net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88" w:lineRule="exact"/>
        <w:rPr>
          <w:sz w:val="20"/>
          <w:szCs w:val="20"/>
          <w:color w:val="auto"/>
        </w:rPr>
      </w:pPr>
    </w:p>
    <w:p>
      <w:pPr>
        <w:ind w:left="220" w:hanging="217"/>
        <w:spacing w:after="0"/>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28"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1" w:name="page72"/>
    <w:bookmarkEnd w:id="71"/>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90"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560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56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560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71"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right="480"/>
        <w:spacing w:after="0" w:line="451" w:lineRule="auto"/>
        <w:rPr>
          <w:sz w:val="20"/>
          <w:szCs w:val="20"/>
          <w:color w:val="auto"/>
        </w:rPr>
      </w:pPr>
      <w:r>
        <w:rPr>
          <w:rFonts w:ascii="Arial" w:cs="Arial" w:eastAsia="Arial" w:hAnsi="Arial"/>
          <w:sz w:val="14"/>
          <w:szCs w:val="14"/>
          <w:color w:val="auto"/>
        </w:rPr>
        <w:t>Adjustable-rate Other</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20" w:right="460"/>
        <w:spacing w:after="0" w:line="486"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7"/>
          <w:szCs w:val="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60007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Loans 90 Days</w:t>
            </w:r>
          </w:p>
        </w:tc>
        <w:tc>
          <w:tcPr>
            <w:tcW w:w="106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91"/>
              <w:spacing w:after="0" w:line="155" w:lineRule="exact"/>
              <w:rPr>
                <w:sz w:val="20"/>
                <w:szCs w:val="20"/>
                <w:color w:val="auto"/>
              </w:rPr>
            </w:pPr>
            <w:r>
              <w:rPr>
                <w:rFonts w:ascii="Arial" w:cs="Arial" w:eastAsia="Arial" w:hAnsi="Arial"/>
                <w:sz w:val="14"/>
                <w:szCs w:val="14"/>
                <w:b w:val="1"/>
                <w:bCs w:val="1"/>
                <w:color w:val="auto"/>
              </w:rPr>
              <w:t>or More</w:t>
            </w:r>
          </w:p>
        </w:tc>
        <w:tc>
          <w:tcPr>
            <w:tcW w:w="106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Delinquent and</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Nonaccrual</w:t>
            </w:r>
          </w:p>
        </w:tc>
      </w:tr>
      <w:tr>
        <w:trPr>
          <w:trHeight w:val="166"/>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Accruing</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2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Delinquent</w:t>
            </w: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4"/>
              </w:rPr>
              <w:t>Interest</w:t>
            </w:r>
          </w:p>
        </w:tc>
        <w:tc>
          <w:tcPr>
            <w:tcW w:w="106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Allowance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0007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31,875</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8,194</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19,203</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59,272</w:t>
            </w:r>
          </w:p>
        </w:tc>
        <w:tc>
          <w:tcPr>
            <w:tcW w:w="10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3,186,164</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3,245,436</w:t>
            </w:r>
          </w:p>
        </w:tc>
        <w:tc>
          <w:tcPr>
            <w:tcW w:w="12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3,444</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341,928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344,136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25,061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18,047</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18,987</w:t>
            </w:r>
          </w:p>
        </w:tc>
        <w:tc>
          <w:tcPr>
            <w:tcW w:w="12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136</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33,857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62,698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3,570,922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3,633,620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3,786</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497,514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500,640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1,099</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34,528</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8,638</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22,658</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65,824</w:t>
            </w:r>
          </w:p>
        </w:tc>
        <w:tc>
          <w:tcPr>
            <w:tcW w:w="100" w:type="dxa"/>
            <w:vAlign w:val="bottom"/>
          </w:tcPr>
          <w:p>
            <w:pPr>
              <w:spacing w:after="0"/>
              <w:rPr>
                <w:sz w:val="24"/>
                <w:szCs w:val="24"/>
                <w:color w:val="auto"/>
              </w:rPr>
            </w:pPr>
          </w:p>
        </w:tc>
        <w:tc>
          <w:tcPr>
            <w:tcW w:w="28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4,068,436</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4,134,260</w:t>
            </w:r>
          </w:p>
        </w:tc>
        <w:tc>
          <w:tcPr>
            <w:tcW w:w="12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4,885</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18415</wp:posOffset>
            </wp:positionV>
            <wp:extent cx="59924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or More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w w:val="98"/>
              </w:rPr>
              <w:t>Accruing</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2"/>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0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2C6937"/>
            </w:tcBorders>
          </w:tcPr>
          <w:p>
            <w:pPr>
              <w:jc w:val="center"/>
              <w:ind w:left="91"/>
              <w:spacing w:after="0"/>
              <w:rPr>
                <w:sz w:val="20"/>
                <w:szCs w:val="20"/>
                <w:color w:val="auto"/>
              </w:rPr>
            </w:pPr>
            <w:r>
              <w:rPr>
                <w:rFonts w:ascii="Arial" w:cs="Arial" w:eastAsia="Arial" w:hAnsi="Arial"/>
                <w:sz w:val="14"/>
                <w:szCs w:val="14"/>
                <w:b w:val="1"/>
                <w:bCs w:val="1"/>
                <w:color w:val="auto"/>
                <w:w w:val="98"/>
              </w:rPr>
              <w:t>Interest</w:t>
            </w:r>
          </w:p>
        </w:tc>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34,339</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9,582</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20,004</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63,925</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3,183,403</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3,247,328</w:t>
            </w:r>
          </w:p>
        </w:tc>
        <w:tc>
          <w:tcPr>
            <w:tcW w:w="10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3,790</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367,214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369,727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25,018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19,568</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20,606</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67,771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3,594,908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3,662,679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4,200</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487,176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489,727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37,021</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23,179</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70,322</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4,082,084</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4,152,406</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5,270</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180"/>
            <w:col w:w="9480"/>
          </w:cols>
          <w:pgMar w:left="320" w:top="248" w:right="339" w:bottom="1440" w:gutter="0" w:footer="0" w:header="0"/>
          <w:type w:val="continuous"/>
        </w:sectPr>
      </w:pPr>
    </w:p>
    <w:p>
      <w:pPr>
        <w:ind w:left="240" w:right="160" w:hanging="237"/>
        <w:spacing w:after="0" w:line="226" w:lineRule="auto"/>
        <w:tabs>
          <w:tab w:leader="none" w:pos="233"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$5.1 billion and $4.7 billion as of June 30, 2025 and December 31, 2024, respectively. As a result of our various loss mitigation and foreclosure prevention efforts, we expect that only a small portion of the loans in the process of formal foreclosure proceedings will ultimately foreclose.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354330</wp:posOffset>
            </wp:positionV>
            <wp:extent cx="68059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2" w:name="page73"/>
    <w:bookmarkEnd w:id="72"/>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68"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 negatively affect the borrower’s ability to refinance or to sell the property for an amount at or above the outstanding balance of the loan.</w:t>
      </w:r>
    </w:p>
    <w:p>
      <w:pPr>
        <w:spacing w:after="0" w:line="2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The tables below also include current year write-offs of our single-family HFI mortgage loans by class of financing receivable and year of origination, excluding loans for which we have elected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73" w:name="page74"/>
    <w:bookmarkEnd w:id="73"/>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3"/>
          <w:szCs w:val="13"/>
          <w:b w:val="1"/>
          <w:bCs w:val="1"/>
          <w:color w:val="auto"/>
        </w:rPr>
        <w:t>Credit Quality Indicators as of June 30, 2025 and Write-offs for the Six Months Ended June 30, 2025, by Year of</w:t>
      </w:r>
    </w:p>
    <w:p>
      <w:pPr>
        <w:spacing w:after="0" w:line="24"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67,747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176,742</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164,943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331,096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827,820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1,364,477</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2,932,825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17,824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66,837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60,483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213,033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26,261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43,876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14,036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10,517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96,435</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1,504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3,143</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111,833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287,929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240,261</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396,744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840,836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1,367,833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3,245,436</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314</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5,876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28,986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135,549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159,233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342,577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1,182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376</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5,723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8,506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6,049</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29,072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135,553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159,233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344,136</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1,796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5,148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22,874</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1,655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502</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1,697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2,182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2,304</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5,018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5,175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8,685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25,061</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15,780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15,780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15,864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15,864</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74,142</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186,183</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172,615</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364,430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968,517</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1,548,169</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3,314,056</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18,486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67,806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61,051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54,236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215,913</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26,624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44,153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14,142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10,642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97,334</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806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1,526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3,194</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119,253</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298,617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248,614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430,834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981,564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1,551,615</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3,630,497</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434340</wp:posOffset>
            </wp:positionV>
            <wp:extent cx="68059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4" w:name="page75"/>
    <w:bookmarkEnd w:id="74"/>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2024 and Write-offs for the Year Ended December 31, 2024,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156,136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161,237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324,160</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849,984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714,620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710,162</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2,916,299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53,904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67,163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71,059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18,333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213,875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67,749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27,468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114,213</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1,616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2,941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278,055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256,538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413,636</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870,282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716,979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711,838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3,247,328</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31,140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145,254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102,032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75,904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368,293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1,069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364</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8,407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6,793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31,325</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145,266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102,032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75,904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369,727</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4,369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8,159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22,667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1,716</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2,177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2,454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5,292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5,449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1,484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8,162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25,018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16,945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16,945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17,054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17,054</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165,115</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169,482</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359,669</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1,000,638</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818,130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811,170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3,324,204</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54,914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67,979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71,956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18,388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216,718</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68,344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27,646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16,982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115,201</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1,646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3,004</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288,639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265,785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450,253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1,020,997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820,495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812,958</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3,659,127</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303</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670</w:t>
            </w:r>
          </w:p>
        </w:tc>
      </w:tr>
    </w:tbl>
    <w:p>
      <w:pPr>
        <w:spacing w:after="0" w:line="109" w:lineRule="exact"/>
        <w:rPr>
          <w:sz w:val="20"/>
          <w:szCs w:val="20"/>
          <w:color w:val="auto"/>
        </w:rPr>
      </w:pPr>
    </w:p>
    <w:p>
      <w:pPr>
        <w:ind w:left="240" w:right="40" w:hanging="237"/>
        <w:spacing w:after="0" w:line="252" w:lineRule="auto"/>
        <w:tabs>
          <w:tab w:leader="none" w:pos="233" w:val="left"/>
        </w:tabs>
        <w:numPr>
          <w:ilvl w:val="0"/>
          <w:numId w:val="58"/>
        </w:numPr>
        <w:rPr>
          <w:rFonts w:ascii="Arial" w:cs="Arial" w:eastAsia="Arial" w:hAnsi="Arial"/>
          <w:sz w:val="17"/>
          <w:szCs w:val="17"/>
          <w:color w:val="auto"/>
          <w:vertAlign w:val="superscript"/>
        </w:rPr>
      </w:pPr>
      <w:r>
        <w:rPr>
          <w:rFonts w:ascii="Arial" w:cs="Arial" w:eastAsia="Arial" w:hAnsi="Arial"/>
          <w:sz w:val="13"/>
          <w:szCs w:val="13"/>
          <w:color w:val="auto"/>
        </w:rPr>
        <w:t>Excludes amortized cost of $3.1 billion and $3.6 billion as of June 30, 2025 and December 31, 2024, respectively, of mortgage loans guaranteed or insured, in whole or in part, by the U.S. government or one of its agencies, which represents primarily reverse mortgages for which we do not calculate an estimated mark-to-market LTV ratio. For the six months ended June 30, 2025 and year ended December 31, 2024, it also excludes write-offs of $4 million and $47 million, respectively, of mortgage loans guaranteed or insured, in whole or in part, by the U.S. government or one of its agencies. Year of loan origination may not be the same as the period in which we subsequently acquired the loan.</w:t>
      </w:r>
    </w:p>
    <w:p>
      <w:pPr>
        <w:spacing w:after="0" w:line="20" w:lineRule="exact"/>
        <w:rPr>
          <w:rFonts w:ascii="Arial" w:cs="Arial" w:eastAsia="Arial" w:hAnsi="Arial"/>
          <w:sz w:val="17"/>
          <w:szCs w:val="17"/>
          <w:color w:val="auto"/>
          <w:vertAlign w:val="superscript"/>
        </w:rPr>
      </w:pPr>
    </w:p>
    <w:p>
      <w:pPr>
        <w:ind w:left="240" w:right="160" w:hanging="237"/>
        <w:spacing w:after="0" w:line="278" w:lineRule="auto"/>
        <w:tabs>
          <w:tab w:leader="none" w:pos="233" w:val="left"/>
        </w:tabs>
        <w:numPr>
          <w:ilvl w:val="0"/>
          <w:numId w:val="58"/>
        </w:numPr>
        <w:rPr>
          <w:rFonts w:ascii="Arial" w:cs="Arial" w:eastAsia="Arial" w:hAnsi="Arial"/>
          <w:sz w:val="9"/>
          <w:szCs w:val="9"/>
          <w:color w:val="auto"/>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5" w:name="page76"/>
    <w:bookmarkEnd w:id="7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rental income and property valuations are key inputs to our internally assigned credit risk ratings. The tables below also include current year write-offs of our multifamily HFI mortgage loans by year of origination, excluding loans for which we have elected the fair value option.</w:t>
      </w:r>
    </w:p>
    <w:p>
      <w:pPr>
        <w:spacing w:after="0" w:line="200"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Credit Quality Indicators as of June 30, 2025 and Write-offs for the Six Months Ended June 30, 2025, by Year</w:t>
      </w:r>
    </w:p>
    <w:p>
      <w:pPr>
        <w:spacing w:after="0" w:line="13"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635</wp:posOffset>
            </wp:positionV>
            <wp:extent cx="45027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w w:val="97"/>
              </w:rPr>
              <w:t>Prior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60" w:type="dxa"/>
            <w:vAlign w:val="bottom"/>
            <w:tcBorders>
              <w:top w:val="single" w:sz="8" w:color="2C6937"/>
            </w:tcBorders>
          </w:tcPr>
          <w:p>
            <w:pPr>
              <w:spacing w:after="0"/>
              <w:rPr>
                <w:sz w:val="23"/>
                <w:szCs w:val="23"/>
                <w:color w:val="auto"/>
              </w:rPr>
            </w:pPr>
          </w:p>
        </w:tc>
        <w:tc>
          <w:tcPr>
            <w:tcW w:w="2020" w:type="dxa"/>
            <w:vAlign w:val="bottom"/>
            <w:tcBorders>
              <w:top w:val="single" w:sz="8" w:color="2C6937"/>
            </w:tcBorders>
            <w:gridSpan w:val="10"/>
          </w:tcPr>
          <w:p>
            <w:pPr>
              <w:jc w:val="right"/>
              <w:ind w:right="12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20" w:type="dxa"/>
            <w:vAlign w:val="bottom"/>
            <w:tcBorders>
              <w:top w:val="single" w:sz="8" w:color="2C6937"/>
            </w:tcBorders>
          </w:tcPr>
          <w:p>
            <w:pPr>
              <w:spacing w:after="0"/>
              <w:rPr>
                <w:sz w:val="23"/>
                <w:szCs w:val="23"/>
                <w:color w:val="auto"/>
              </w:rPr>
            </w:pPr>
          </w:p>
        </w:tc>
        <w:tc>
          <w:tcPr>
            <w:tcW w:w="4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23,740</w:t>
            </w:r>
          </w:p>
        </w:tc>
        <w:tc>
          <w:tcPr>
            <w:tcW w:w="1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54,011</w:t>
            </w: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50,374</w:t>
            </w:r>
          </w:p>
        </w:tc>
        <w:tc>
          <w:tcPr>
            <w:tcW w:w="1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49,448</w:t>
            </w:r>
          </w:p>
        </w:tc>
        <w:tc>
          <w:tcPr>
            <w:tcW w:w="1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59,102</w:t>
            </w:r>
          </w:p>
        </w:tc>
        <w:tc>
          <w:tcPr>
            <w:tcW w:w="12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234,560</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471,235</w:t>
            </w:r>
          </w:p>
        </w:tc>
        <w:tc>
          <w:tcPr>
            <w:tcW w:w="220" w:type="dxa"/>
            <w:vAlign w:val="bottom"/>
          </w:tcPr>
          <w:p>
            <w:pPr>
              <w:spacing w:after="0"/>
              <w:rPr>
                <w:sz w:val="24"/>
                <w:szCs w:val="24"/>
                <w:color w:val="auto"/>
              </w:rPr>
            </w:pP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353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1,309</w:t>
            </w:r>
          </w:p>
        </w:tc>
        <w:tc>
          <w:tcPr>
            <w:tcW w:w="220" w:type="dxa"/>
            <w:vAlign w:val="bottom"/>
          </w:tcPr>
          <w:p>
            <w:pPr>
              <w:spacing w:after="0"/>
              <w:rPr>
                <w:sz w:val="20"/>
                <w:szCs w:val="20"/>
                <w:color w:val="auto"/>
              </w:rPr>
            </w:pPr>
          </w:p>
        </w:tc>
      </w:tr>
      <w:tr>
        <w:trPr>
          <w:trHeight w:val="271"/>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3,015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8,150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3,203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13,046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28,039</w:t>
            </w:r>
          </w:p>
        </w:tc>
        <w:tc>
          <w:tcPr>
            <w:tcW w:w="220" w:type="dxa"/>
            <w:vAlign w:val="bottom"/>
          </w:tcPr>
          <w:p>
            <w:pPr>
              <w:spacing w:after="0"/>
              <w:rPr>
                <w:sz w:val="23"/>
                <w:szCs w:val="23"/>
                <w:color w:val="auto"/>
              </w:rPr>
            </w:pPr>
          </w:p>
        </w:tc>
      </w:tr>
      <w:tr>
        <w:trPr>
          <w:trHeight w:val="257"/>
        </w:trPr>
        <w:tc>
          <w:tcPr>
            <w:tcW w:w="3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gridSpan w:val="2"/>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w:t>
            </w:r>
          </w:p>
        </w:tc>
        <w:tc>
          <w:tcPr>
            <w:tcW w:w="4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57</w:t>
            </w:r>
          </w:p>
        </w:tc>
        <w:tc>
          <w:tcPr>
            <w:tcW w:w="220" w:type="dxa"/>
            <w:vAlign w:val="bottom"/>
          </w:tcPr>
          <w:p>
            <w:pPr>
              <w:spacing w:after="0"/>
              <w:rPr>
                <w:sz w:val="22"/>
                <w:szCs w:val="22"/>
                <w:color w:val="auto"/>
              </w:rPr>
            </w:pPr>
          </w:p>
        </w:tc>
      </w:tr>
      <w:tr>
        <w:trPr>
          <w:trHeight w:val="302"/>
        </w:trPr>
        <w:tc>
          <w:tcPr>
            <w:tcW w:w="38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gridSpan w:val="2"/>
          </w:tcPr>
          <w:p>
            <w:pPr>
              <w:spacing w:after="0"/>
              <w:rPr>
                <w:sz w:val="24"/>
                <w:szCs w:val="24"/>
                <w:color w:val="auto"/>
              </w:rPr>
            </w:pPr>
          </w:p>
        </w:tc>
        <w:tc>
          <w:tcPr>
            <w:tcW w:w="22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23,740</w:t>
            </w:r>
          </w:p>
        </w:tc>
        <w:tc>
          <w:tcPr>
            <w:tcW w:w="100" w:type="dxa"/>
            <w:vAlign w:val="bottom"/>
          </w:tcPr>
          <w:p>
            <w:pPr>
              <w:spacing w:after="0"/>
              <w:rPr>
                <w:sz w:val="24"/>
                <w:szCs w:val="24"/>
                <w:color w:val="auto"/>
              </w:rPr>
            </w:pPr>
          </w:p>
        </w:tc>
        <w:tc>
          <w:tcPr>
            <w:tcW w:w="260" w:type="dxa"/>
            <w:vAlign w:val="bottom"/>
            <w:tcBorders>
              <w:bottom w:val="single" w:sz="8" w:color="2C6937"/>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54,689</w:t>
            </w:r>
          </w:p>
        </w:tc>
        <w:tc>
          <w:tcPr>
            <w:tcW w:w="100" w:type="dxa"/>
            <w:vAlign w:val="bottom"/>
          </w:tcPr>
          <w:p>
            <w:pPr>
              <w:spacing w:after="0"/>
              <w:rPr>
                <w:sz w:val="24"/>
                <w:szCs w:val="24"/>
                <w:color w:val="auto"/>
              </w:rPr>
            </w:pPr>
          </w:p>
        </w:tc>
        <w:tc>
          <w:tcPr>
            <w:tcW w:w="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53,422</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57,804</w:t>
            </w:r>
          </w:p>
        </w:tc>
        <w:tc>
          <w:tcPr>
            <w:tcW w:w="10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62,660</w:t>
            </w: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248,325</w:t>
            </w:r>
          </w:p>
        </w:tc>
        <w:tc>
          <w:tcPr>
            <w:tcW w:w="40" w:type="dxa"/>
            <w:vAlign w:val="bottom"/>
            <w:tcBorders>
              <w:bottom w:val="single" w:sz="8" w:color="2C6937"/>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500,640</w:t>
            </w:r>
          </w:p>
        </w:tc>
        <w:tc>
          <w:tcPr>
            <w:tcW w:w="220" w:type="dxa"/>
            <w:vAlign w:val="bottom"/>
          </w:tcPr>
          <w:p>
            <w:pPr>
              <w:spacing w:after="0"/>
              <w:rPr>
                <w:sz w:val="24"/>
                <w:szCs w:val="24"/>
                <w:color w:val="auto"/>
              </w:rPr>
            </w:pPr>
          </w:p>
        </w:tc>
      </w:tr>
      <w:tr>
        <w:trPr>
          <w:trHeight w:val="20"/>
        </w:trPr>
        <w:tc>
          <w:tcPr>
            <w:tcW w:w="3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183</w:t>
            </w:r>
          </w:p>
        </w:tc>
        <w:tc>
          <w:tcPr>
            <w:tcW w:w="220" w:type="dxa"/>
            <w:vAlign w:val="bottom"/>
          </w:tcPr>
          <w:p>
            <w:pPr>
              <w:spacing w:after="0"/>
              <w:rPr>
                <w:sz w:val="19"/>
                <w:szCs w:val="19"/>
                <w:color w:val="auto"/>
              </w:rPr>
            </w:pPr>
          </w:p>
        </w:tc>
      </w:tr>
      <w:tr>
        <w:trPr>
          <w:trHeight w:val="390"/>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gridSpan w:val="32"/>
          </w:tcPr>
          <w:p>
            <w:pPr>
              <w:jc w:val="right"/>
              <w:ind w:right="140"/>
              <w:spacing w:after="0"/>
              <w:rPr>
                <w:sz w:val="20"/>
                <w:szCs w:val="20"/>
                <w:color w:val="auto"/>
              </w:rPr>
            </w:pPr>
            <w:r>
              <w:rPr>
                <w:rFonts w:ascii="Arial" w:cs="Arial" w:eastAsia="Arial" w:hAnsi="Arial"/>
                <w:sz w:val="14"/>
                <w:szCs w:val="14"/>
                <w:b w:val="1"/>
                <w:bCs w:val="1"/>
                <w:color w:val="auto"/>
                <w:w w:val="97"/>
              </w:rPr>
              <w:t>Credit Quality Indicators as of December 31, 2024 and Write-offs for the Year Ended December 31, 2024, by</w:t>
            </w:r>
          </w:p>
        </w:tc>
      </w:tr>
      <w:tr>
        <w:trPr>
          <w:trHeight w:val="205"/>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20" w:type="dxa"/>
            <w:vAlign w:val="bottom"/>
            <w:tcBorders>
              <w:bottom w:val="single" w:sz="8" w:color="2C6937"/>
            </w:tcBorders>
            <w:gridSpan w:val="10"/>
          </w:tcPr>
          <w:p>
            <w:pPr>
              <w:ind w:left="2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tc>
        <w:tc>
          <w:tcPr>
            <w:tcW w:w="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r>
      <w:tr>
        <w:trPr>
          <w:trHeight w:val="211"/>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24"/>
              <w:spacing w:after="0"/>
              <w:rPr>
                <w:sz w:val="20"/>
                <w:szCs w:val="20"/>
                <w:color w:val="auto"/>
              </w:rPr>
            </w:pPr>
            <w:r>
              <w:rPr>
                <w:rFonts w:ascii="Arial" w:cs="Arial" w:eastAsia="Arial" w:hAnsi="Arial"/>
                <w:sz w:val="14"/>
                <w:szCs w:val="14"/>
                <w:b w:val="1"/>
                <w:bCs w:val="1"/>
                <w:color w:val="auto"/>
              </w:rPr>
              <w:t>Prior</w:t>
            </w: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98"/>
              </w:rPr>
              <w:t>(Dollars in millions)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49,867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51,194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49,570</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59,687</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71,657</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175,887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457,862</w:t>
            </w: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1,082</w:t>
            </w:r>
          </w:p>
        </w:tc>
      </w:tr>
      <w:tr>
        <w:trPr>
          <w:trHeight w:val="271"/>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2,626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9,045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3,259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2,500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12,820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30,679</w:t>
            </w:r>
          </w:p>
        </w:tc>
      </w:tr>
      <w:tr>
        <w:trPr>
          <w:trHeight w:val="257"/>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42</w:t>
            </w:r>
          </w:p>
        </w:tc>
        <w:tc>
          <w:tcPr>
            <w:tcW w:w="20" w:type="dxa"/>
            <w:vAlign w:val="bottom"/>
            <w:tcBorders>
              <w:bottom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62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104</w:t>
            </w:r>
          </w:p>
        </w:tc>
      </w:tr>
      <w:tr>
        <w:trPr>
          <w:trHeight w:val="302"/>
        </w:trPr>
        <w:tc>
          <w:tcPr>
            <w:tcW w:w="3920" w:type="dxa"/>
            <w:vAlign w:val="bottom"/>
            <w:gridSpan w:val="3"/>
          </w:tcPr>
          <w:p>
            <w:pPr>
              <w:ind w:left="320"/>
              <w:spacing w:after="0"/>
              <w:rPr>
                <w:sz w:val="20"/>
                <w:szCs w:val="20"/>
                <w:color w:val="auto"/>
              </w:rPr>
            </w:pPr>
            <w:r>
              <w:rPr>
                <w:rFonts w:ascii="Arial" w:cs="Arial" w:eastAsia="Arial" w:hAnsi="Arial"/>
                <w:sz w:val="15"/>
                <w:szCs w:val="15"/>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50,350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53,930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58,780</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63,361</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74,319</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188,987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489,727</w:t>
            </w:r>
          </w:p>
        </w:tc>
      </w:tr>
      <w:tr>
        <w:trPr>
          <w:trHeight w:val="20"/>
        </w:trPr>
        <w:tc>
          <w:tcPr>
            <w:tcW w:w="390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gridSpan w:val="2"/>
          </w:tcPr>
          <w:p>
            <w:pPr>
              <w:spacing w:after="0" w:line="20" w:lineRule="exact"/>
              <w:rPr>
                <w:sz w:val="1"/>
                <w:szCs w:val="1"/>
                <w:color w:val="auto"/>
              </w:rPr>
            </w:pPr>
          </w:p>
        </w:tc>
      </w:tr>
      <w:tr>
        <w:trPr>
          <w:trHeight w:val="223"/>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192</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505</w:t>
            </w:r>
          </w:p>
        </w:tc>
      </w:tr>
    </w:tbl>
    <w:p>
      <w:pPr>
        <w:spacing w:after="0" w:line="58" w:lineRule="exact"/>
        <w:rPr>
          <w:sz w:val="20"/>
          <w:szCs w:val="20"/>
          <w:color w:val="auto"/>
        </w:rPr>
      </w:pPr>
    </w:p>
    <w:p>
      <w:pPr>
        <w:ind w:left="220" w:hanging="217"/>
        <w:spacing w:after="0"/>
        <w:tabs>
          <w:tab w:leader="none" w:pos="2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Year of loan origination may not be the same as the period in which we subsequently acquired the loan.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25" w:lineRule="exact"/>
        <w:rPr>
          <w:rFonts w:ascii="Arial" w:cs="Arial" w:eastAsia="Arial" w:hAnsi="Arial"/>
          <w:sz w:val="18"/>
          <w:szCs w:val="18"/>
          <w:color w:val="auto"/>
          <w:vertAlign w:val="superscript"/>
        </w:rPr>
      </w:pPr>
    </w:p>
    <w:p>
      <w:pPr>
        <w:ind w:left="240" w:right="120" w:hanging="237"/>
        <w:spacing w:after="0" w:line="260" w:lineRule="auto"/>
        <w:tabs>
          <w:tab w:leader="none" w:pos="233" w:val="left"/>
        </w:tabs>
        <w:numPr>
          <w:ilvl w:val="0"/>
          <w:numId w:val="59"/>
        </w:numPr>
        <w:rPr>
          <w:rFonts w:ascii="Arial" w:cs="Arial" w:eastAsia="Arial" w:hAnsi="Arial"/>
          <w:sz w:val="9"/>
          <w:szCs w:val="9"/>
          <w:color w:val="auto"/>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ind w:left="220" w:hanging="217"/>
        <w:spacing w:after="0"/>
        <w:tabs>
          <w:tab w:leader="none" w:pos="2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“Substandard” refers to loans that have a well-defined weakness that jeopardizes the timely full repayment.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9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 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2024 Form 10-K for additional information on our accounting policies for single-family and multifamily loans that have been restructured. Also see “Note 4, Mortgage Loans” in our 2024 Form 10-K for additional information about our single-family and multifamily loss mitigation options.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334010</wp:posOffset>
            </wp:positionV>
            <wp:extent cx="68059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6" w:name="page77"/>
    <w:bookmarkEnd w:id="7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860" w:type="dxa"/>
            <w:vAlign w:val="bottom"/>
            <w:tcBorders>
              <w:bottom w:val="single" w:sz="8" w:color="2C6937"/>
            </w:tcBorders>
            <w:gridSpan w:val="8"/>
          </w:tcPr>
          <w:p>
            <w:pPr>
              <w:jc w:val="center"/>
              <w:ind w:right="80"/>
              <w:spacing w:after="0"/>
              <w:rPr>
                <w:sz w:val="20"/>
                <w:szCs w:val="20"/>
                <w:color w:val="auto"/>
              </w:rPr>
            </w:pPr>
            <w:r>
              <w:rPr>
                <w:rFonts w:ascii="Arial" w:cs="Arial" w:eastAsia="Arial" w:hAnsi="Arial"/>
                <w:sz w:val="14"/>
                <w:szCs w:val="14"/>
                <w:b w:val="1"/>
                <w:bCs w:val="1"/>
                <w:color w:val="auto"/>
                <w:w w:val="97"/>
              </w:rPr>
              <w:t>For the Three Months Ended June 30, 2025</w:t>
            </w: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5"/>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18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5,280</w:t>
            </w:r>
          </w:p>
        </w:tc>
        <w:tc>
          <w:tcPr>
            <w:tcW w:w="56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2,635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5,822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3,166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224</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17,127</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480</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5,524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2,757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3,223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17,804</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tcPr>
          <w:p>
            <w:pPr>
              <w:spacing w:after="0"/>
              <w:rPr>
                <w:sz w:val="19"/>
                <w:szCs w:val="19"/>
                <w:color w:val="auto"/>
              </w:rPr>
            </w:pPr>
          </w:p>
        </w:tc>
        <w:tc>
          <w:tcPr>
            <w:tcW w:w="440" w:type="dxa"/>
            <w:vAlign w:val="bottom"/>
            <w:tcBorders>
              <w:bottom w:val="single" w:sz="8" w:color="2C6937"/>
            </w:tcBorders>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5,544</w:t>
            </w:r>
          </w:p>
        </w:tc>
        <w:tc>
          <w:tcPr>
            <w:tcW w:w="4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2C6937"/>
            </w:tcBorders>
          </w:tcPr>
          <w:p>
            <w:pPr>
              <w:jc w:val="right"/>
              <w:ind w:right="26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2,757</w:t>
            </w:r>
          </w:p>
        </w:tc>
        <w:tc>
          <w:tcPr>
            <w:tcW w:w="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6,065</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3,223</w:t>
            </w:r>
          </w:p>
        </w:tc>
        <w:tc>
          <w:tcPr>
            <w:tcW w:w="8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17,859</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860" w:type="dxa"/>
            <w:vAlign w:val="bottom"/>
            <w:tcBorders>
              <w:bottom w:val="single" w:sz="8" w:color="2C6937"/>
            </w:tcBorders>
            <w:gridSpan w:val="8"/>
          </w:tcPr>
          <w:p>
            <w:pPr>
              <w:jc w:val="center"/>
              <w:ind w:right="80"/>
              <w:spacing w:after="0"/>
              <w:rPr>
                <w:sz w:val="20"/>
                <w:szCs w:val="20"/>
                <w:color w:val="auto"/>
              </w:rPr>
            </w:pPr>
            <w:r>
              <w:rPr>
                <w:rFonts w:ascii="Arial" w:cs="Arial" w:eastAsia="Arial" w:hAnsi="Arial"/>
                <w:sz w:val="14"/>
                <w:szCs w:val="14"/>
                <w:b w:val="1"/>
                <w:bCs w:val="1"/>
                <w:color w:val="auto"/>
                <w:w w:val="97"/>
              </w:rPr>
              <w:t>For the Six Months Ended June 30, 2025</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5"/>
              <w:spacing w:after="0" w:line="142"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18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7,505</w:t>
            </w:r>
          </w:p>
        </w:tc>
        <w:tc>
          <w:tcPr>
            <w:tcW w:w="56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6,040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8,447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5,723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28,070</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762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98</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7,858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6,317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5,801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29,172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602</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650</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98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8,460</w:t>
            </w:r>
          </w:p>
        </w:tc>
        <w:tc>
          <w:tcPr>
            <w:tcW w:w="56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6,317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8,821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5,801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29,822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622300</wp:posOffset>
            </wp:positionV>
            <wp:extent cx="68059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7" w:name="page78"/>
    <w:bookmarkEnd w:id="7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880" w:type="dxa"/>
            <w:vAlign w:val="bottom"/>
            <w:tcBorders>
              <w:bottom w:val="single" w:sz="8" w:color="2C6937"/>
            </w:tcBorders>
            <w:gridSpan w:val="8"/>
          </w:tcPr>
          <w:p>
            <w:pPr>
              <w:jc w:val="center"/>
              <w:ind w:right="60"/>
              <w:spacing w:after="0"/>
              <w:rPr>
                <w:sz w:val="20"/>
                <w:szCs w:val="20"/>
                <w:color w:val="auto"/>
              </w:rPr>
            </w:pPr>
            <w:r>
              <w:rPr>
                <w:rFonts w:ascii="Arial" w:cs="Arial" w:eastAsia="Arial" w:hAnsi="Arial"/>
                <w:sz w:val="14"/>
                <w:szCs w:val="14"/>
                <w:b w:val="1"/>
                <w:bCs w:val="1"/>
                <w:color w:val="auto"/>
                <w:w w:val="97"/>
              </w:rPr>
              <w:t>For the Three Months Ended June 30, 2024</w:t>
            </w: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Trial Modification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Payment Delay</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Forbearance Plan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00" w:type="dxa"/>
            <w:vAlign w:val="bottom"/>
          </w:tcPr>
          <w:p>
            <w:pPr>
              <w:spacing w:after="0"/>
              <w:rPr>
                <w:sz w:val="12"/>
                <w:szCs w:val="12"/>
                <w:color w:val="auto"/>
              </w:rPr>
            </w:pPr>
          </w:p>
        </w:tc>
        <w:tc>
          <w:tcPr>
            <w:tcW w:w="114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and Term</w:t>
            </w:r>
          </w:p>
        </w:tc>
        <w:tc>
          <w:tcPr>
            <w:tcW w:w="13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280" w:type="dxa"/>
            <w:vAlign w:val="bottom"/>
          </w:tcPr>
          <w:p>
            <w:pPr>
              <w:spacing w:after="0"/>
              <w:rPr>
                <w:sz w:val="12"/>
                <w:szCs w:val="12"/>
                <w:color w:val="auto"/>
              </w:rPr>
            </w:pPr>
          </w:p>
        </w:tc>
        <w:tc>
          <w:tcPr>
            <w:tcW w:w="94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3"/>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tcPr>
          <w:p>
            <w:pPr>
              <w:jc w:val="center"/>
              <w:ind w:right="47"/>
              <w:spacing w:after="0"/>
              <w:rPr>
                <w:sz w:val="20"/>
                <w:szCs w:val="20"/>
                <w:color w:val="auto"/>
              </w:rPr>
            </w:pPr>
            <w:r>
              <w:rPr>
                <w:rFonts w:ascii="Arial" w:cs="Arial" w:eastAsia="Arial" w:hAnsi="Arial"/>
                <w:sz w:val="14"/>
                <w:szCs w:val="14"/>
                <w:b w:val="1"/>
                <w:bCs w:val="1"/>
                <w:color w:val="auto"/>
              </w:rPr>
              <w:t>Plans</w:t>
            </w:r>
          </w:p>
        </w:tc>
        <w:tc>
          <w:tcPr>
            <w:tcW w:w="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7"/>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4,905</w:t>
            </w:r>
          </w:p>
        </w:tc>
        <w:tc>
          <w:tcPr>
            <w:tcW w:w="540" w:type="dxa"/>
            <w:vAlign w:val="bottom"/>
            <w:gridSpan w:val="3"/>
          </w:tcPr>
          <w:p>
            <w:pPr>
              <w:jc w:val="right"/>
              <w:ind w:right="248"/>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2,733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4,498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2,438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14,606</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162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442</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2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159</w:t>
            </w:r>
          </w:p>
        </w:tc>
        <w:tc>
          <w:tcPr>
            <w:tcW w:w="144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4,731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2,467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15,259</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20" w:type="dxa"/>
            <w:vAlign w:val="bottom"/>
            <w:tcBorders>
              <w:bottom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86</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tcPr>
          <w:p>
            <w:pPr>
              <w:spacing w:after="0"/>
              <w:rPr>
                <w:sz w:val="19"/>
                <w:szCs w:val="19"/>
                <w:color w:val="auto"/>
              </w:rPr>
            </w:pPr>
          </w:p>
        </w:tc>
        <w:tc>
          <w:tcPr>
            <w:tcW w:w="4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5,179</w:t>
            </w: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2C6937"/>
            </w:tcBorders>
          </w:tcPr>
          <w:p>
            <w:pPr>
              <w:jc w:val="right"/>
              <w:ind w:right="24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2,867</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4,731</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2,467</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15,345</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880" w:type="dxa"/>
            <w:vAlign w:val="bottom"/>
            <w:tcBorders>
              <w:bottom w:val="single" w:sz="8" w:color="2C6937"/>
            </w:tcBorders>
            <w:gridSpan w:val="8"/>
          </w:tcPr>
          <w:p>
            <w:pPr>
              <w:jc w:val="center"/>
              <w:ind w:right="60"/>
              <w:spacing w:after="0"/>
              <w:rPr>
                <w:sz w:val="20"/>
                <w:szCs w:val="20"/>
                <w:color w:val="auto"/>
              </w:rPr>
            </w:pPr>
            <w:r>
              <w:rPr>
                <w:rFonts w:ascii="Arial" w:cs="Arial" w:eastAsia="Arial" w:hAnsi="Arial"/>
                <w:sz w:val="14"/>
                <w:szCs w:val="14"/>
                <w:b w:val="1"/>
                <w:bCs w:val="1"/>
                <w:color w:val="auto"/>
                <w:w w:val="97"/>
              </w:rPr>
              <w:t>For the Six Months Ended June 30, 2024</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Trial Modification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Payment Delay</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Forbearance Plan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00" w:type="dxa"/>
            <w:vAlign w:val="bottom"/>
          </w:tcPr>
          <w:p>
            <w:pPr>
              <w:spacing w:after="0"/>
              <w:rPr>
                <w:sz w:val="12"/>
                <w:szCs w:val="12"/>
                <w:color w:val="auto"/>
              </w:rPr>
            </w:pPr>
          </w:p>
        </w:tc>
        <w:tc>
          <w:tcPr>
            <w:tcW w:w="114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and Term</w:t>
            </w:r>
          </w:p>
        </w:tc>
        <w:tc>
          <w:tcPr>
            <w:tcW w:w="13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280" w:type="dxa"/>
            <w:vAlign w:val="bottom"/>
          </w:tcPr>
          <w:p>
            <w:pPr>
              <w:spacing w:after="0"/>
              <w:rPr>
                <w:sz w:val="12"/>
                <w:szCs w:val="12"/>
                <w:color w:val="auto"/>
              </w:rPr>
            </w:pPr>
          </w:p>
        </w:tc>
        <w:tc>
          <w:tcPr>
            <w:tcW w:w="94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47"/>
              <w:spacing w:after="0"/>
              <w:rPr>
                <w:sz w:val="20"/>
                <w:szCs w:val="20"/>
                <w:color w:val="auto"/>
              </w:rPr>
            </w:pPr>
            <w:r>
              <w:rPr>
                <w:rFonts w:ascii="Arial" w:cs="Arial" w:eastAsia="Arial" w:hAnsi="Arial"/>
                <w:sz w:val="14"/>
                <w:szCs w:val="14"/>
                <w:b w:val="1"/>
                <w:bCs w:val="1"/>
                <w:color w:val="auto"/>
              </w:rPr>
              <w:t>Plans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40" w:type="dxa"/>
            <w:vAlign w:val="bottom"/>
          </w:tcPr>
          <w:p>
            <w:pPr>
              <w:jc w:val="center"/>
              <w:ind w:left="27"/>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-26670</wp:posOffset>
            </wp:positionV>
            <wp:extent cx="58858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85815"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4"/>
          <w:szCs w:val="14"/>
          <w:b w:val="1"/>
          <w:bCs w:val="1"/>
          <w:color w:val="auto"/>
        </w:rPr>
        <w:t>(Dollars in millions)</w:t>
      </w:r>
    </w:p>
    <w:p>
      <w:pPr>
        <w:sectPr>
          <w:pgSz w:w="11900" w:h="16838" w:orient="portrait"/>
          <w:cols w:equalWidth="0" w:num="1">
            <w:col w:w="11240"/>
          </w:cols>
          <w:pgMar w:left="320" w:top="248" w:right="339" w:bottom="1440" w:gutter="0" w:footer="0" w:header="0"/>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6,698</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6,155</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6,626</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4,605</w:t>
            </w:r>
          </w:p>
        </w:tc>
        <w:tc>
          <w:tcPr>
            <w:tcW w:w="8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24,146</w:t>
            </w: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235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708</w:t>
            </w: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39"/>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92</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290</w:t>
            </w:r>
          </w:p>
        </w:tc>
      </w:tr>
      <w:tr>
        <w:trPr>
          <w:trHeight w:val="218"/>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7,043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6,465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6,975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4,662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25,233</w:t>
            </w:r>
          </w:p>
        </w:tc>
      </w:tr>
      <w:tr>
        <w:trPr>
          <w:trHeight w:val="239"/>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93</w:t>
            </w: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7,074</w:t>
            </w:r>
          </w:p>
        </w:tc>
        <w:tc>
          <w:tcPr>
            <w:tcW w:w="100" w:type="dxa"/>
            <w:vAlign w:val="bottom"/>
          </w:tcPr>
          <w:p>
            <w:pPr>
              <w:spacing w:after="0"/>
              <w:rPr>
                <w:sz w:val="20"/>
                <w:szCs w:val="20"/>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6,465</w:t>
            </w:r>
          </w:p>
        </w:tc>
        <w:tc>
          <w:tcPr>
            <w:tcW w:w="10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6,975</w:t>
            </w:r>
          </w:p>
        </w:tc>
        <w:tc>
          <w:tcPr>
            <w:tcW w:w="8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4,662</w:t>
            </w:r>
          </w:p>
        </w:tc>
        <w:tc>
          <w:tcPr>
            <w:tcW w:w="80" w:type="dxa"/>
            <w:vAlign w:val="bottom"/>
          </w:tcPr>
          <w:p>
            <w:pPr>
              <w:spacing w:after="0"/>
              <w:rPr>
                <w:sz w:val="20"/>
                <w:szCs w:val="20"/>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20"/>
                <w:szCs w:val="20"/>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25,326</w:t>
            </w: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25"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61"/>
        </w:numPr>
        <w:rPr>
          <w:rFonts w:ascii="Arial" w:cs="Arial" w:eastAsia="Arial" w:hAnsi="Arial"/>
          <w:sz w:val="9"/>
          <w:szCs w:val="9"/>
          <w:color w:val="auto"/>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253"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w:t>
      </w:r>
    </w:p>
    <w:p>
      <w:pPr>
        <w:spacing w:after="0" w:line="60"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w:t>
      </w:r>
    </w:p>
    <w:p>
      <w:pPr>
        <w:spacing w:after="0" w:line="60"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1</w:t>
      </w:r>
    </w:p>
    <w:p>
      <w:pPr>
        <w:spacing w:after="0" w:line="72"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1</w:t>
      </w:r>
    </w:p>
    <w:p>
      <w:pPr>
        <w:spacing w:after="0" w:line="60"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1</w:t>
      </w:r>
    </w:p>
    <w:p>
      <w:pPr>
        <w:spacing w:after="0" w:line="785" w:lineRule="exact"/>
        <w:rPr>
          <w:sz w:val="20"/>
          <w:szCs w:val="20"/>
          <w:color w:val="auto"/>
        </w:rPr>
      </w:pPr>
    </w:p>
    <w:p>
      <w:pPr>
        <w:sectPr>
          <w:pgSz w:w="11900" w:h="16838" w:orient="portrait"/>
          <w:cols w:equalWidth="0" w:num="2">
            <w:col w:w="10080" w:space="720"/>
            <w:col w:w="440"/>
          </w:cols>
          <w:pgMar w:left="320" w:top="248" w:right="339" w:bottom="1440" w:gutter="0" w:footer="0" w:header="0"/>
          <w:type w:val="continuous"/>
        </w:sectPr>
      </w:pPr>
    </w:p>
    <w:p>
      <w:pPr>
        <w:ind w:left="240" w:right="160" w:hanging="237"/>
        <w:spacing w:after="0" w:line="264" w:lineRule="auto"/>
        <w:tabs>
          <w:tab w:leader="none" w:pos="216" w:val="left"/>
        </w:tabs>
        <w:numPr>
          <w:ilvl w:val="0"/>
          <w:numId w:val="62"/>
        </w:numPr>
        <w:rPr>
          <w:rFonts w:ascii="Arial" w:cs="Arial" w:eastAsia="Arial" w:hAnsi="Arial"/>
          <w:sz w:val="9"/>
          <w:szCs w:val="9"/>
          <w:color w:val="auto"/>
        </w:rPr>
      </w:pPr>
      <w:r>
        <w:rPr>
          <w:rFonts w:ascii="Arial" w:cs="Arial" w:eastAsia="Arial" w:hAnsi="Arial"/>
          <w:sz w:val="14"/>
          <w:szCs w:val="14"/>
          <w:color w:val="auto"/>
        </w:rPr>
        <w:t>Excludes loans that were the subject of loss mitigation activity during the period that paid off, were repurchased or were sold prior to period end. Also excludes loans that liquidated either through foreclosure, deed-in-lieu of foreclosure, or a short sale. Loans may move from one category to another, as a result of the restructuring(s) they received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8" w:name="page79"/>
    <w:bookmarkEnd w:id="78"/>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20"/>
        <w:spacing w:after="0" w:line="272" w:lineRule="auto"/>
        <w:rPr>
          <w:sz w:val="20"/>
          <w:szCs w:val="20"/>
          <w:color w:val="auto"/>
        </w:rPr>
      </w:pPr>
      <w:r>
        <w:rPr>
          <w:rFonts w:ascii="Arial" w:cs="Arial" w:eastAsia="Arial" w:hAnsi="Arial"/>
          <w:sz w:val="16"/>
          <w:szCs w:val="16"/>
          <w:color w:val="auto"/>
        </w:rPr>
        <w:t>The following tables summarize the financial impacts of loan modifications and payment deferrals made to single-family HFI loans presented by class of financing receivable. We discuss the qualitative impacts of forbearance plans, repayment plans, and trial modifications in our 2024 Form 10-K in “Note 4, Mortgage Loans.” As a result, those loss mitigation options are excluded from the table below.</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3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720" w:type="dxa"/>
            <w:vAlign w:val="bottom"/>
            <w:tcBorders>
              <w:bottom w:val="single" w:sz="8" w:color="2C6937"/>
            </w:tcBorders>
            <w:gridSpan w:val="5"/>
          </w:tcPr>
          <w:p>
            <w:pPr>
              <w:jc w:val="center"/>
              <w:ind w:right="18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2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Weighted-</w:t>
            </w: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28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8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Months)</w:t>
            </w: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88"/>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0.60 %</w:t>
            </w:r>
          </w:p>
        </w:tc>
        <w:tc>
          <w:tcPr>
            <w:tcW w:w="80" w:type="dxa"/>
            <w:vAlign w:val="bottom"/>
          </w:tcPr>
          <w:p>
            <w:pPr>
              <w:spacing w:after="0"/>
              <w:rPr>
                <w:sz w:val="18"/>
                <w:szCs w:val="18"/>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145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13,775</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0.74 %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13,518</w:t>
            </w: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1.18</w:t>
            </w:r>
          </w:p>
        </w:tc>
        <w:tc>
          <w:tcPr>
            <w:tcW w:w="80" w:type="dxa"/>
            <w:vAlign w:val="bottom"/>
          </w:tcPr>
          <w:p>
            <w:pPr>
              <w:spacing w:after="0"/>
              <w:rPr>
                <w:sz w:val="19"/>
                <w:szCs w:val="19"/>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10,121</w:t>
            </w:r>
          </w:p>
        </w:tc>
        <w:tc>
          <w:tcPr>
            <w:tcW w:w="80" w:type="dxa"/>
            <w:vAlign w:val="bottom"/>
          </w:tcPr>
          <w:p>
            <w:pPr>
              <w:spacing w:after="0"/>
              <w:rPr>
                <w:sz w:val="19"/>
                <w:szCs w:val="19"/>
                <w:color w:val="auto"/>
              </w:rPr>
            </w:pPr>
          </w:p>
        </w:tc>
        <w:tc>
          <w:tcPr>
            <w:tcW w:w="1320" w:type="dxa"/>
            <w:vAlign w:val="bottom"/>
          </w:tcPr>
          <w:p>
            <w:pPr>
              <w:jc w:val="right"/>
              <w:ind w:right="127"/>
              <w:spacing w:after="0"/>
              <w:rPr>
                <w:sz w:val="20"/>
                <w:szCs w:val="20"/>
                <w:color w:val="auto"/>
              </w:rPr>
            </w:pPr>
            <w:r>
              <w:rPr>
                <w:rFonts w:ascii="Arial" w:cs="Arial" w:eastAsia="Arial" w:hAnsi="Arial"/>
                <w:sz w:val="15"/>
                <w:szCs w:val="15"/>
                <w:color w:val="auto"/>
              </w:rPr>
              <w:t>2.72</w:t>
            </w:r>
          </w:p>
        </w:tc>
        <w:tc>
          <w:tcPr>
            <w:tcW w:w="10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10,601</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1.31</w:t>
            </w:r>
          </w:p>
        </w:tc>
        <w:tc>
          <w:tcPr>
            <w:tcW w:w="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11,166</w:t>
            </w:r>
          </w:p>
        </w:tc>
        <w:tc>
          <w:tcPr>
            <w:tcW w:w="8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10,062</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1.29</w:t>
            </w:r>
          </w:p>
        </w:tc>
        <w:tc>
          <w:tcPr>
            <w:tcW w:w="80" w:type="dxa"/>
            <w:vAlign w:val="bottom"/>
          </w:tcPr>
          <w:p>
            <w:pPr>
              <w:spacing w:after="0"/>
              <w:rPr>
                <w:sz w:val="24"/>
                <w:szCs w:val="24"/>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14,693</w:t>
            </w:r>
          </w:p>
        </w:tc>
        <w:tc>
          <w:tcPr>
            <w:tcW w:w="80" w:type="dxa"/>
            <w:vAlign w:val="bottom"/>
          </w:tcPr>
          <w:p>
            <w:pPr>
              <w:spacing w:after="0"/>
              <w:rPr>
                <w:sz w:val="24"/>
                <w:szCs w:val="24"/>
                <w:color w:val="auto"/>
              </w:rPr>
            </w:pPr>
          </w:p>
        </w:tc>
        <w:tc>
          <w:tcPr>
            <w:tcW w:w="1320" w:type="dxa"/>
            <w:vAlign w:val="bottom"/>
          </w:tcPr>
          <w:p>
            <w:pPr>
              <w:jc w:val="right"/>
              <w:ind w:right="127"/>
              <w:spacing w:after="0"/>
              <w:rPr>
                <w:sz w:val="20"/>
                <w:szCs w:val="20"/>
                <w:color w:val="auto"/>
              </w:rPr>
            </w:pPr>
            <w:r>
              <w:rPr>
                <w:rFonts w:ascii="Arial" w:cs="Arial" w:eastAsia="Arial" w:hAnsi="Arial"/>
                <w:sz w:val="15"/>
                <w:szCs w:val="15"/>
                <w:color w:val="auto"/>
              </w:rPr>
              <w:t>0.52</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18,995</w:t>
            </w:r>
          </w:p>
        </w:tc>
        <w:tc>
          <w:tcPr>
            <w:tcW w:w="0" w:type="dxa"/>
            <w:vAlign w:val="bottom"/>
          </w:tcPr>
          <w:p>
            <w:pPr>
              <w:spacing w:after="0"/>
              <w:rPr>
                <w:sz w:val="1"/>
                <w:szCs w:val="1"/>
                <w:color w:val="auto"/>
              </w:rPr>
            </w:pPr>
          </w:p>
        </w:tc>
      </w:tr>
      <w:tr>
        <w:trPr>
          <w:trHeight w:val="412"/>
        </w:trPr>
        <w:tc>
          <w:tcPr>
            <w:tcW w:w="3100" w:type="dxa"/>
            <w:vAlign w:val="bottom"/>
          </w:tcPr>
          <w:p>
            <w:pPr>
              <w:spacing w:after="0"/>
              <w:rPr>
                <w:sz w:val="24"/>
                <w:szCs w:val="24"/>
                <w:color w:val="auto"/>
              </w:rPr>
            </w:pPr>
          </w:p>
        </w:tc>
        <w:tc>
          <w:tcPr>
            <w:tcW w:w="13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600" w:type="dxa"/>
            <w:vAlign w:val="bottom"/>
            <w:tcBorders>
              <w:bottom w:val="single" w:sz="8" w:color="2C6937"/>
            </w:tcBorders>
            <w:gridSpan w:val="4"/>
          </w:tcPr>
          <w:p>
            <w:pPr>
              <w:jc w:val="center"/>
              <w:ind w:right="320"/>
              <w:spacing w:after="0"/>
              <w:rPr>
                <w:sz w:val="20"/>
                <w:szCs w:val="20"/>
                <w:color w:val="auto"/>
              </w:rPr>
            </w:pPr>
            <w:r>
              <w:rPr>
                <w:rFonts w:ascii="Arial" w:cs="Arial" w:eastAsia="Arial" w:hAnsi="Arial"/>
                <w:sz w:val="14"/>
                <w:szCs w:val="14"/>
                <w:b w:val="1"/>
                <w:bCs w:val="1"/>
                <w:color w:val="auto"/>
                <w:w w:val="97"/>
              </w:rPr>
              <w:t>For the Six Months Ended June 30,</w:t>
            </w:r>
          </w:p>
        </w:tc>
        <w:tc>
          <w:tcPr>
            <w:tcW w:w="12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Weighted-</w:t>
            </w: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28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8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Months)</w:t>
            </w: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88"/>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0.61 %</w:t>
            </w:r>
          </w:p>
        </w:tc>
        <w:tc>
          <w:tcPr>
            <w:tcW w:w="80" w:type="dxa"/>
            <w:vAlign w:val="bottom"/>
          </w:tcPr>
          <w:p>
            <w:pPr>
              <w:spacing w:after="0"/>
              <w:rPr>
                <w:sz w:val="18"/>
                <w:szCs w:val="18"/>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150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13,061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0.87 %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13,675</w:t>
            </w: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1.17</w:t>
            </w:r>
          </w:p>
        </w:tc>
        <w:tc>
          <w:tcPr>
            <w:tcW w:w="80" w:type="dxa"/>
            <w:vAlign w:val="bottom"/>
          </w:tcPr>
          <w:p>
            <w:pPr>
              <w:spacing w:after="0"/>
              <w:rPr>
                <w:sz w:val="19"/>
                <w:szCs w:val="19"/>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9,431</w:t>
            </w:r>
          </w:p>
        </w:tc>
        <w:tc>
          <w:tcPr>
            <w:tcW w:w="80" w:type="dxa"/>
            <w:vAlign w:val="bottom"/>
          </w:tcPr>
          <w:p>
            <w:pPr>
              <w:spacing w:after="0"/>
              <w:rPr>
                <w:sz w:val="19"/>
                <w:szCs w:val="19"/>
                <w:color w:val="auto"/>
              </w:rPr>
            </w:pPr>
          </w:p>
        </w:tc>
        <w:tc>
          <w:tcPr>
            <w:tcW w:w="1320" w:type="dxa"/>
            <w:vAlign w:val="bottom"/>
          </w:tcPr>
          <w:p>
            <w:pPr>
              <w:jc w:val="right"/>
              <w:ind w:right="127"/>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12,450</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1.31</w:t>
            </w:r>
          </w:p>
        </w:tc>
        <w:tc>
          <w:tcPr>
            <w:tcW w:w="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10,487</w:t>
            </w:r>
          </w:p>
        </w:tc>
        <w:tc>
          <w:tcPr>
            <w:tcW w:w="80" w:type="dxa"/>
            <w:vAlign w:val="bottom"/>
          </w:tcPr>
          <w:p>
            <w:pPr>
              <w:spacing w:after="0"/>
              <w:rPr>
                <w:sz w:val="24"/>
                <w:szCs w:val="24"/>
                <w:color w:val="auto"/>
              </w:rPr>
            </w:pPr>
          </w:p>
        </w:tc>
        <w:tc>
          <w:tcPr>
            <w:tcW w:w="1320" w:type="dxa"/>
            <w:vAlign w:val="bottom"/>
          </w:tcPr>
          <w:p>
            <w:pPr>
              <w:jc w:val="right"/>
              <w:ind w:right="127"/>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11,822</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1.13</w:t>
            </w:r>
          </w:p>
        </w:tc>
        <w:tc>
          <w:tcPr>
            <w:tcW w:w="80" w:type="dxa"/>
            <w:vAlign w:val="bottom"/>
          </w:tcPr>
          <w:p>
            <w:pPr>
              <w:spacing w:after="0"/>
              <w:rPr>
                <w:sz w:val="24"/>
                <w:szCs w:val="24"/>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158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12,930</w:t>
            </w:r>
          </w:p>
        </w:tc>
        <w:tc>
          <w:tcPr>
            <w:tcW w:w="80" w:type="dxa"/>
            <w:vAlign w:val="bottom"/>
          </w:tcPr>
          <w:p>
            <w:pPr>
              <w:spacing w:after="0"/>
              <w:rPr>
                <w:sz w:val="24"/>
                <w:szCs w:val="24"/>
                <w:color w:val="auto"/>
              </w:rPr>
            </w:pPr>
          </w:p>
        </w:tc>
        <w:tc>
          <w:tcPr>
            <w:tcW w:w="1320" w:type="dxa"/>
            <w:vAlign w:val="bottom"/>
          </w:tcPr>
          <w:p>
            <w:pPr>
              <w:jc w:val="right"/>
              <w:ind w:right="127"/>
              <w:spacing w:after="0"/>
              <w:rPr>
                <w:sz w:val="20"/>
                <w:szCs w:val="20"/>
                <w:color w:val="auto"/>
              </w:rPr>
            </w:pPr>
            <w:r>
              <w:rPr>
                <w:rFonts w:ascii="Arial" w:cs="Arial" w:eastAsia="Arial" w:hAnsi="Arial"/>
                <w:sz w:val="15"/>
                <w:szCs w:val="15"/>
                <w:color w:val="auto"/>
              </w:rPr>
              <w:t>0.82</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17,970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hanging="217"/>
        <w:spacing w:after="0"/>
        <w:tabs>
          <w:tab w:leader="none" w:pos="220" w:val="left"/>
        </w:tabs>
        <w:numPr>
          <w:ilvl w:val="0"/>
          <w:numId w:val="63"/>
        </w:numPr>
        <w:rPr>
          <w:rFonts w:ascii="Arial" w:cs="Arial" w:eastAsia="Arial" w:hAnsi="Arial"/>
          <w:sz w:val="9"/>
          <w:szCs w:val="9"/>
          <w:color w:val="auto"/>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 end.</w:t>
      </w:r>
    </w:p>
    <w:p>
      <w:pPr>
        <w:spacing w:after="0" w:line="7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391795</wp:posOffset>
            </wp:positionV>
            <wp:extent cx="68059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79" w:name="page80"/>
    <w:bookmarkEnd w:id="7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160" w:type="dxa"/>
            <w:vAlign w:val="bottom"/>
            <w:tcBorders>
              <w:bottom w:val="single" w:sz="8" w:color="2C6937"/>
            </w:tcBorders>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Three Months Ended June 30, 2025</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1,190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807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4"/>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1,236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2,078</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1,236</w:t>
            </w:r>
          </w:p>
        </w:tc>
        <w:tc>
          <w:tcPr>
            <w:tcW w:w="8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9"/>
                <w:szCs w:val="19"/>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2,078</w:t>
            </w:r>
          </w:p>
        </w:tc>
        <w:tc>
          <w:tcPr>
            <w:tcW w:w="0" w:type="dxa"/>
            <w:vAlign w:val="bottom"/>
          </w:tcPr>
          <w:p>
            <w:pPr>
              <w:spacing w:after="0"/>
              <w:rPr>
                <w:sz w:val="1"/>
                <w:szCs w:val="1"/>
                <w:color w:val="auto"/>
              </w:rPr>
            </w:pPr>
          </w:p>
        </w:tc>
      </w:tr>
      <w:tr>
        <w:trPr>
          <w:trHeight w:val="20"/>
        </w:trPr>
        <w:tc>
          <w:tcPr>
            <w:tcW w:w="4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3160" w:type="dxa"/>
            <w:vAlign w:val="bottom"/>
            <w:tcBorders>
              <w:bottom w:val="single" w:sz="8" w:color="2C6937"/>
            </w:tcBorders>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Six Months Ended June 30, 2025</w:t>
            </w:r>
          </w:p>
        </w:tc>
        <w:tc>
          <w:tcPr>
            <w:tcW w:w="3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1,998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1,293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3,331</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24"/>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2,078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3,427</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74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2,078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1,303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3,427</w:t>
            </w:r>
          </w:p>
        </w:tc>
        <w:tc>
          <w:tcPr>
            <w:tcW w:w="0" w:type="dxa"/>
            <w:vAlign w:val="bottom"/>
          </w:tcPr>
          <w:p>
            <w:pPr>
              <w:spacing w:after="0"/>
              <w:rPr>
                <w:sz w:val="1"/>
                <w:szCs w:val="1"/>
                <w:color w:val="auto"/>
              </w:rPr>
            </w:pPr>
          </w:p>
        </w:tc>
      </w:tr>
      <w:tr>
        <w:trPr>
          <w:trHeight w:val="20"/>
        </w:trPr>
        <w:tc>
          <w:tcPr>
            <w:tcW w:w="4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3120" w:type="dxa"/>
            <w:vAlign w:val="bottom"/>
            <w:tcBorders>
              <w:bottom w:val="single" w:sz="8" w:color="2C6937"/>
            </w:tcBorders>
            <w:gridSpan w:val="5"/>
          </w:tcPr>
          <w:p>
            <w:pPr>
              <w:jc w:val="center"/>
              <w:ind w:right="200"/>
              <w:spacing w:after="0"/>
              <w:rPr>
                <w:sz w:val="20"/>
                <w:szCs w:val="20"/>
                <w:color w:val="auto"/>
              </w:rPr>
            </w:pPr>
            <w:r>
              <w:rPr>
                <w:rFonts w:ascii="Arial" w:cs="Arial" w:eastAsia="Arial" w:hAnsi="Arial"/>
                <w:sz w:val="14"/>
                <w:szCs w:val="14"/>
                <w:b w:val="1"/>
                <w:bCs w:val="1"/>
                <w:color w:val="auto"/>
                <w:w w:val="98"/>
              </w:rPr>
              <w:t>For the Three Months Ended June 30, 2024</w:t>
            </w:r>
          </w:p>
        </w:tc>
        <w:tc>
          <w:tcPr>
            <w:tcW w:w="34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 and</w:t>
            </w:r>
          </w:p>
        </w:tc>
        <w:tc>
          <w:tcPr>
            <w:tcW w:w="16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Extension and Interest</w:t>
            </w:r>
          </w:p>
        </w:tc>
        <w:tc>
          <w:tcPr>
            <w:tcW w:w="34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Term Extension</w:t>
            </w:r>
          </w:p>
        </w:tc>
        <w:tc>
          <w:tcPr>
            <w:tcW w:w="1280" w:type="dxa"/>
            <w:vAlign w:val="bottom"/>
            <w:tcBorders>
              <w:bottom w:val="single" w:sz="8" w:color="2C6937"/>
            </w:tcBorders>
          </w:tcPr>
          <w:p>
            <w:pPr>
              <w:jc w:val="center"/>
              <w:ind w:left="168"/>
              <w:spacing w:after="0"/>
              <w:rPr>
                <w:sz w:val="20"/>
                <w:szCs w:val="20"/>
                <w:color w:val="auto"/>
              </w:rPr>
            </w:pPr>
            <w:r>
              <w:rPr>
                <w:rFonts w:ascii="Arial" w:cs="Arial" w:eastAsia="Arial" w:hAnsi="Arial"/>
                <w:sz w:val="14"/>
                <w:szCs w:val="14"/>
                <w:b w:val="1"/>
                <w:bCs w:val="1"/>
                <w:color w:val="auto"/>
                <w:w w:val="97"/>
              </w:rPr>
              <w:t>Rate Reduction</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3"/>
          </w:tcPr>
          <w:p>
            <w:pPr>
              <w:jc w:val="center"/>
              <w:ind w:left="66"/>
              <w:spacing w:after="0"/>
              <w:rPr>
                <w:sz w:val="20"/>
                <w:szCs w:val="20"/>
                <w:color w:val="auto"/>
              </w:rPr>
            </w:pPr>
            <w:r>
              <w:rPr>
                <w:rFonts w:ascii="Arial" w:cs="Arial" w:eastAsia="Arial" w:hAnsi="Arial"/>
                <w:sz w:val="14"/>
                <w:szCs w:val="14"/>
                <w:b w:val="1"/>
                <w:bCs w:val="1"/>
                <w:color w:val="auto"/>
                <w:w w:val="98"/>
              </w:rPr>
              <w:t>(Dollars in millions)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1,178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625</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1,812</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1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8"/>
                <w:szCs w:val="18"/>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1,228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1,876</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13</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1,228</w:t>
            </w:r>
          </w:p>
        </w:tc>
        <w:tc>
          <w:tcPr>
            <w:tcW w:w="80" w:type="dxa"/>
            <w:vAlign w:val="bottom"/>
          </w:tcPr>
          <w:p>
            <w:pPr>
              <w:spacing w:after="0"/>
              <w:rPr>
                <w:sz w:val="20"/>
                <w:szCs w:val="20"/>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20"/>
                <w:szCs w:val="20"/>
                <w:color w:val="auto"/>
              </w:rPr>
            </w:pPr>
          </w:p>
        </w:tc>
        <w:tc>
          <w:tcPr>
            <w:tcW w:w="12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28</w:t>
            </w:r>
          </w:p>
        </w:tc>
        <w:tc>
          <w:tcPr>
            <w:tcW w:w="100" w:type="dxa"/>
            <w:vAlign w:val="bottom"/>
          </w:tcPr>
          <w:p>
            <w:pPr>
              <w:spacing w:after="0"/>
              <w:rPr>
                <w:sz w:val="20"/>
                <w:szCs w:val="20"/>
                <w:color w:val="auto"/>
              </w:rPr>
            </w:pPr>
          </w:p>
        </w:tc>
        <w:tc>
          <w:tcPr>
            <w:tcW w:w="340" w:type="dxa"/>
            <w:vAlign w:val="bottom"/>
            <w:tcBorders>
              <w:bottom w:val="single" w:sz="8" w:color="2C6937"/>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1,889</w:t>
            </w:r>
          </w:p>
        </w:tc>
        <w:tc>
          <w:tcPr>
            <w:tcW w:w="0" w:type="dxa"/>
            <w:vAlign w:val="bottom"/>
          </w:tcPr>
          <w:p>
            <w:pPr>
              <w:spacing w:after="0"/>
              <w:rPr>
                <w:sz w:val="1"/>
                <w:szCs w:val="1"/>
                <w:color w:val="auto"/>
              </w:rPr>
            </w:pPr>
          </w:p>
        </w:tc>
      </w:tr>
      <w:tr>
        <w:trPr>
          <w:trHeight w:val="20"/>
        </w:trPr>
        <w:tc>
          <w:tcPr>
            <w:tcW w:w="4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2C6937"/>
            </w:tcBorders>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780" w:type="dxa"/>
            <w:vAlign w:val="bottom"/>
            <w:tcBorders>
              <w:bottom w:val="single" w:sz="8" w:color="2C6937"/>
            </w:tcBorders>
            <w:gridSpan w:val="3"/>
          </w:tcPr>
          <w:p>
            <w:pPr>
              <w:jc w:val="center"/>
              <w:ind w:left="46"/>
              <w:spacing w:after="0"/>
              <w:rPr>
                <w:sz w:val="20"/>
                <w:szCs w:val="20"/>
                <w:color w:val="auto"/>
              </w:rPr>
            </w:pPr>
            <w:r>
              <w:rPr>
                <w:rFonts w:ascii="Arial" w:cs="Arial" w:eastAsia="Arial" w:hAnsi="Arial"/>
                <w:sz w:val="14"/>
                <w:szCs w:val="14"/>
                <w:b w:val="1"/>
                <w:bCs w:val="1"/>
                <w:color w:val="auto"/>
                <w:w w:val="97"/>
              </w:rPr>
              <w:t>For the Six Months Ended June 30, 2024</w:t>
            </w:r>
          </w:p>
        </w:tc>
        <w:tc>
          <w:tcPr>
            <w:tcW w:w="2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118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 and</w:t>
            </w:r>
          </w:p>
        </w:tc>
        <w:tc>
          <w:tcPr>
            <w:tcW w:w="16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Extension and Interest</w:t>
            </w:r>
          </w:p>
        </w:tc>
        <w:tc>
          <w:tcPr>
            <w:tcW w:w="34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Term Extension</w:t>
            </w:r>
          </w:p>
        </w:tc>
        <w:tc>
          <w:tcPr>
            <w:tcW w:w="1280" w:type="dxa"/>
            <w:vAlign w:val="bottom"/>
            <w:tcBorders>
              <w:bottom w:val="single" w:sz="8" w:color="2C6937"/>
            </w:tcBorders>
          </w:tcPr>
          <w:p>
            <w:pPr>
              <w:jc w:val="center"/>
              <w:ind w:left="168"/>
              <w:spacing w:after="0"/>
              <w:rPr>
                <w:sz w:val="20"/>
                <w:szCs w:val="20"/>
                <w:color w:val="auto"/>
              </w:rPr>
            </w:pPr>
            <w:r>
              <w:rPr>
                <w:rFonts w:ascii="Arial" w:cs="Arial" w:eastAsia="Arial" w:hAnsi="Arial"/>
                <w:sz w:val="14"/>
                <w:szCs w:val="14"/>
                <w:b w:val="1"/>
                <w:bCs w:val="1"/>
                <w:color w:val="auto"/>
                <w:w w:val="97"/>
              </w:rPr>
              <w:t>Rate Reduction</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3"/>
          </w:tcPr>
          <w:p>
            <w:pPr>
              <w:jc w:val="center"/>
              <w:ind w:left="66"/>
              <w:spacing w:after="0"/>
              <w:rPr>
                <w:sz w:val="20"/>
                <w:szCs w:val="20"/>
                <w:color w:val="auto"/>
              </w:rPr>
            </w:pPr>
            <w:r>
              <w:rPr>
                <w:rFonts w:ascii="Arial" w:cs="Arial" w:eastAsia="Arial" w:hAnsi="Arial"/>
                <w:sz w:val="14"/>
                <w:szCs w:val="14"/>
                <w:b w:val="1"/>
                <w:bCs w:val="1"/>
                <w:color w:val="auto"/>
                <w:w w:val="98"/>
              </w:rPr>
              <w:t>(Dollars in millions)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1,727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925</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18</w:t>
            </w:r>
          </w:p>
        </w:tc>
        <w:tc>
          <w:tcPr>
            <w:tcW w:w="10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2,670</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1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8"/>
                <w:szCs w:val="18"/>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1,806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2,770</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18</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1,806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46</w:t>
            </w:r>
          </w:p>
        </w:tc>
        <w:tc>
          <w:tcPr>
            <w:tcW w:w="10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37" w:lineRule="exact"/>
        <w:rPr>
          <w:rFonts w:ascii="Arial" w:cs="Arial" w:eastAsia="Arial" w:hAnsi="Arial"/>
          <w:sz w:val="18"/>
          <w:szCs w:val="18"/>
          <w:color w:val="auto"/>
          <w:vertAlign w:val="superscript"/>
        </w:rPr>
      </w:pPr>
    </w:p>
    <w:p>
      <w:pPr>
        <w:ind w:left="240" w:hanging="237"/>
        <w:spacing w:after="0" w:line="222" w:lineRule="auto"/>
        <w:tabs>
          <w:tab w:leader="none" w:pos="216"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three months ended June 30, 2025 did not default during the second quarter of 2025. The substantial majority of loans that received a completed modification or a payment deferral during the three months ended June 30, 2024 did not default during the second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1" w:name="page82"/>
    <w:bookmarkEnd w:id="81"/>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June 30, 2025 and June 30, 2024, respectively, presented by portfolio segment and class of financing receivable.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52" w:lineRule="exact"/>
        <w:rPr>
          <w:sz w:val="20"/>
          <w:szCs w:val="20"/>
          <w:color w:val="auto"/>
        </w:rPr>
      </w:pPr>
    </w:p>
    <w:p>
      <w:pPr>
        <w:ind w:left="20" w:right="380"/>
        <w:spacing w:after="0" w:line="331"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7272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52" w:lineRule="exact"/>
        <w:rPr>
          <w:sz w:val="20"/>
          <w:szCs w:val="20"/>
          <w:color w:val="auto"/>
        </w:rPr>
      </w:pPr>
    </w:p>
    <w:p>
      <w:pPr>
        <w:ind w:left="60" w:right="380" w:hanging="42"/>
        <w:spacing w:after="0" w:line="331"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7272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June 30, 2025</w:t>
      </w:r>
      <w:r>
        <w:rPr>
          <w:rFonts w:ascii="Arial" w:cs="Arial" w:eastAsia="Arial" w:hAnsi="Arial"/>
          <w:sz w:val="8"/>
          <w:szCs w:val="8"/>
          <w:b w:val="1"/>
          <w:bCs w:val="1"/>
          <w:color w:val="auto"/>
        </w:rPr>
        <w:t>(1)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2C6937"/>
            </w:tcBorders>
          </w:tcPr>
          <w:p>
            <w:pPr>
              <w:spacing w:after="0"/>
              <w:rPr>
                <w:sz w:val="14"/>
                <w:szCs w:val="14"/>
                <w:color w:val="auto"/>
              </w:rPr>
            </w:pPr>
          </w:p>
        </w:tc>
        <w:tc>
          <w:tcPr>
            <w:tcW w:w="1220" w:type="dxa"/>
            <w:vAlign w:val="bottom"/>
            <w:tcBorders>
              <w:top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30-59 Days</w:t>
            </w:r>
          </w:p>
        </w:tc>
        <w:tc>
          <w:tcPr>
            <w:tcW w:w="180" w:type="dxa"/>
            <w:vAlign w:val="bottom"/>
            <w:tcBorders>
              <w:top w:val="single" w:sz="8" w:color="2C6937"/>
            </w:tcBorders>
          </w:tcPr>
          <w:p>
            <w:pPr>
              <w:spacing w:after="0"/>
              <w:rPr>
                <w:sz w:val="14"/>
                <w:szCs w:val="14"/>
                <w:color w:val="auto"/>
              </w:rPr>
            </w:pPr>
          </w:p>
        </w:tc>
        <w:tc>
          <w:tcPr>
            <w:tcW w:w="1240" w:type="dxa"/>
            <w:vAlign w:val="bottom"/>
            <w:tcBorders>
              <w:top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60-89 Days</w:t>
            </w:r>
          </w:p>
        </w:tc>
        <w:tc>
          <w:tcPr>
            <w:tcW w:w="200" w:type="dxa"/>
            <w:vAlign w:val="bottom"/>
            <w:tcBorders>
              <w:top w:val="single" w:sz="8" w:color="2C6937"/>
            </w:tcBorders>
          </w:tcPr>
          <w:p>
            <w:pPr>
              <w:spacing w:after="0"/>
              <w:rPr>
                <w:sz w:val="14"/>
                <w:szCs w:val="14"/>
                <w:color w:val="auto"/>
              </w:rPr>
            </w:pPr>
          </w:p>
        </w:tc>
        <w:tc>
          <w:tcPr>
            <w:tcW w:w="1220" w:type="dxa"/>
            <w:vAlign w:val="bottom"/>
            <w:tcBorders>
              <w:top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Seriously</w:t>
            </w:r>
          </w:p>
        </w:tc>
        <w:tc>
          <w:tcPr>
            <w:tcW w:w="120" w:type="dxa"/>
            <w:vAlign w:val="bottom"/>
            <w:tcBorders>
              <w:top w:val="single" w:sz="8" w:color="2C6937"/>
            </w:tcBorders>
          </w:tcPr>
          <w:p>
            <w:pPr>
              <w:spacing w:after="0"/>
              <w:rPr>
                <w:sz w:val="14"/>
                <w:szCs w:val="14"/>
                <w:color w:val="auto"/>
              </w:rPr>
            </w:pPr>
          </w:p>
        </w:tc>
        <w:tc>
          <w:tcPr>
            <w:tcW w:w="1300" w:type="dxa"/>
            <w:vAlign w:val="bottom"/>
            <w:tcBorders>
              <w:top w:val="single" w:sz="8" w:color="2C6937"/>
            </w:tcBorders>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Borders>
              <w:top w:val="single" w:sz="8" w:color="2C6937"/>
            </w:tcBorders>
          </w:tcPr>
          <w:p>
            <w:pPr>
              <w:spacing w:after="0"/>
              <w:rPr>
                <w:sz w:val="14"/>
                <w:szCs w:val="14"/>
                <w:color w:val="auto"/>
              </w:rPr>
            </w:pPr>
          </w:p>
        </w:tc>
        <w:tc>
          <w:tcPr>
            <w:tcW w:w="1160" w:type="dxa"/>
            <w:vAlign w:val="bottom"/>
            <w:tcBorders>
              <w:top w:val="single" w:sz="8" w:color="2C6937"/>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top w:val="single" w:sz="8" w:color="2C6937"/>
            </w:tcBorders>
          </w:tcPr>
          <w:p>
            <w:pPr>
              <w:spacing w:after="0"/>
              <w:rPr>
                <w:sz w:val="14"/>
                <w:szCs w:val="14"/>
                <w:color w:val="auto"/>
              </w:rPr>
            </w:pPr>
          </w:p>
        </w:tc>
        <w:tc>
          <w:tcPr>
            <w:tcW w:w="1020" w:type="dxa"/>
            <w:vAlign w:val="bottom"/>
            <w:tcBorders>
              <w:top w:val="single" w:sz="8" w:color="2C6937"/>
            </w:tcBorders>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7"/>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4,266</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2,647</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12,994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19,907</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15,158</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35,065</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39"/>
        </w:trPr>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2,750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13,531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20,707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36,474</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1,064</w:t>
            </w:r>
          </w:p>
        </w:tc>
        <w:tc>
          <w:tcPr>
            <w:tcW w:w="0" w:type="dxa"/>
            <w:vAlign w:val="bottom"/>
          </w:tcPr>
          <w:p>
            <w:pPr>
              <w:spacing w:after="0"/>
              <w:rPr>
                <w:sz w:val="1"/>
                <w:szCs w:val="1"/>
                <w:color w:val="auto"/>
              </w:rPr>
            </w:pPr>
          </w:p>
        </w:tc>
      </w:tr>
      <w:tr>
        <w:trPr>
          <w:trHeight w:val="225"/>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4,426</w:t>
            </w:r>
          </w:p>
        </w:tc>
        <w:tc>
          <w:tcPr>
            <w:tcW w:w="100" w:type="dxa"/>
            <w:vAlign w:val="bottom"/>
          </w:tcPr>
          <w:p>
            <w:pPr>
              <w:spacing w:after="0"/>
              <w:rPr>
                <w:sz w:val="19"/>
                <w:szCs w:val="19"/>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2,750</w:t>
            </w:r>
          </w:p>
        </w:tc>
        <w:tc>
          <w:tcPr>
            <w:tcW w:w="8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14,100</w:t>
            </w:r>
          </w:p>
        </w:tc>
        <w:tc>
          <w:tcPr>
            <w:tcW w:w="8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21,276</w:t>
            </w:r>
          </w:p>
        </w:tc>
        <w:tc>
          <w:tcPr>
            <w:tcW w:w="100" w:type="dxa"/>
            <w:vAlign w:val="bottom"/>
          </w:tcPr>
          <w:p>
            <w:pPr>
              <w:spacing w:after="0"/>
              <w:rPr>
                <w:sz w:val="19"/>
                <w:szCs w:val="19"/>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16,262</w:t>
            </w:r>
          </w:p>
        </w:tc>
        <w:tc>
          <w:tcPr>
            <w:tcW w:w="100" w:type="dxa"/>
            <w:vAlign w:val="bottom"/>
          </w:tcPr>
          <w:p>
            <w:pPr>
              <w:spacing w:after="0"/>
              <w:rPr>
                <w:sz w:val="19"/>
                <w:szCs w:val="19"/>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37,538</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2C6937"/>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431"/>
        </w:trPr>
        <w:tc>
          <w:tcPr>
            <w:tcW w:w="20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As of June 30, 2024</w:t>
            </w:r>
            <w:r>
              <w:rPr>
                <w:rFonts w:ascii="Arial" w:cs="Arial" w:eastAsia="Arial" w:hAnsi="Arial"/>
                <w:sz w:val="17"/>
                <w:szCs w:val="17"/>
                <w:b w:val="1"/>
                <w:bCs w:val="1"/>
                <w:color w:val="auto"/>
                <w:w w:val="95"/>
                <w:vertAlign w:val="superscript"/>
              </w:rPr>
              <w:t>(1)</w:t>
            </w:r>
          </w:p>
        </w:tc>
        <w:tc>
          <w:tcPr>
            <w:tcW w:w="26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7"/>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3,970</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2,359</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10,681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17,010</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12,933</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29,943</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930</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39"/>
        </w:trPr>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124</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4,157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2,468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13,559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31,382</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1,244</w:t>
            </w:r>
          </w:p>
        </w:tc>
        <w:tc>
          <w:tcPr>
            <w:tcW w:w="0" w:type="dxa"/>
            <w:vAlign w:val="bottom"/>
          </w:tcPr>
          <w:p>
            <w:pPr>
              <w:spacing w:after="0"/>
              <w:rPr>
                <w:sz w:val="1"/>
                <w:szCs w:val="1"/>
                <w:color w:val="auto"/>
              </w:rPr>
            </w:pPr>
          </w:p>
        </w:tc>
      </w:tr>
      <w:tr>
        <w:trPr>
          <w:trHeight w:val="225"/>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4,157</w:t>
            </w:r>
          </w:p>
        </w:tc>
        <w:tc>
          <w:tcPr>
            <w:tcW w:w="100" w:type="dxa"/>
            <w:vAlign w:val="bottom"/>
          </w:tcPr>
          <w:p>
            <w:pPr>
              <w:spacing w:after="0"/>
              <w:rPr>
                <w:sz w:val="19"/>
                <w:szCs w:val="19"/>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2,468</w:t>
            </w:r>
          </w:p>
        </w:tc>
        <w:tc>
          <w:tcPr>
            <w:tcW w:w="8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11,559</w:t>
            </w:r>
          </w:p>
        </w:tc>
        <w:tc>
          <w:tcPr>
            <w:tcW w:w="8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18,184</w:t>
            </w:r>
          </w:p>
        </w:tc>
        <w:tc>
          <w:tcPr>
            <w:tcW w:w="100" w:type="dxa"/>
            <w:vAlign w:val="bottom"/>
          </w:tcPr>
          <w:p>
            <w:pPr>
              <w:spacing w:after="0"/>
              <w:rPr>
                <w:sz w:val="19"/>
                <w:szCs w:val="19"/>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14,442</w:t>
            </w:r>
          </w:p>
        </w:tc>
        <w:tc>
          <w:tcPr>
            <w:tcW w:w="100" w:type="dxa"/>
            <w:vAlign w:val="bottom"/>
          </w:tcPr>
          <w:p>
            <w:pPr>
              <w:spacing w:after="0"/>
              <w:rPr>
                <w:sz w:val="19"/>
                <w:szCs w:val="19"/>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32,626</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2680" w:space="140"/>
            <w:col w:w="8420"/>
          </w:cols>
          <w:pgMar w:left="320" w:top="248" w:right="339" w:bottom="1440" w:gutter="0" w:footer="0" w:header="0"/>
          <w:type w:val="continuous"/>
        </w:sectPr>
      </w:pPr>
    </w:p>
    <w:p>
      <w:pPr>
        <w:jc w:val="both"/>
        <w:ind w:left="240" w:right="60" w:hanging="237"/>
        <w:spacing w:after="0" w:line="228" w:lineRule="auto"/>
        <w:tabs>
          <w:tab w:leader="none" w:pos="216"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As of June 30, 2025, the substantial majority of loans that received a completed modification or a payment deferral during the second quarter of 2025 were not delinquent as of June 30, 2025. As of June 30, 2024, the substantial majority of loans that received a completed modification or a payment deferral during the second quarter of 2024 were not delinquent as of June 30, 2024.</w:t>
      </w:r>
    </w:p>
    <w:p>
      <w:pPr>
        <w:ind w:left="240" w:hanging="237"/>
        <w:spacing w:after="0"/>
        <w:tabs>
          <w:tab w:leader="none" w:pos="24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2" w:name="page83"/>
    <w:bookmarkEnd w:id="82"/>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at which time a loan is placed on nonaccrual status. See “Note 1, Summary of Significant Accounting Policies” in our 2024 Form 10-K for additional information on our accounting policies for single-family and multifamily nonaccrual loans.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for nonaccrual loans.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3780" w:type="dxa"/>
            <w:vAlign w:val="bottom"/>
            <w:gridSpan w:val="6"/>
          </w:tcPr>
          <w:p>
            <w:pPr>
              <w:ind w:left="460"/>
              <w:spacing w:after="0"/>
              <w:rPr>
                <w:sz w:val="20"/>
                <w:szCs w:val="20"/>
                <w:color w:val="auto"/>
              </w:rPr>
            </w:pPr>
            <w:r>
              <w:rPr>
                <w:rFonts w:ascii="Arial" w:cs="Arial" w:eastAsia="Arial" w:hAnsi="Arial"/>
                <w:sz w:val="15"/>
                <w:szCs w:val="15"/>
                <w:b w:val="1"/>
                <w:bCs w:val="1"/>
                <w:color w:val="auto"/>
              </w:rPr>
              <w:t>For the Three Months Ended June 30,</w:t>
            </w:r>
          </w:p>
        </w:tc>
        <w:tc>
          <w:tcPr>
            <w:tcW w:w="520" w:type="dxa"/>
            <w:vAlign w:val="bottom"/>
          </w:tcPr>
          <w:p>
            <w:pPr>
              <w:spacing w:after="0"/>
              <w:rPr>
                <w:sz w:val="18"/>
                <w:szCs w:val="18"/>
                <w:color w:val="auto"/>
              </w:rPr>
            </w:pPr>
          </w:p>
        </w:tc>
        <w:tc>
          <w:tcPr>
            <w:tcW w:w="3120" w:type="dxa"/>
            <w:vAlign w:val="bottom"/>
            <w:gridSpan w:val="4"/>
          </w:tcPr>
          <w:p>
            <w:pPr>
              <w:jc w:val="right"/>
              <w:ind w:right="463"/>
              <w:spacing w:after="0"/>
              <w:rPr>
                <w:sz w:val="20"/>
                <w:szCs w:val="20"/>
                <w:color w:val="auto"/>
              </w:rPr>
            </w:pPr>
            <w:r>
              <w:rPr>
                <w:rFonts w:ascii="Arial" w:cs="Arial" w:eastAsia="Arial" w:hAnsi="Arial"/>
                <w:sz w:val="15"/>
                <w:szCs w:val="15"/>
                <w:b w:val="1"/>
                <w:bCs w:val="1"/>
                <w:color w:val="auto"/>
              </w:rPr>
              <w:t>For the Six Months Ended June 30,</w:t>
            </w:r>
          </w:p>
        </w:tc>
      </w:tr>
      <w:tr>
        <w:trPr>
          <w:trHeight w:val="199"/>
        </w:trPr>
        <w:tc>
          <w:tcPr>
            <w:tcW w:w="3800" w:type="dxa"/>
            <w:vAlign w:val="bottom"/>
          </w:tcPr>
          <w:p>
            <w:pPr>
              <w:spacing w:after="0"/>
              <w:rPr>
                <w:sz w:val="17"/>
                <w:szCs w:val="17"/>
                <w:color w:val="auto"/>
              </w:rPr>
            </w:pPr>
          </w:p>
        </w:tc>
        <w:tc>
          <w:tcPr>
            <w:tcW w:w="1300" w:type="dxa"/>
            <w:vAlign w:val="bottom"/>
            <w:tcBorders>
              <w:top w:val="single" w:sz="8" w:color="2C6937"/>
              <w:bottom w:val="single" w:sz="8" w:color="2C6937"/>
            </w:tcBorders>
          </w:tcPr>
          <w:p>
            <w:pPr>
              <w:jc w:val="right"/>
              <w:ind w:right="163"/>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420" w:type="dxa"/>
            <w:vAlign w:val="bottom"/>
            <w:tcBorders>
              <w:top w:val="single" w:sz="8" w:color="2C6937"/>
              <w:bottom w:val="single" w:sz="8" w:color="2C6937"/>
            </w:tcBorders>
          </w:tcPr>
          <w:p>
            <w:pPr>
              <w:spacing w:after="0"/>
              <w:rPr>
                <w:sz w:val="17"/>
                <w:szCs w:val="17"/>
                <w:color w:val="auto"/>
              </w:rPr>
            </w:pPr>
          </w:p>
        </w:tc>
        <w:tc>
          <w:tcPr>
            <w:tcW w:w="1380" w:type="dxa"/>
            <w:vAlign w:val="bottom"/>
            <w:tcBorders>
              <w:top w:val="single" w:sz="8" w:color="2C6937"/>
              <w:bottom w:val="single" w:sz="8" w:color="2C6937"/>
            </w:tcBorders>
          </w:tcPr>
          <w:p>
            <w:pPr>
              <w:jc w:val="right"/>
              <w:ind w:right="64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520" w:type="dxa"/>
            <w:vAlign w:val="bottom"/>
            <w:tcBorders>
              <w:top w:val="single" w:sz="8" w:color="2C6937"/>
              <w:bottom w:val="single" w:sz="8" w:color="2C6937"/>
            </w:tcBorders>
          </w:tcPr>
          <w:p>
            <w:pPr>
              <w:spacing w:after="0"/>
              <w:rPr>
                <w:sz w:val="17"/>
                <w:szCs w:val="17"/>
                <w:color w:val="auto"/>
              </w:rPr>
            </w:pPr>
          </w:p>
        </w:tc>
        <w:tc>
          <w:tcPr>
            <w:tcW w:w="126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400" w:type="dxa"/>
            <w:vAlign w:val="bottom"/>
            <w:tcBorders>
              <w:top w:val="single" w:sz="8" w:color="2C6937"/>
              <w:bottom w:val="single" w:sz="8" w:color="2C6937"/>
            </w:tcBorders>
          </w:tcPr>
          <w:p>
            <w:pPr>
              <w:spacing w:after="0"/>
              <w:rPr>
                <w:sz w:val="17"/>
                <w:szCs w:val="17"/>
                <w:color w:val="auto"/>
              </w:rPr>
            </w:pPr>
          </w:p>
        </w:tc>
        <w:tc>
          <w:tcPr>
            <w:tcW w:w="1360" w:type="dxa"/>
            <w:vAlign w:val="bottom"/>
            <w:tcBorders>
              <w:top w:val="single" w:sz="8" w:color="2C6937"/>
              <w:bottom w:val="single" w:sz="8" w:color="2C6937"/>
            </w:tcBorders>
          </w:tcPr>
          <w:p>
            <w:pPr>
              <w:jc w:val="right"/>
              <w:ind w:right="623"/>
              <w:spacing w:after="0"/>
              <w:rPr>
                <w:sz w:val="20"/>
                <w:szCs w:val="20"/>
                <w:color w:val="auto"/>
              </w:rPr>
            </w:pPr>
            <w:r>
              <w:rPr>
                <w:rFonts w:ascii="Arial" w:cs="Arial" w:eastAsia="Arial" w:hAnsi="Arial"/>
                <w:sz w:val="15"/>
                <w:szCs w:val="15"/>
                <w:b w:val="1"/>
                <w:bCs w:val="1"/>
                <w:color w:val="auto"/>
              </w:rPr>
              <w:t>2024</w:t>
            </w:r>
          </w:p>
        </w:tc>
      </w:tr>
      <w:tr>
        <w:trPr>
          <w:trHeight w:val="185"/>
        </w:trPr>
        <w:tc>
          <w:tcPr>
            <w:tcW w:w="3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9"/>
        </w:trPr>
        <w:tc>
          <w:tcPr>
            <w:tcW w:w="3800" w:type="dxa"/>
            <w:vAlign w:val="bottom"/>
          </w:tcPr>
          <w:p>
            <w:pPr>
              <w:spacing w:after="0"/>
              <w:rPr>
                <w:sz w:val="20"/>
                <w:szCs w:val="20"/>
                <w:color w:val="auto"/>
              </w:rPr>
            </w:pPr>
            <w:r>
              <w:rPr>
                <w:rFonts w:ascii="Arial" w:cs="Arial" w:eastAsia="Arial" w:hAnsi="Arial"/>
                <w:sz w:val="15"/>
                <w:szCs w:val="15"/>
                <w:color w:val="auto"/>
              </w:rPr>
              <w:t>Accrued interest receivable written off through the</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4"/>
        </w:trPr>
        <w:tc>
          <w:tcPr>
            <w:tcW w:w="3800" w:type="dxa"/>
            <w:vAlign w:val="bottom"/>
          </w:tcPr>
          <w:p>
            <w:pPr>
              <w:ind w:left="160"/>
              <w:spacing w:after="0"/>
              <w:rPr>
                <w:sz w:val="20"/>
                <w:szCs w:val="20"/>
                <w:color w:val="auto"/>
              </w:rPr>
            </w:pPr>
            <w:r>
              <w:rPr>
                <w:rFonts w:ascii="Arial" w:cs="Arial" w:eastAsia="Arial" w:hAnsi="Arial"/>
                <w:sz w:val="15"/>
                <w:szCs w:val="15"/>
                <w:color w:val="auto"/>
              </w:rPr>
              <w:t>reversal of interest income:</w:t>
            </w: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6"/>
        </w:trPr>
        <w:tc>
          <w:tcPr>
            <w:tcW w:w="380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300" w:type="dxa"/>
            <w:vAlign w:val="bottom"/>
          </w:tcPr>
          <w:p>
            <w:pPr>
              <w:jc w:val="right"/>
              <w:ind w:right="1123"/>
              <w:spacing w:after="0"/>
              <w:rPr>
                <w:sz w:val="20"/>
                <w:szCs w:val="20"/>
                <w:color w:val="auto"/>
              </w:rPr>
            </w:pPr>
            <w:r>
              <w:rPr>
                <w:rFonts w:ascii="Arial" w:cs="Arial" w:eastAsia="Arial" w:hAnsi="Arial"/>
                <w:sz w:val="15"/>
                <w:szCs w:val="15"/>
                <w:b w:val="1"/>
                <w:bCs w:val="1"/>
                <w:color w:val="auto"/>
                <w:w w:val="95"/>
              </w:rPr>
              <w:t>$</w:t>
            </w: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91</w:t>
            </w:r>
          </w:p>
        </w:tc>
        <w:tc>
          <w:tcPr>
            <w:tcW w:w="80" w:type="dxa"/>
            <w:vAlign w:val="bottom"/>
          </w:tcPr>
          <w:p>
            <w:pPr>
              <w:spacing w:after="0"/>
              <w:rPr>
                <w:sz w:val="23"/>
                <w:szCs w:val="23"/>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3"/>
                <w:szCs w:val="23"/>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194</w:t>
            </w:r>
          </w:p>
        </w:tc>
        <w:tc>
          <w:tcPr>
            <w:tcW w:w="100" w:type="dxa"/>
            <w:vAlign w:val="bottom"/>
          </w:tcPr>
          <w:p>
            <w:pPr>
              <w:spacing w:after="0"/>
              <w:rPr>
                <w:sz w:val="23"/>
                <w:szCs w:val="23"/>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179</w:t>
            </w:r>
          </w:p>
        </w:tc>
      </w:tr>
      <w:tr>
        <w:trPr>
          <w:trHeight w:val="232"/>
        </w:trPr>
        <w:tc>
          <w:tcPr>
            <w:tcW w:w="380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300" w:type="dxa"/>
            <w:vAlign w:val="bottom"/>
          </w:tcPr>
          <w:p>
            <w:pPr>
              <w:spacing w:after="0"/>
              <w:rPr>
                <w:sz w:val="20"/>
                <w:szCs w:val="20"/>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w:t>
            </w:r>
          </w:p>
        </w:tc>
      </w:tr>
    </w:tbl>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As of</w:t>
            </w:r>
          </w:p>
        </w:tc>
        <w:tc>
          <w:tcPr>
            <w:tcW w:w="14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March 31, 2025</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2024</w:t>
            </w: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For the Three Months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177"/>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Ended June 30, 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Ended June 30, 2025</w:t>
            </w:r>
          </w:p>
        </w:tc>
        <w:tc>
          <w:tcPr>
            <w:tcW w:w="0" w:type="dxa"/>
            <w:vAlign w:val="bottom"/>
          </w:tcPr>
          <w:p>
            <w:pPr>
              <w:spacing w:after="0"/>
              <w:rPr>
                <w:sz w:val="1"/>
                <w:szCs w:val="1"/>
                <w:color w:val="auto"/>
              </w:rPr>
            </w:pPr>
          </w:p>
        </w:tc>
      </w:tr>
      <w:tr>
        <w:trPr>
          <w:trHeight w:val="28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2C6937"/>
              <w:bottom w:val="single" w:sz="8" w:color="2C6937"/>
            </w:tcBorders>
          </w:tcPr>
          <w:p>
            <w:pPr>
              <w:spacing w:after="0"/>
              <w:rPr>
                <w:sz w:val="24"/>
                <w:szCs w:val="24"/>
                <w:color w:val="auto"/>
              </w:rPr>
            </w:pPr>
          </w:p>
        </w:tc>
        <w:tc>
          <w:tcPr>
            <w:tcW w:w="1160" w:type="dxa"/>
            <w:vAlign w:val="bottom"/>
            <w:tcBorders>
              <w:top w:val="single" w:sz="8" w:color="2C6937"/>
              <w:bottom w:val="single" w:sz="8" w:color="2C6937"/>
            </w:tcBorders>
          </w:tcPr>
          <w:p>
            <w:pPr>
              <w:spacing w:after="0"/>
              <w:rPr>
                <w:sz w:val="24"/>
                <w:szCs w:val="24"/>
                <w:color w:val="auto"/>
              </w:rPr>
            </w:pPr>
          </w:p>
        </w:tc>
        <w:tc>
          <w:tcPr>
            <w:tcW w:w="12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40" w:type="dxa"/>
            <w:vAlign w:val="bottom"/>
            <w:tcBorders>
              <w:top w:val="single" w:sz="8" w:color="2C6937"/>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140" w:type="dxa"/>
            <w:vAlign w:val="bottom"/>
            <w:tcBorders>
              <w:top w:val="single" w:sz="8" w:color="2C6937"/>
              <w:bottom w:val="single" w:sz="8" w:color="2C6937"/>
            </w:tcBorders>
          </w:tcPr>
          <w:p>
            <w:pPr>
              <w:spacing w:after="0"/>
              <w:rPr>
                <w:sz w:val="24"/>
                <w:szCs w:val="24"/>
                <w:color w:val="auto"/>
              </w:rPr>
            </w:pPr>
          </w:p>
        </w:tc>
        <w:tc>
          <w:tcPr>
            <w:tcW w:w="1200" w:type="dxa"/>
            <w:vAlign w:val="bottom"/>
            <w:tcBorders>
              <w:top w:val="single" w:sz="8" w:color="2C6937"/>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60" w:type="dxa"/>
            <w:vAlign w:val="bottom"/>
            <w:tcBorders>
              <w:top w:val="single" w:sz="8" w:color="2C6937"/>
              <w:bottom w:val="single" w:sz="8" w:color="2C6937"/>
            </w:tcBorders>
          </w:tcPr>
          <w:p>
            <w:pPr>
              <w:spacing w:after="0"/>
              <w:rPr>
                <w:sz w:val="24"/>
                <w:szCs w:val="24"/>
                <w:color w:val="auto"/>
              </w:rPr>
            </w:pPr>
          </w:p>
        </w:tc>
        <w:tc>
          <w:tcPr>
            <w:tcW w:w="2880" w:type="dxa"/>
            <w:vAlign w:val="bottom"/>
            <w:tcBorders>
              <w:top w:val="single" w:sz="8" w:color="2C6937"/>
              <w:bottom w:val="single" w:sz="8" w:color="2C6937"/>
            </w:tcBorders>
            <w:gridSpan w:val="7"/>
          </w:tcPr>
          <w:p>
            <w:pPr>
              <w:ind w:left="160"/>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75"/>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3"/>
          </w:tcPr>
          <w:p>
            <w:pPr>
              <w:jc w:val="right"/>
              <w:ind w:right="147"/>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25,423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26,335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25,218</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736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771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770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6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428</w:t>
            </w:r>
          </w:p>
        </w:tc>
        <w:tc>
          <w:tcPr>
            <w:tcW w:w="1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463</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482</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26,701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27,691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26,584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2,862</w:t>
            </w:r>
          </w:p>
        </w:tc>
        <w:tc>
          <w:tcPr>
            <w:tcW w:w="1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2,702</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2,517</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w:t>
            </w: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76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29,563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30,393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29,101</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64</w:t>
            </w: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162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As of</w:t>
            </w:r>
          </w:p>
        </w:tc>
        <w:tc>
          <w:tcPr>
            <w:tcW w:w="14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March 31, 2024</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vMerge w:val="restart"/>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For the Three Months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2"/>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340" w:type="dxa"/>
            <w:vAlign w:val="bottom"/>
            <w:tcBorders>
              <w:bottom w:val="single" w:sz="8" w:color="2C6937"/>
            </w:tcBorders>
            <w:gridSpan w:val="2"/>
            <w:vMerge w:val="continue"/>
          </w:tcPr>
          <w:p>
            <w:pPr>
              <w:spacing w:after="0"/>
              <w:rPr>
                <w:sz w:val="15"/>
                <w:szCs w:val="15"/>
                <w:color w:val="auto"/>
              </w:rPr>
            </w:pPr>
          </w:p>
        </w:tc>
        <w:tc>
          <w:tcPr>
            <w:tcW w:w="1340" w:type="dxa"/>
            <w:vAlign w:val="bottom"/>
            <w:tcBorders>
              <w:bottom w:val="single" w:sz="8" w:color="2C6937"/>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20" w:type="dxa"/>
            <w:vAlign w:val="bottom"/>
            <w:tcBorders>
              <w:bottom w:val="single" w:sz="8" w:color="2C6937"/>
            </w:tcBorders>
            <w:gridSpan w:val="3"/>
          </w:tcPr>
          <w:p>
            <w:pPr>
              <w:jc w:val="center"/>
              <w:ind w:right="20"/>
              <w:spacing w:after="0"/>
              <w:rPr>
                <w:sz w:val="20"/>
                <w:szCs w:val="20"/>
                <w:color w:val="auto"/>
              </w:rPr>
            </w:pPr>
            <w:r>
              <w:rPr>
                <w:rFonts w:ascii="Arial" w:cs="Arial" w:eastAsia="Arial" w:hAnsi="Arial"/>
                <w:sz w:val="14"/>
                <w:szCs w:val="14"/>
                <w:b w:val="1"/>
                <w:bCs w:val="1"/>
                <w:color w:val="auto"/>
                <w:w w:val="97"/>
              </w:rPr>
              <w:t>Ended June 30, 2024</w:t>
            </w:r>
          </w:p>
        </w:tc>
        <w:tc>
          <w:tcPr>
            <w:tcW w:w="8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Ended June 30,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7"/>
          </w:tcPr>
          <w:p>
            <w:pPr>
              <w:ind w:left="160"/>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75"/>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2C6937"/>
            </w:tcBorders>
          </w:tcPr>
          <w:p>
            <w:pPr>
              <w:spacing w:after="0"/>
              <w:rPr>
                <w:sz w:val="23"/>
                <w:szCs w:val="23"/>
                <w:color w:val="auto"/>
              </w:rPr>
            </w:pPr>
          </w:p>
        </w:tc>
        <w:tc>
          <w:tcPr>
            <w:tcW w:w="116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4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1560" w:type="dxa"/>
            <w:vAlign w:val="bottom"/>
            <w:tcBorders>
              <w:top w:val="single" w:sz="8" w:color="2C6937"/>
            </w:tcBorders>
            <w:gridSpan w:val="3"/>
          </w:tcPr>
          <w:p>
            <w:pPr>
              <w:jc w:val="right"/>
              <w:ind w:right="147"/>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380" w:type="dxa"/>
            <w:vAlign w:val="bottom"/>
            <w:tcBorders>
              <w:top w:val="single" w:sz="8" w:color="2C693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22,183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22,712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21,971</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734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496</w:t>
            </w:r>
          </w:p>
        </w:tc>
        <w:tc>
          <w:tcPr>
            <w:tcW w:w="1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508</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7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23,500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24,041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23,315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1,836</w:t>
            </w:r>
          </w:p>
        </w:tc>
        <w:tc>
          <w:tcPr>
            <w:tcW w:w="1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1,812</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1,890</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76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25,336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25,853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25,205</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72</w:t>
            </w: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66"/>
        </w:numPr>
        <w:rPr>
          <w:rFonts w:ascii="Arial" w:cs="Arial" w:eastAsia="Arial" w:hAnsi="Arial"/>
          <w:sz w:val="9"/>
          <w:szCs w:val="9"/>
          <w:color w:val="auto"/>
        </w:rPr>
      </w:pPr>
      <w:r>
        <w:rPr>
          <w:rFonts w:ascii="Arial" w:cs="Arial" w:eastAsia="Arial" w:hAnsi="Arial"/>
          <w:sz w:val="14"/>
          <w:szCs w:val="14"/>
          <w:color w:val="auto"/>
        </w:rPr>
        <w:t>Amortized cost is presented net of any write-offs, which are recognized when a loan balance is deemed uncollectible.</w:t>
      </w:r>
    </w:p>
    <w:p>
      <w:pPr>
        <w:spacing w:after="0" w:line="45" w:lineRule="exact"/>
        <w:rPr>
          <w:rFonts w:ascii="Arial" w:cs="Arial" w:eastAsia="Arial" w:hAnsi="Arial"/>
          <w:sz w:val="9"/>
          <w:szCs w:val="9"/>
          <w:color w:val="auto"/>
        </w:rPr>
      </w:pPr>
    </w:p>
    <w:p>
      <w:pPr>
        <w:ind w:left="240" w:right="80" w:hanging="237"/>
        <w:spacing w:after="0" w:line="278" w:lineRule="auto"/>
        <w:tabs>
          <w:tab w:leader="none" w:pos="233" w:val="left"/>
        </w:tabs>
        <w:numPr>
          <w:ilvl w:val="0"/>
          <w:numId w:val="66"/>
        </w:numPr>
        <w:rPr>
          <w:rFonts w:ascii="Arial" w:cs="Arial" w:eastAsia="Arial" w:hAnsi="Arial"/>
          <w:sz w:val="9"/>
          <w:szCs w:val="9"/>
          <w:color w:val="auto"/>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3" w:name="page84"/>
    <w:bookmarkEnd w:id="83"/>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Loan Losses</w:t>
      </w:r>
    </w:p>
    <w:p>
      <w:pPr>
        <w:spacing w:after="0" w:line="8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gridSpan w:val="6"/>
          </w:tcPr>
          <w:p>
            <w:pPr>
              <w:ind w:left="520"/>
              <w:spacing w:after="0"/>
              <w:rPr>
                <w:sz w:val="20"/>
                <w:szCs w:val="20"/>
                <w:color w:val="auto"/>
              </w:rPr>
            </w:pPr>
            <w:r>
              <w:rPr>
                <w:rFonts w:ascii="Arial" w:cs="Arial" w:eastAsia="Arial" w:hAnsi="Arial"/>
                <w:sz w:val="15"/>
                <w:szCs w:val="15"/>
                <w:b w:val="1"/>
                <w:bCs w:val="1"/>
                <w:color w:val="auto"/>
              </w:rPr>
              <w:t>For the Three Months Ended June 30,</w:t>
            </w:r>
          </w:p>
        </w:tc>
        <w:tc>
          <w:tcPr>
            <w:tcW w:w="320" w:type="dxa"/>
            <w:vAlign w:val="bottom"/>
          </w:tcPr>
          <w:p>
            <w:pPr>
              <w:spacing w:after="0"/>
              <w:rPr>
                <w:sz w:val="18"/>
                <w:szCs w:val="18"/>
                <w:color w:val="auto"/>
              </w:rPr>
            </w:pPr>
          </w:p>
        </w:tc>
        <w:tc>
          <w:tcPr>
            <w:tcW w:w="3300" w:type="dxa"/>
            <w:vAlign w:val="bottom"/>
            <w:gridSpan w:val="4"/>
          </w:tcPr>
          <w:p>
            <w:pPr>
              <w:jc w:val="right"/>
              <w:ind w:right="443"/>
              <w:spacing w:after="0"/>
              <w:rPr>
                <w:sz w:val="20"/>
                <w:szCs w:val="20"/>
                <w:color w:val="auto"/>
              </w:rPr>
            </w:pPr>
            <w:r>
              <w:rPr>
                <w:rFonts w:ascii="Arial" w:cs="Arial" w:eastAsia="Arial" w:hAnsi="Arial"/>
                <w:sz w:val="15"/>
                <w:szCs w:val="15"/>
                <w:b w:val="1"/>
                <w:bCs w:val="1"/>
                <w:color w:val="auto"/>
              </w:rPr>
              <w:t>For the Six Months Ended June 30,</w:t>
            </w:r>
          </w:p>
        </w:tc>
      </w:tr>
      <w:tr>
        <w:trPr>
          <w:trHeight w:val="222"/>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2025</w:t>
            </w:r>
          </w:p>
        </w:tc>
        <w:tc>
          <w:tcPr>
            <w:tcW w:w="62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420" w:type="dxa"/>
            <w:vAlign w:val="bottom"/>
            <w:tcBorders>
              <w:top w:val="single" w:sz="8" w:color="2C6937"/>
              <w:bottom w:val="single" w:sz="8" w:color="2C6937"/>
            </w:tcBorders>
          </w:tcPr>
          <w:p>
            <w:pPr>
              <w:spacing w:after="0"/>
              <w:rPr>
                <w:sz w:val="19"/>
                <w:szCs w:val="19"/>
                <w:color w:val="auto"/>
              </w:rPr>
            </w:pPr>
          </w:p>
        </w:tc>
        <w:tc>
          <w:tcPr>
            <w:tcW w:w="1440" w:type="dxa"/>
            <w:vAlign w:val="bottom"/>
            <w:tcBorders>
              <w:top w:val="single" w:sz="8" w:color="2C6937"/>
              <w:bottom w:val="single" w:sz="8" w:color="2C6937"/>
            </w:tcBorders>
          </w:tcPr>
          <w:p>
            <w:pPr>
              <w:jc w:val="right"/>
              <w:ind w:right="683"/>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2C6937"/>
            </w:tcBorders>
          </w:tcPr>
          <w:p>
            <w:pPr>
              <w:spacing w:after="0"/>
              <w:rPr>
                <w:sz w:val="19"/>
                <w:szCs w:val="19"/>
                <w:color w:val="auto"/>
              </w:rPr>
            </w:pPr>
          </w:p>
        </w:tc>
        <w:tc>
          <w:tcPr>
            <w:tcW w:w="320" w:type="dxa"/>
            <w:vAlign w:val="bottom"/>
            <w:tcBorders>
              <w:top w:val="single" w:sz="8" w:color="2C6937"/>
              <w:bottom w:val="single" w:sz="8" w:color="2C6937"/>
            </w:tcBorders>
          </w:tcPr>
          <w:p>
            <w:pPr>
              <w:spacing w:after="0"/>
              <w:rPr>
                <w:sz w:val="19"/>
                <w:szCs w:val="19"/>
                <w:color w:val="auto"/>
              </w:rPr>
            </w:pPr>
          </w:p>
        </w:tc>
        <w:tc>
          <w:tcPr>
            <w:tcW w:w="148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top w:val="single" w:sz="8" w:color="2C6937"/>
              <w:bottom w:val="single" w:sz="8" w:color="2C6937"/>
            </w:tcBorders>
          </w:tcPr>
          <w:p>
            <w:pPr>
              <w:spacing w:after="0"/>
              <w:rPr>
                <w:sz w:val="19"/>
                <w:szCs w:val="19"/>
                <w:color w:val="auto"/>
              </w:rPr>
            </w:pPr>
          </w:p>
        </w:tc>
        <w:tc>
          <w:tcPr>
            <w:tcW w:w="400" w:type="dxa"/>
            <w:vAlign w:val="bottom"/>
            <w:tcBorders>
              <w:top w:val="single" w:sz="8" w:color="2C6937"/>
              <w:bottom w:val="single" w:sz="8" w:color="2C6937"/>
            </w:tcBorders>
          </w:tcPr>
          <w:p>
            <w:pPr>
              <w:spacing w:after="0"/>
              <w:rPr>
                <w:sz w:val="19"/>
                <w:szCs w:val="19"/>
                <w:color w:val="auto"/>
              </w:rPr>
            </w:pPr>
          </w:p>
        </w:tc>
        <w:tc>
          <w:tcPr>
            <w:tcW w:w="1340" w:type="dxa"/>
            <w:vAlign w:val="bottom"/>
            <w:tcBorders>
              <w:top w:val="single" w:sz="8" w:color="2C6937"/>
              <w:bottom w:val="single" w:sz="8" w:color="2C6937"/>
            </w:tcBorders>
          </w:tcPr>
          <w:p>
            <w:pPr>
              <w:jc w:val="right"/>
              <w:ind w:right="623"/>
              <w:spacing w:after="0"/>
              <w:rPr>
                <w:sz w:val="20"/>
                <w:szCs w:val="20"/>
                <w:color w:val="auto"/>
              </w:rPr>
            </w:pPr>
            <w:r>
              <w:rPr>
                <w:rFonts w:ascii="Arial" w:cs="Arial" w:eastAsia="Arial" w:hAnsi="Arial"/>
                <w:sz w:val="15"/>
                <w:szCs w:val="15"/>
                <w:b w:val="1"/>
                <w:bCs w:val="1"/>
                <w:color w:val="auto"/>
              </w:rPr>
              <w:t>2024</w:t>
            </w:r>
          </w:p>
        </w:tc>
      </w:tr>
      <w:tr>
        <w:trPr>
          <w:trHeight w:val="299"/>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0" w:type="dxa"/>
            <w:vAlign w:val="bottom"/>
            <w:gridSpan w:val="5"/>
          </w:tcPr>
          <w:p>
            <w:pPr>
              <w:ind w:left="660"/>
              <w:spacing w:after="0"/>
              <w:rPr>
                <w:sz w:val="20"/>
                <w:szCs w:val="20"/>
                <w:color w:val="auto"/>
              </w:rPr>
            </w:pPr>
            <w:r>
              <w:rPr>
                <w:rFonts w:ascii="Arial" w:cs="Arial" w:eastAsia="Arial" w:hAnsi="Arial"/>
                <w:sz w:val="15"/>
                <w:szCs w:val="15"/>
                <w:b w:val="1"/>
                <w:bCs w:val="1"/>
                <w:color w:val="auto"/>
              </w:rPr>
              <w:t>(Dollars in millions)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1"/>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0"/>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(5,178)</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(6,275)</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(5,319)</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(6,671)</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(707)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530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(723)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869</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161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141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350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256</w:t>
            </w:r>
          </w:p>
        </w:tc>
      </w:tr>
      <w:tr>
        <w:trPr>
          <w:trHeight w:val="303"/>
        </w:trPr>
        <w:tc>
          <w:tcPr>
            <w:tcW w:w="35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2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(99)</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(85)</w:t>
            </w:r>
          </w:p>
        </w:tc>
        <w:tc>
          <w:tcPr>
            <w:tcW w:w="8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(157)</w:t>
            </w:r>
          </w:p>
        </w:tc>
      </w:tr>
      <w:tr>
        <w:trPr>
          <w:trHeight w:val="295"/>
        </w:trPr>
        <w:tc>
          <w:tcPr>
            <w:tcW w:w="3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220" w:type="dxa"/>
            <w:vAlign w:val="bottom"/>
            <w:tcBorders>
              <w:bottom w:val="single" w:sz="8" w:color="2C6937"/>
            </w:tcBorders>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(5,777)</w:t>
            </w:r>
          </w:p>
        </w:tc>
        <w:tc>
          <w:tcPr>
            <w:tcW w:w="10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(5,703)</w:t>
            </w:r>
          </w:p>
        </w:tc>
        <w:tc>
          <w:tcPr>
            <w:tcW w:w="8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(5,777)</w:t>
            </w:r>
          </w:p>
        </w:tc>
        <w:tc>
          <w:tcPr>
            <w:tcW w:w="80" w:type="dxa"/>
            <w:vAlign w:val="bottom"/>
          </w:tcPr>
          <w:p>
            <w:pPr>
              <w:spacing w:after="0"/>
              <w:rPr>
                <w:sz w:val="24"/>
                <w:szCs w:val="24"/>
                <w:color w:val="auto"/>
              </w:rPr>
            </w:pPr>
          </w:p>
        </w:tc>
        <w:tc>
          <w:tcPr>
            <w:tcW w:w="40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(5,703)</w:t>
            </w:r>
          </w:p>
        </w:tc>
      </w:tr>
      <w:tr>
        <w:trPr>
          <w:trHeight w:val="26"/>
        </w:trPr>
        <w:tc>
          <w:tcPr>
            <w:tcW w:w="3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4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1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340" w:type="dxa"/>
            <w:vAlign w:val="bottom"/>
            <w:tcBorders>
              <w:bottom w:val="single" w:sz="8" w:color="2C6937"/>
            </w:tcBorders>
          </w:tcPr>
          <w:p>
            <w:pPr>
              <w:spacing w:after="0"/>
              <w:rPr>
                <w:sz w:val="2"/>
                <w:szCs w:val="2"/>
                <w:color w:val="auto"/>
              </w:rPr>
            </w:pPr>
          </w:p>
        </w:tc>
      </w:tr>
      <w:tr>
        <w:trPr>
          <w:trHeight w:val="288"/>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0"/>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(2,354)</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(2,104)</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(2,388)</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(2,059)</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(205)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(245)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(402)</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183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171</w:t>
            </w:r>
          </w:p>
        </w:tc>
      </w:tr>
      <w:tr>
        <w:trPr>
          <w:trHeight w:val="303"/>
        </w:trPr>
        <w:tc>
          <w:tcPr>
            <w:tcW w:w="35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2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(61)</w:t>
            </w:r>
          </w:p>
        </w:tc>
        <w:tc>
          <w:tcPr>
            <w:tcW w:w="8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r>
      <w:tr>
        <w:trPr>
          <w:trHeight w:val="302"/>
        </w:trPr>
        <w:tc>
          <w:tcPr>
            <w:tcW w:w="3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220" w:type="dxa"/>
            <w:vAlign w:val="bottom"/>
            <w:tcBorders>
              <w:bottom w:val="single" w:sz="8" w:color="2C6937"/>
            </w:tcBorders>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(2,470)</w:t>
            </w:r>
          </w:p>
        </w:tc>
        <w:tc>
          <w:tcPr>
            <w:tcW w:w="10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(2,323)</w:t>
            </w:r>
          </w:p>
        </w:tc>
        <w:tc>
          <w:tcPr>
            <w:tcW w:w="8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(2,470)</w:t>
            </w:r>
          </w:p>
        </w:tc>
        <w:tc>
          <w:tcPr>
            <w:tcW w:w="80" w:type="dxa"/>
            <w:vAlign w:val="bottom"/>
          </w:tcPr>
          <w:p>
            <w:pPr>
              <w:spacing w:after="0"/>
              <w:rPr>
                <w:sz w:val="24"/>
                <w:szCs w:val="24"/>
                <w:color w:val="auto"/>
              </w:rPr>
            </w:pPr>
          </w:p>
        </w:tc>
        <w:tc>
          <w:tcPr>
            <w:tcW w:w="40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(2,323)</w:t>
            </w:r>
          </w:p>
        </w:tc>
      </w:tr>
      <w:tr>
        <w:trPr>
          <w:trHeight w:val="20"/>
        </w:trPr>
        <w:tc>
          <w:tcPr>
            <w:tcW w:w="3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14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4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1340" w:type="dxa"/>
            <w:vAlign w:val="bottom"/>
            <w:tcBorders>
              <w:bottom w:val="single" w:sz="8" w:color="2C6937"/>
            </w:tcBorders>
          </w:tcPr>
          <w:p>
            <w:pPr>
              <w:spacing w:after="0" w:line="20" w:lineRule="exact"/>
              <w:rPr>
                <w:sz w:val="1"/>
                <w:szCs w:val="1"/>
                <w:color w:val="auto"/>
              </w:rPr>
            </w:pPr>
          </w:p>
        </w:tc>
      </w:tr>
      <w:tr>
        <w:trPr>
          <w:trHeight w:val="287"/>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0"/>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(7,532)</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(8,379)</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(7,707)</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(8,730)</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(912)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285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(927)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467</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283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533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427</w:t>
            </w:r>
          </w:p>
        </w:tc>
      </w:tr>
      <w:tr>
        <w:trPr>
          <w:trHeight w:val="303"/>
        </w:trPr>
        <w:tc>
          <w:tcPr>
            <w:tcW w:w="35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2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(146)</w:t>
            </w:r>
          </w:p>
        </w:tc>
        <w:tc>
          <w:tcPr>
            <w:tcW w:w="8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(190)</w:t>
            </w:r>
          </w:p>
        </w:tc>
      </w:tr>
      <w:tr>
        <w:trPr>
          <w:trHeight w:val="302"/>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(8,247)</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(8,026)</w:t>
            </w:r>
          </w:p>
        </w:tc>
        <w:tc>
          <w:tcPr>
            <w:tcW w:w="8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(8,247)</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(8,026)</w:t>
            </w:r>
          </w:p>
        </w:tc>
      </w:tr>
      <w:tr>
        <w:trPr>
          <w:trHeight w:val="20"/>
        </w:trPr>
        <w:tc>
          <w:tcPr>
            <w:tcW w:w="3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single-family provision for loan losses for the three and six months ended June 30, 2025 was primarily driven by lower actual and projected home price growth. During the three and six months ended June 30, 2025, forecasted home price growth was revised downwards compared to our previous estimates. In addition, actual home prices came in lower than we had previously projected. Lower home prices heighten the likelihood that loans will default and increase the amount of losses on loans that default, which impacts our estimate of losses and ultimately increases our loss reserves and provision for loan losses.</w:t>
      </w:r>
    </w:p>
    <w:p>
      <w:pPr>
        <w:spacing w:after="0" w:line="235"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single-family benefit for loan losses for the three and six months ended June 30, 2024 was primarily driven by a benefit from actual and forecasted home price growth, partially offset by a provision from changes in loan activity, as described below:</w:t>
      </w:r>
    </w:p>
    <w:p>
      <w:pPr>
        <w:spacing w:after="0" w:line="41" w:lineRule="exact"/>
        <w:rPr>
          <w:sz w:val="20"/>
          <w:szCs w:val="20"/>
          <w:color w:val="auto"/>
        </w:rPr>
      </w:pPr>
    </w:p>
    <w:p>
      <w:pPr>
        <w:ind w:left="620" w:right="420" w:hanging="307"/>
        <w:spacing w:after="0" w:line="310" w:lineRule="auto"/>
        <w:tabs>
          <w:tab w:leader="none" w:pos="609" w:val="left"/>
        </w:tabs>
        <w:numPr>
          <w:ilvl w:val="0"/>
          <w:numId w:val="67"/>
        </w:numPr>
        <w:rPr>
          <w:rFonts w:ascii="Arial" w:cs="Arial" w:eastAsia="Arial" w:hAnsi="Arial"/>
          <w:sz w:val="15"/>
          <w:szCs w:val="15"/>
          <w:color w:val="auto"/>
        </w:rPr>
      </w:pPr>
      <w:r>
        <w:rPr>
          <w:rFonts w:ascii="Arial" w:cs="Arial" w:eastAsia="Arial" w:hAnsi="Arial"/>
          <w:sz w:val="16"/>
          <w:szCs w:val="16"/>
          <w:color w:val="auto"/>
        </w:rPr>
        <w:t>Benefit from actual and forecasted home price growth. During the three and six months ended June 30, 2024, actual home prices appreciated more than originally projected and our forecast of future home prices also improved.</w:t>
      </w:r>
    </w:p>
    <w:p>
      <w:pPr>
        <w:spacing w:after="0" w:line="27" w:lineRule="exact"/>
        <w:rPr>
          <w:rFonts w:ascii="Arial" w:cs="Arial" w:eastAsia="Arial" w:hAnsi="Arial"/>
          <w:sz w:val="15"/>
          <w:szCs w:val="15"/>
          <w:color w:val="auto"/>
        </w:rPr>
      </w:pPr>
    </w:p>
    <w:p>
      <w:pPr>
        <w:ind w:left="620" w:hanging="307"/>
        <w:spacing w:after="0" w:line="266" w:lineRule="auto"/>
        <w:tabs>
          <w:tab w:leader="none" w:pos="609" w:val="left"/>
        </w:tabs>
        <w:numPr>
          <w:ilvl w:val="0"/>
          <w:numId w:val="67"/>
        </w:numPr>
        <w:rPr>
          <w:rFonts w:ascii="Arial" w:cs="Arial" w:eastAsia="Arial" w:hAnsi="Arial"/>
          <w:sz w:val="15"/>
          <w:szCs w:val="15"/>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single-family acquisitions for the three and six months ended June 30, 2024, which primarily consisted of purchase loans. Purchase loans generally have higher original LTV ratios than refinance loans; therefore, purchase loans have a higher estimated risk of default and loss severity in the allowance than refinance loans and a correspondingly higher loan loss provision at the time of acquisition.</w:t>
      </w:r>
    </w:p>
    <w:p>
      <w:pPr>
        <w:spacing w:after="0" w:line="35"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Our multifamily provision for loan losses for the three and six months ended June 30, 2025 was primarily driven by declines in actual and estimated near-term projected multifamily property values and new delinquencies during the second quarter.</w:t>
      </w:r>
    </w:p>
    <w:p>
      <w:pPr>
        <w:spacing w:after="0" w:line="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multifamily provision for loan losses for the three months ended June 30, 2024 was primarily driven by continued declines in estimated actual and near-term projected multifamily property values and the impact of the then-new 30-day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4" w:name="page85"/>
    <w:bookmarkEnd w:id="84"/>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loan delinquencies in our multifamily guaranty book of business, including provision attributable to a portfolio of approximately $600 million of adjustable-rate conventional loans.</w:t>
      </w:r>
    </w:p>
    <w:p>
      <w:pPr>
        <w:spacing w:after="0" w:line="4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multifamily provision for loan losses for the six months ended June 30, 2024 was primarily driven by declines in estimated actual and near-term projected multifamily property values, the impact of the then-new 30-day loan delinquencies in our multifamily guaranty book of business, and increases in actual and projected interest rates.</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investments in securities.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82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16"/>
                <w:szCs w:val="16"/>
                <w:color w:val="auto"/>
              </w:rPr>
            </w:pPr>
          </w:p>
        </w:tc>
      </w:tr>
      <w:tr>
        <w:trPr>
          <w:trHeight w:val="185"/>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jc w:val="right"/>
              <w:ind w:right="184"/>
              <w:spacing w:after="0"/>
              <w:rPr>
                <w:sz w:val="20"/>
                <w:szCs w:val="20"/>
                <w:color w:val="auto"/>
              </w:rPr>
            </w:pPr>
            <w:r>
              <w:rPr>
                <w:rFonts w:ascii="Arial" w:cs="Arial" w:eastAsia="Arial" w:hAnsi="Arial"/>
                <w:sz w:val="14"/>
                <w:szCs w:val="14"/>
                <w:b w:val="1"/>
                <w:bCs w:val="1"/>
                <w:color w:val="auto"/>
              </w:rPr>
              <w:t>December 31, 2024</w:t>
            </w:r>
          </w:p>
        </w:tc>
      </w:tr>
      <w:tr>
        <w:trPr>
          <w:trHeight w:val="199"/>
        </w:trPr>
        <w:tc>
          <w:tcPr>
            <w:tcW w:w="760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60" w:type="dxa"/>
            <w:vAlign w:val="bottom"/>
          </w:tcPr>
          <w:p>
            <w:pPr>
              <w:spacing w:after="0"/>
              <w:rPr>
                <w:sz w:val="17"/>
                <w:szCs w:val="17"/>
                <w:color w:val="auto"/>
              </w:rPr>
            </w:pPr>
          </w:p>
        </w:tc>
        <w:tc>
          <w:tcPr>
            <w:tcW w:w="3380" w:type="dxa"/>
            <w:vAlign w:val="bottom"/>
            <w:gridSpan w:val="4"/>
          </w:tcPr>
          <w:p>
            <w:pPr>
              <w:jc w:val="right"/>
              <w:ind w:right="110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600" w:type="dxa"/>
            <w:vAlign w:val="bottom"/>
            <w:gridSpan w:val="2"/>
          </w:tcPr>
          <w:p>
            <w:pPr>
              <w:ind w:left="20"/>
              <w:spacing w:after="0"/>
              <w:rPr>
                <w:sz w:val="20"/>
                <w:szCs w:val="20"/>
                <w:color w:val="auto"/>
              </w:rPr>
            </w:pPr>
            <w:r>
              <w:rPr>
                <w:rFonts w:ascii="Arial" w:cs="Arial" w:eastAsia="Arial" w:hAnsi="Arial"/>
                <w:sz w:val="15"/>
                <w:szCs w:val="15"/>
                <w:color w:val="auto"/>
              </w:rPr>
              <w:t>Mortgage-related securities (includes $275 million and $300 million, respectively, related to consolidated</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600" w:type="dxa"/>
            <w:vAlign w:val="bottom"/>
            <w:gridSpan w:val="2"/>
          </w:tcPr>
          <w:p>
            <w:pPr>
              <w:ind w:left="180"/>
              <w:spacing w:after="0"/>
              <w:rPr>
                <w:sz w:val="20"/>
                <w:szCs w:val="20"/>
                <w:color w:val="auto"/>
              </w:rPr>
            </w:pPr>
            <w:r>
              <w:rPr>
                <w:rFonts w:ascii="Arial" w:cs="Arial" w:eastAsia="Arial" w:hAnsi="Arial"/>
                <w:sz w:val="15"/>
                <w:szCs w:val="15"/>
                <w:color w:val="auto"/>
              </w:rPr>
              <w:t>trusts)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1,185</w:t>
            </w:r>
          </w:p>
        </w:tc>
        <w:tc>
          <w:tcPr>
            <w:tcW w:w="16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1,098</w:t>
            </w:r>
          </w:p>
        </w:tc>
      </w:tr>
      <w:tr>
        <w:trPr>
          <w:trHeight w:val="208"/>
        </w:trPr>
        <w:tc>
          <w:tcPr>
            <w:tcW w:w="7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Non-mortgage-related securities</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75,807</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77,630</w:t>
            </w:r>
          </w:p>
        </w:tc>
      </w:tr>
      <w:tr>
        <w:trPr>
          <w:trHeight w:val="224"/>
        </w:trPr>
        <w:tc>
          <w:tcPr>
            <w:tcW w:w="7600" w:type="dxa"/>
            <w:vAlign w:val="bottom"/>
            <w:gridSpan w:val="2"/>
          </w:tcPr>
          <w:p>
            <w:pPr>
              <w:ind w:left="220"/>
              <w:spacing w:after="0"/>
              <w:rPr>
                <w:sz w:val="20"/>
                <w:szCs w:val="20"/>
                <w:color w:val="auto"/>
              </w:rPr>
            </w:pPr>
            <w:r>
              <w:rPr>
                <w:rFonts w:ascii="Arial" w:cs="Arial" w:eastAsia="Arial" w:hAnsi="Arial"/>
                <w:sz w:val="15"/>
                <w:szCs w:val="15"/>
                <w:color w:val="auto"/>
              </w:rPr>
              <w:t>Total trading securities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76,992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78,728</w:t>
            </w:r>
          </w:p>
        </w:tc>
      </w:tr>
      <w:tr>
        <w:trPr>
          <w:trHeight w:val="208"/>
        </w:trPr>
        <w:tc>
          <w:tcPr>
            <w:tcW w:w="7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Available-for-sale securities (amortized cost of $451 million and $487 million, respectively)</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438</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469</w:t>
            </w:r>
          </w:p>
        </w:tc>
      </w:tr>
      <w:tr>
        <w:trPr>
          <w:trHeight w:val="199"/>
        </w:trPr>
        <w:tc>
          <w:tcPr>
            <w:tcW w:w="7600" w:type="dxa"/>
            <w:vAlign w:val="bottom"/>
            <w:gridSpan w:val="2"/>
          </w:tcPr>
          <w:p>
            <w:pPr>
              <w:ind w:left="120"/>
              <w:spacing w:after="0"/>
              <w:rPr>
                <w:sz w:val="20"/>
                <w:szCs w:val="20"/>
                <w:color w:val="auto"/>
              </w:rPr>
            </w:pPr>
            <w:r>
              <w:rPr>
                <w:rFonts w:ascii="Arial" w:cs="Arial" w:eastAsia="Arial" w:hAnsi="Arial"/>
                <w:sz w:val="15"/>
                <w:szCs w:val="15"/>
                <w:color w:val="auto"/>
              </w:rPr>
              <w:t>Total investments in securities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77,430</w:t>
            </w:r>
          </w:p>
        </w:tc>
        <w:tc>
          <w:tcPr>
            <w:tcW w:w="16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79,197</w:t>
            </w:r>
          </w:p>
        </w:tc>
      </w:tr>
      <w:tr>
        <w:trPr>
          <w:trHeight w:val="20"/>
        </w:trPr>
        <w:tc>
          <w:tcPr>
            <w:tcW w:w="7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net trading gains (losses).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For the Three Months Ended June</w:t>
            </w:r>
          </w:p>
        </w:tc>
        <w:tc>
          <w:tcPr>
            <w:tcW w:w="2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For the Six Months Ended June 30,</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jc w:val="right"/>
              <w:ind w:right="147"/>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2C6937"/>
            </w:tcBorders>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2C6937"/>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266"/>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307"/>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32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420" w:type="dxa"/>
            <w:vAlign w:val="bottom"/>
          </w:tcPr>
          <w:p>
            <w:pPr>
              <w:spacing w:after="0"/>
              <w:rPr>
                <w:sz w:val="20"/>
                <w:szCs w:val="20"/>
                <w:color w:val="auto"/>
              </w:rPr>
            </w:pPr>
            <w:r>
              <w:rPr>
                <w:rFonts w:ascii="Arial" w:cs="Arial" w:eastAsia="Arial" w:hAnsi="Arial"/>
                <w:sz w:val="15"/>
                <w:szCs w:val="15"/>
                <w:color w:val="auto"/>
              </w:rPr>
              <w:t>Net trading gains (losses)</w:t>
            </w:r>
          </w:p>
        </w:tc>
        <w:tc>
          <w:tcPr>
            <w:tcW w:w="26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329</w:t>
            </w:r>
          </w:p>
        </w:tc>
        <w:tc>
          <w:tcPr>
            <w:tcW w:w="4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121</w:t>
            </w:r>
          </w:p>
        </w:tc>
        <w:tc>
          <w:tcPr>
            <w:tcW w:w="160" w:type="dxa"/>
            <w:vAlign w:val="bottom"/>
          </w:tcPr>
          <w:p>
            <w:pPr>
              <w:spacing w:after="0"/>
              <w:rPr>
                <w:sz w:val="18"/>
                <w:szCs w:val="18"/>
                <w:color w:val="auto"/>
              </w:rPr>
            </w:pPr>
          </w:p>
        </w:tc>
        <w:tc>
          <w:tcPr>
            <w:tcW w:w="720" w:type="dxa"/>
            <w:vAlign w:val="bottom"/>
          </w:tcPr>
          <w:p>
            <w:pPr>
              <w:jc w:val="right"/>
              <w:ind w:right="548"/>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ind w:right="43"/>
              <w:spacing w:after="0"/>
              <w:rPr>
                <w:sz w:val="20"/>
                <w:szCs w:val="20"/>
                <w:color w:val="auto"/>
              </w:rPr>
            </w:pPr>
            <w:r>
              <w:rPr>
                <w:rFonts w:ascii="Arial" w:cs="Arial" w:eastAsia="Arial" w:hAnsi="Arial"/>
                <w:sz w:val="15"/>
                <w:szCs w:val="15"/>
                <w:b w:val="1"/>
                <w:bCs w:val="1"/>
                <w:color w:val="auto"/>
              </w:rPr>
              <w:t>983</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Arial" w:cs="Arial" w:eastAsia="Arial" w:hAnsi="Arial"/>
                <w:sz w:val="15"/>
                <w:szCs w:val="15"/>
                <w:color w:val="auto"/>
              </w:rPr>
              <w:t>Net trading gains (losses) recognized in the period related to securities still held at period</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60"/>
              <w:spacing w:after="0"/>
              <w:rPr>
                <w:sz w:val="20"/>
                <w:szCs w:val="20"/>
                <w:color w:val="auto"/>
              </w:rPr>
            </w:pPr>
            <w:r>
              <w:rPr>
                <w:rFonts w:ascii="Arial" w:cs="Arial" w:eastAsia="Arial" w:hAnsi="Arial"/>
                <w:sz w:val="15"/>
                <w:szCs w:val="15"/>
                <w:color w:val="auto"/>
              </w:rPr>
              <w:t>end</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306</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43"/>
              <w:spacing w:after="0"/>
              <w:rPr>
                <w:sz w:val="20"/>
                <w:szCs w:val="20"/>
                <w:color w:val="auto"/>
              </w:rPr>
            </w:pPr>
            <w:r>
              <w:rPr>
                <w:rFonts w:ascii="Arial" w:cs="Arial" w:eastAsia="Arial" w:hAnsi="Arial"/>
                <w:sz w:val="15"/>
                <w:szCs w:val="15"/>
                <w:b w:val="1"/>
                <w:bCs w:val="1"/>
                <w:color w:val="auto"/>
              </w:rPr>
              <w:t>887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gross unrealized gains or losses on our available-for-sale (“AFS”) investment portfolio as of June 30, 2025 or December 31, 2024.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allowance for credit losses on our AFS investment portfolio was not significant as of June 30, 2025 or 2024.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AFS securities in the first half of 2025 or the first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5" w:name="page86"/>
    <w:bookmarkEnd w:id="85"/>
    <w:p>
      <w:pPr>
        <w:ind w:left="6300"/>
        <w:spacing w:after="0"/>
        <w:rPr>
          <w:sz w:val="20"/>
          <w:szCs w:val="20"/>
          <w:color w:val="auto"/>
        </w:rPr>
      </w:pPr>
      <w:r>
        <w:rPr>
          <w:rFonts w:ascii="Arial" w:cs="Arial" w:eastAsia="Arial" w:hAnsi="Arial"/>
          <w:sz w:val="14"/>
          <w:szCs w:val="14"/>
          <w:color w:val="05314D"/>
        </w:rPr>
        <w:t>Notes to Condensed Consolidated Financial Statements | Financial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80"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As of June 30, 2025,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$192.2 billion and $200.1 billion as of June 30, 2025 and December 31, 2024, respectively.</w:t>
      </w:r>
    </w:p>
    <w:p>
      <w:pPr>
        <w:spacing w:after="0" w:line="4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2024</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Exposure</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2,365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2,319</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2,484</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2,432</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9,008</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51</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2,046</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8,914</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1,954</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11,373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64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4,365</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11,398</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4,386</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line="218" w:lineRule="auto"/>
        <w:tabs>
          <w:tab w:leader="none" w:pos="233"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w:t>
      </w:r>
    </w:p>
    <w:p>
      <w:pPr>
        <w:ind w:left="220" w:hanging="217"/>
        <w:spacing w:after="0"/>
        <w:tabs>
          <w:tab w:leader="none" w:pos="22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6" w:name="page87"/>
    <w:bookmarkEnd w:id="86"/>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6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880"/>
              <w:spacing w:after="0"/>
              <w:rPr>
                <w:sz w:val="20"/>
                <w:szCs w:val="20"/>
                <w:color w:val="auto"/>
              </w:rPr>
            </w:pPr>
            <w:r>
              <w:rPr>
                <w:rFonts w:ascii="Arial" w:cs="Arial" w:eastAsia="Arial" w:hAnsi="Arial"/>
                <w:sz w:val="14"/>
                <w:szCs w:val="14"/>
                <w:b w:val="1"/>
                <w:bCs w:val="1"/>
                <w:color w:val="auto"/>
              </w:rPr>
              <w:t>June 30, 2025</w:t>
            </w:r>
          </w:p>
        </w:tc>
        <w:tc>
          <w:tcPr>
            <w:tcW w:w="1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2024</w:t>
            </w:r>
          </w:p>
        </w:tc>
      </w:tr>
      <w:tr>
        <w:trPr>
          <w:trHeight w:val="165"/>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5"/>
        </w:trPr>
        <w:tc>
          <w:tcPr>
            <w:tcW w:w="48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Borders>
              <w:bottom w:val="single" w:sz="8" w:color="2C6937"/>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6"/>
                <w:szCs w:val="16"/>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88"/>
              <w:spacing w:after="0"/>
              <w:rPr>
                <w:sz w:val="20"/>
                <w:szCs w:val="20"/>
                <w:color w:val="auto"/>
              </w:rPr>
            </w:pPr>
            <w:r>
              <w:rPr>
                <w:rFonts w:ascii="Arial" w:cs="Arial" w:eastAsia="Arial" w:hAnsi="Arial"/>
                <w:sz w:val="15"/>
                <w:szCs w:val="15"/>
                <w:b w:val="1"/>
                <w:bCs w:val="1"/>
                <w:color w:val="auto"/>
              </w:rPr>
              <w:t>11,095</w:t>
            </w:r>
          </w:p>
        </w:tc>
        <w:tc>
          <w:tcPr>
            <w:tcW w:w="19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4.26 %  </w:t>
            </w:r>
            <w:r>
              <w:rPr>
                <w:rFonts w:ascii="Arial" w:cs="Arial" w:eastAsia="Arial" w:hAnsi="Arial"/>
                <w:sz w:val="15"/>
                <w:szCs w:val="15"/>
                <w:color w:val="auto"/>
              </w:rPr>
              <w:t>$</w:t>
            </w:r>
          </w:p>
        </w:tc>
        <w:tc>
          <w:tcPr>
            <w:tcW w:w="1320" w:type="dxa"/>
            <w:vAlign w:val="bottom"/>
          </w:tcPr>
          <w:p>
            <w:pPr>
              <w:jc w:val="right"/>
              <w:ind w:right="108"/>
              <w:spacing w:after="0"/>
              <w:rPr>
                <w:sz w:val="20"/>
                <w:szCs w:val="20"/>
                <w:color w:val="auto"/>
              </w:rPr>
            </w:pPr>
            <w:r>
              <w:rPr>
                <w:rFonts w:ascii="Arial" w:cs="Arial" w:eastAsia="Arial" w:hAnsi="Arial"/>
                <w:sz w:val="15"/>
                <w:szCs w:val="15"/>
                <w:color w:val="auto"/>
              </w:rPr>
              <w:t>11,188</w:t>
            </w:r>
          </w:p>
        </w:tc>
        <w:tc>
          <w:tcPr>
            <w:tcW w:w="1560" w:type="dxa"/>
            <w:vAlign w:val="bottom"/>
          </w:tcPr>
          <w:p>
            <w:pPr>
              <w:jc w:val="right"/>
              <w:spacing w:after="0"/>
              <w:rPr>
                <w:sz w:val="20"/>
                <w:szCs w:val="20"/>
                <w:color w:val="auto"/>
              </w:rPr>
            </w:pPr>
            <w:r>
              <w:rPr>
                <w:rFonts w:ascii="Arial" w:cs="Arial" w:eastAsia="Arial" w:hAnsi="Arial"/>
                <w:sz w:val="15"/>
                <w:szCs w:val="15"/>
                <w:color w:val="auto"/>
              </w:rPr>
              <w:t>4.33 %</w:t>
            </w:r>
          </w:p>
        </w:tc>
      </w:tr>
    </w:tbl>
    <w:p>
      <w:pPr>
        <w:spacing w:after="0" w:line="102" w:lineRule="exact"/>
        <w:rPr>
          <w:sz w:val="20"/>
          <w:szCs w:val="20"/>
          <w:color w:val="auto"/>
        </w:rPr>
      </w:pPr>
    </w:p>
    <w:p>
      <w:pPr>
        <w:ind w:left="220" w:hanging="217"/>
        <w:spacing w:after="0"/>
        <w:tabs>
          <w:tab w:leader="none" w:pos="220" w:val="left"/>
        </w:tabs>
        <w:numPr>
          <w:ilvl w:val="0"/>
          <w:numId w:val="69"/>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85"/>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jc w:val="right"/>
              <w:ind w:right="164"/>
              <w:spacing w:after="0"/>
              <w:rPr>
                <w:sz w:val="20"/>
                <w:szCs w:val="20"/>
                <w:color w:val="auto"/>
              </w:rPr>
            </w:pPr>
            <w:r>
              <w:rPr>
                <w:rFonts w:ascii="Arial" w:cs="Arial" w:eastAsia="Arial" w:hAnsi="Arial"/>
                <w:sz w:val="14"/>
                <w:szCs w:val="14"/>
                <w:b w:val="1"/>
                <w:bCs w:val="1"/>
                <w:color w:val="auto"/>
              </w:rPr>
              <w:t>June 30, 2025</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220" w:type="dxa"/>
            <w:vAlign w:val="bottom"/>
            <w:tcBorders>
              <w:bottom w:val="single" w:sz="8" w:color="2C6937"/>
            </w:tcBorders>
          </w:tcPr>
          <w:p>
            <w:pPr>
              <w:spacing w:after="0"/>
              <w:rPr>
                <w:sz w:val="16"/>
                <w:szCs w:val="16"/>
                <w:color w:val="auto"/>
              </w:rPr>
            </w:pPr>
          </w:p>
        </w:tc>
      </w:tr>
      <w:tr>
        <w:trPr>
          <w:trHeight w:val="165"/>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4"/>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8"/>
              </w:rPr>
              <w:t>Average Interest</w:t>
            </w:r>
          </w:p>
        </w:tc>
      </w:tr>
      <w:tr>
        <w:trPr>
          <w:trHeight w:val="203"/>
        </w:trPr>
        <w:tc>
          <w:tcPr>
            <w:tcW w:w="3500" w:type="dxa"/>
            <w:vAlign w:val="bottom"/>
          </w:tcPr>
          <w:p>
            <w:pPr>
              <w:spacing w:after="0"/>
              <w:rPr>
                <w:sz w:val="17"/>
                <w:szCs w:val="17"/>
                <w:color w:val="auto"/>
              </w:rPr>
            </w:pPr>
          </w:p>
        </w:tc>
        <w:tc>
          <w:tcPr>
            <w:tcW w:w="126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144"/>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ind w:left="12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4"/>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2025 - 2030</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34,631</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3.50 %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44,655</w:t>
            </w:r>
          </w:p>
        </w:tc>
        <w:tc>
          <w:tcPr>
            <w:tcW w:w="1220" w:type="dxa"/>
            <w:vAlign w:val="bottom"/>
          </w:tcPr>
          <w:p>
            <w:pPr>
              <w:jc w:val="right"/>
              <w:spacing w:after="0"/>
              <w:rPr>
                <w:sz w:val="20"/>
                <w:szCs w:val="20"/>
                <w:color w:val="auto"/>
              </w:rPr>
            </w:pPr>
            <w:r>
              <w:rPr>
                <w:rFonts w:ascii="Arial" w:cs="Arial" w:eastAsia="Arial" w:hAnsi="Arial"/>
                <w:sz w:val="15"/>
                <w:szCs w:val="15"/>
                <w:color w:val="auto"/>
              </w:rPr>
              <w:t>2.87 %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2025 - 2035</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41,716</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2025 - 2034</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42,208</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2.21</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2026 - 2038</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6,602</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2025 - 2038</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6,632</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3.98</w:t>
            </w:r>
          </w:p>
        </w:tc>
      </w:tr>
      <w:tr>
        <w:trPr>
          <w:trHeight w:val="200"/>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82,949</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93,495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2.66</w:t>
            </w:r>
          </w:p>
        </w:tc>
      </w:tr>
      <w:tr>
        <w:trPr>
          <w:trHeight w:val="195"/>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2026 - 2027</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32,437</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2026 - 2027</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32,435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4.67</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1,586</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11.47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2,055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10.99</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2037</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249</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249</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8.10</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34,272</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34,739</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5.07</w:t>
            </w:r>
          </w:p>
        </w:tc>
      </w:tr>
      <w:tr>
        <w:trPr>
          <w:trHeight w:val="198"/>
        </w:trPr>
        <w:tc>
          <w:tcPr>
            <w:tcW w:w="3500" w:type="dxa"/>
            <w:vAlign w:val="bottom"/>
          </w:tcPr>
          <w:p>
            <w:pPr>
              <w:ind w:left="20"/>
              <w:spacing w:after="0" w:line="198"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117,221</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128,234</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3.30</w:t>
            </w:r>
          </w:p>
        </w:tc>
      </w:tr>
      <w:tr>
        <w:trPr>
          <w:trHeight w:val="20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2025 - 2064</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4,082,196</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2025 - 2063</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4,088,675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2.96</w:t>
            </w:r>
          </w:p>
        </w:tc>
      </w:tr>
      <w:tr>
        <w:trPr>
          <w:trHeight w:val="199"/>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6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4,199,417</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3.06 %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4,216,909</w:t>
            </w:r>
          </w:p>
        </w:tc>
        <w:tc>
          <w:tcPr>
            <w:tcW w:w="1220" w:type="dxa"/>
            <w:vAlign w:val="bottom"/>
          </w:tcPr>
          <w:p>
            <w:pPr>
              <w:jc w:val="right"/>
              <w:spacing w:after="0"/>
              <w:rPr>
                <w:sz w:val="20"/>
                <w:szCs w:val="20"/>
                <w:color w:val="auto"/>
              </w:rPr>
            </w:pPr>
            <w:r>
              <w:rPr>
                <w:rFonts w:ascii="Arial" w:cs="Arial" w:eastAsia="Arial" w:hAnsi="Arial"/>
                <w:sz w:val="15"/>
                <w:szCs w:val="15"/>
                <w:color w:val="auto"/>
              </w:rPr>
              <w:t>2.97 %</w:t>
            </w: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9" w:lineRule="exact"/>
        <w:rPr>
          <w:sz w:val="20"/>
          <w:szCs w:val="20"/>
          <w:color w:val="auto"/>
        </w:rPr>
      </w:pPr>
    </w:p>
    <w:p>
      <w:pPr>
        <w:ind w:left="240" w:right="660" w:hanging="237"/>
        <w:spacing w:after="0" w:line="275" w:lineRule="auto"/>
        <w:tabs>
          <w:tab w:leader="none" w:pos="233" w:val="left"/>
        </w:tabs>
        <w:numPr>
          <w:ilvl w:val="0"/>
          <w:numId w:val="70"/>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Consists of CAS debt issued prior to November 2018, a portion of which is reported at fair value.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0"/>
        </w:numPr>
        <w:rPr>
          <w:rFonts w:ascii="Arial" w:cs="Arial" w:eastAsia="Arial" w:hAnsi="Arial"/>
          <w:sz w:val="9"/>
          <w:szCs w:val="9"/>
          <w:color w:val="auto"/>
        </w:rPr>
      </w:pPr>
      <w:r>
        <w:rPr>
          <w:rFonts w:ascii="Arial" w:cs="Arial" w:eastAsia="Arial" w:hAnsi="Arial"/>
          <w:sz w:val="14"/>
          <w:szCs w:val="14"/>
          <w:color w:val="auto"/>
        </w:rPr>
        <w:t>Consists of structured debt instruments that are reported at fair value.</w:t>
      </w:r>
    </w:p>
    <w:p>
      <w:pPr>
        <w:spacing w:after="0" w:line="33" w:lineRule="exact"/>
        <w:rPr>
          <w:rFonts w:ascii="Arial" w:cs="Arial" w:eastAsia="Arial" w:hAnsi="Arial"/>
          <w:sz w:val="9"/>
          <w:szCs w:val="9"/>
          <w:color w:val="auto"/>
        </w:rPr>
      </w:pPr>
    </w:p>
    <w:p>
      <w:pPr>
        <w:ind w:left="240" w:right="320" w:hanging="237"/>
        <w:spacing w:after="0" w:line="226" w:lineRule="auto"/>
        <w:tabs>
          <w:tab w:leader="none" w:pos="233"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$2.9 billion and $3.6 billion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7" w:name="page88"/>
    <w:bookmarkEnd w:id="87"/>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9, Derivative Instruments” in our 2024 Form 10-K for additional information on interest-rate risk management.</w:t>
      </w:r>
    </w:p>
    <w:p>
      <w:pPr>
        <w:spacing w:after="0" w:line="4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3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See “Note 13, Fair Value” for additional information on derivatives recorded at fair value.</w:t>
      </w:r>
    </w:p>
    <w:p>
      <w:pPr>
        <w:spacing w:after="0" w:line="7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Hedge Accounting</w:t>
      </w:r>
    </w:p>
    <w:p>
      <w:pPr>
        <w:spacing w:after="0" w:line="6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We record all gains and losses, including accrued interest, on derivatives while they are not in a qualifying designated hedging relationship in “Fair value gains (losses), net” in our condensed consolidated statements of operations and comprehensive income. The objective of our fair value hedges is to reduce GAAP earnings volatility related to changes in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368300</wp:posOffset>
            </wp:positionV>
            <wp:extent cx="68059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88" w:name="page89"/>
    <w:bookmarkEnd w:id="88"/>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6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As of June 30, 2025</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2024</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11"/>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Asset</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5"/>
                <w:szCs w:val="15"/>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29,648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26,704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17,185</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10,057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46,833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36,761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188,357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146,628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136,451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135,686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7,546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6,916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1,356</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341,217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295,882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(403)</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1,480</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388,050</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332,643</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30,345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64,873</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78,934</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99,818</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113,451</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29,931</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28,775</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517,799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474,869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71"/>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ind w:left="240" w:right="280" w:hanging="237"/>
        <w:spacing w:after="0" w:line="264" w:lineRule="auto"/>
        <w:tabs>
          <w:tab w:leader="none" w:pos="233" w:val="left"/>
        </w:tabs>
        <w:numPr>
          <w:ilvl w:val="0"/>
          <w:numId w:val="71"/>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$1.3 billion and $2.0 billion as of June 30, 2025 and December 31, 2024, respectively. Cash collateral received was $208 million and $3 million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9" w:name="page90"/>
    <w:bookmarkEnd w:id="89"/>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by type of derivative instrument, the fair value gains and losses, net on our derivatives.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7"/>
          </w:tcPr>
          <w:p>
            <w:pPr>
              <w:ind w:left="20"/>
              <w:spacing w:after="0"/>
              <w:rPr>
                <w:sz w:val="20"/>
                <w:szCs w:val="20"/>
                <w:color w:val="auto"/>
              </w:rPr>
            </w:pPr>
            <w:r>
              <w:rPr>
                <w:rFonts w:ascii="Arial" w:cs="Arial" w:eastAsia="Arial" w:hAnsi="Arial"/>
                <w:sz w:val="14"/>
                <w:szCs w:val="14"/>
                <w:b w:val="1"/>
                <w:bCs w:val="1"/>
                <w:color w:val="auto"/>
              </w:rPr>
              <w:t>For the Three Months Ended June</w:t>
            </w:r>
          </w:p>
        </w:tc>
        <w:tc>
          <w:tcPr>
            <w:tcW w:w="120" w:type="dxa"/>
            <w:vAlign w:val="bottom"/>
          </w:tcPr>
          <w:p>
            <w:pPr>
              <w:spacing w:after="0"/>
              <w:rPr>
                <w:sz w:val="14"/>
                <w:szCs w:val="14"/>
                <w:color w:val="auto"/>
              </w:rPr>
            </w:pPr>
          </w:p>
        </w:tc>
        <w:tc>
          <w:tcPr>
            <w:tcW w:w="2180" w:type="dxa"/>
            <w:vAlign w:val="bottom"/>
            <w:gridSpan w:val="5"/>
          </w:tcPr>
          <w:p>
            <w:pPr>
              <w:jc w:val="right"/>
              <w:ind w:right="43"/>
              <w:spacing w:after="0"/>
              <w:rPr>
                <w:sz w:val="20"/>
                <w:szCs w:val="20"/>
                <w:color w:val="auto"/>
              </w:rPr>
            </w:pPr>
            <w:r>
              <w:rPr>
                <w:rFonts w:ascii="Arial" w:cs="Arial" w:eastAsia="Arial" w:hAnsi="Arial"/>
                <w:sz w:val="14"/>
                <w:szCs w:val="14"/>
                <w:b w:val="1"/>
                <w:bCs w:val="1"/>
                <w:color w:val="auto"/>
                <w:w w:val="97"/>
              </w:rPr>
              <w:t>For the Six Months Ended June</w:t>
            </w:r>
          </w:p>
        </w:tc>
      </w:tr>
      <w:tr>
        <w:trPr>
          <w:trHeight w:val="177"/>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w w:val="81"/>
              </w:rPr>
              <w:t>30,</w:t>
            </w:r>
          </w:p>
        </w:tc>
        <w:tc>
          <w:tcPr>
            <w:tcW w:w="840" w:type="dxa"/>
            <w:vAlign w:val="bottom"/>
            <w:tcBorders>
              <w:bottom w:val="single" w:sz="8" w:color="2C6937"/>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w w:val="81"/>
              </w:rPr>
              <w:t>30,</w:t>
            </w:r>
          </w:p>
        </w:tc>
        <w:tc>
          <w:tcPr>
            <w:tcW w:w="840" w:type="dxa"/>
            <w:vAlign w:val="bottom"/>
            <w:tcBorders>
              <w:bottom w:val="single" w:sz="8" w:color="2C6937"/>
            </w:tcBorders>
          </w:tcPr>
          <w:p>
            <w:pPr>
              <w:spacing w:after="0"/>
              <w:rPr>
                <w:sz w:val="15"/>
                <w:szCs w:val="15"/>
                <w:color w:val="auto"/>
              </w:rPr>
            </w:pPr>
          </w:p>
        </w:tc>
      </w:tr>
      <w:tr>
        <w:trPr>
          <w:trHeight w:val="185"/>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284"/>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2024</w:t>
            </w:r>
          </w:p>
        </w:tc>
      </w:tr>
      <w:tr>
        <w:trPr>
          <w:trHeight w:val="185"/>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42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240" w:type="dxa"/>
            <w:vAlign w:val="bottom"/>
          </w:tcPr>
          <w:p>
            <w:pPr>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(331)</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237</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(1,210)</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1,599</w:t>
            </w:r>
          </w:p>
        </w:tc>
      </w:tr>
      <w:tr>
        <w:trPr>
          <w:trHeight w:val="206"/>
        </w:trPr>
        <w:tc>
          <w:tcPr>
            <w:tcW w:w="642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209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1,617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(487)</w:t>
            </w:r>
          </w:p>
        </w:tc>
      </w:tr>
      <w:tr>
        <w:trPr>
          <w:trHeight w:val="206"/>
        </w:trPr>
        <w:tc>
          <w:tcPr>
            <w:tcW w:w="642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8"/>
        </w:trPr>
        <w:tc>
          <w:tcPr>
            <w:tcW w:w="642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4"/>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42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06"/>
        </w:trPr>
        <w:tc>
          <w:tcPr>
            <w:tcW w:w="642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6"/>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8"/>
        </w:trPr>
        <w:tc>
          <w:tcPr>
            <w:tcW w:w="62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p>
        </w:tc>
        <w:tc>
          <w:tcPr>
            <w:tcW w:w="1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(183)</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(251)</w:t>
            </w:r>
          </w:p>
        </w:tc>
        <w:tc>
          <w:tcPr>
            <w:tcW w:w="2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(401)</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(450)</w:t>
            </w:r>
          </w:p>
        </w:tc>
      </w:tr>
      <w:tr>
        <w:trPr>
          <w:trHeight w:val="19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697</w:t>
            </w:r>
          </w:p>
        </w:tc>
      </w:tr>
      <w:tr>
        <w:trPr>
          <w:trHeight w:val="206"/>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94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(389)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301</w:t>
            </w:r>
          </w:p>
        </w:tc>
      </w:tr>
      <w:tr>
        <w:trPr>
          <w:trHeight w:val="208"/>
        </w:trPr>
        <w:tc>
          <w:tcPr>
            <w:tcW w:w="62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r>
      <w:tr>
        <w:trPr>
          <w:trHeight w:val="199"/>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240" w:type="dxa"/>
            <w:vAlign w:val="bottom"/>
          </w:tcPr>
          <w:p>
            <w:pPr>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(66)</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312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(401)</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984</w:t>
            </w:r>
          </w:p>
        </w:tc>
      </w:tr>
      <w:tr>
        <w:trPr>
          <w:trHeight w:val="20"/>
        </w:trPr>
        <w:tc>
          <w:tcPr>
            <w:tcW w:w="62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441960</wp:posOffset>
            </wp:positionV>
            <wp:extent cx="68059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0" w:name="page91"/>
    <w:bookmarkEnd w:id="90"/>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6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tbl>
      <w:tblPr>
        <w:tblLayout w:type="fixed"/>
        <w:tblInd w:w="8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gridSpan w:val="11"/>
          </w:tcPr>
          <w:p>
            <w:pPr>
              <w:ind w:left="60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3000" w:type="dxa"/>
            <w:vAlign w:val="bottom"/>
            <w:gridSpan w:val="9"/>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820" w:type="dxa"/>
            <w:vAlign w:val="bottom"/>
          </w:tcPr>
          <w:p>
            <w:pPr>
              <w:spacing w:after="0"/>
              <w:rPr>
                <w:sz w:val="16"/>
                <w:szCs w:val="16"/>
                <w:color w:val="auto"/>
              </w:rPr>
            </w:pPr>
          </w:p>
        </w:tc>
      </w:tr>
      <w:tr>
        <w:trPr>
          <w:trHeight w:val="186"/>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51"/>
              <w:spacing w:after="0"/>
              <w:rPr>
                <w:sz w:val="20"/>
                <w:szCs w:val="20"/>
                <w:color w:val="auto"/>
              </w:rPr>
            </w:pPr>
            <w:r>
              <w:rPr>
                <w:rFonts w:ascii="Arial" w:cs="Arial" w:eastAsia="Arial" w:hAnsi="Arial"/>
                <w:sz w:val="14"/>
                <w:szCs w:val="14"/>
                <w:b w:val="1"/>
                <w:bCs w:val="1"/>
                <w:color w:val="auto"/>
              </w:rPr>
              <w:t>2024</w:t>
            </w:r>
          </w:p>
        </w:tc>
      </w:tr>
      <w:tr>
        <w:trPr>
          <w:trHeight w:val="178"/>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r>
      <w:tr>
        <w:trPr>
          <w:trHeight w:val="155"/>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Expense:</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Income:</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Income:</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82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6"/>
              </w:rPr>
              <w:t>Expense:</w:t>
            </w:r>
          </w:p>
        </w:tc>
      </w:tr>
      <w:tr>
        <w:trPr>
          <w:trHeight w:val="168"/>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Long-Term</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Mortgage</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82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Long-Term</w:t>
            </w:r>
          </w:p>
        </w:tc>
      </w:tr>
      <w:tr>
        <w:trPr>
          <w:trHeight w:val="19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Loans</w:t>
            </w:r>
          </w:p>
        </w:tc>
        <w:tc>
          <w:tcPr>
            <w:tcW w:w="10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w w:val="96"/>
              </w:rPr>
              <w:t>Debt</w:t>
            </w:r>
          </w:p>
        </w:tc>
      </w:tr>
      <w:tr>
        <w:trPr>
          <w:trHeight w:val="192"/>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4"/>
        </w:trPr>
        <w:tc>
          <w:tcPr>
            <w:tcW w:w="31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amounts presented in our</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3"/>
        </w:trPr>
        <w:tc>
          <w:tcPr>
            <w:tcW w:w="3180" w:type="dxa"/>
            <w:vAlign w:val="bottom"/>
            <w:gridSpan w:val="2"/>
          </w:tcPr>
          <w:p>
            <w:pPr>
              <w:ind w:left="160"/>
              <w:spacing w:after="0"/>
              <w:rPr>
                <w:sz w:val="20"/>
                <w:szCs w:val="20"/>
                <w:color w:val="auto"/>
              </w:rPr>
            </w:pPr>
            <w:r>
              <w:rPr>
                <w:rFonts w:ascii="Arial" w:cs="Arial" w:eastAsia="Arial" w:hAnsi="Arial"/>
                <w:sz w:val="15"/>
                <w:szCs w:val="15"/>
                <w:b w:val="1"/>
                <w:bCs w:val="1"/>
                <w:color w:val="auto"/>
              </w:rPr>
              <w:t>condensed consolidated statements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0"/>
        </w:trPr>
        <w:tc>
          <w:tcPr>
            <w:tcW w:w="3080" w:type="dxa"/>
            <w:vAlign w:val="bottom"/>
            <w:tcBorders>
              <w:bottom w:val="single" w:sz="8" w:color="2C6937"/>
            </w:tcBorders>
          </w:tcPr>
          <w:p>
            <w:pPr>
              <w:ind w:left="160"/>
              <w:spacing w:after="0"/>
              <w:rPr>
                <w:sz w:val="20"/>
                <w:szCs w:val="20"/>
                <w:color w:val="auto"/>
              </w:rPr>
            </w:pPr>
            <w:r>
              <w:rPr>
                <w:rFonts w:ascii="Arial" w:cs="Arial" w:eastAsia="Arial" w:hAnsi="Arial"/>
                <w:sz w:val="15"/>
                <w:szCs w:val="15"/>
                <w:b w:val="1"/>
                <w:bCs w:val="1"/>
                <w:color w:val="auto"/>
              </w:rPr>
              <w:t>operations and comprehensive income</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37,693</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(32,153)</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35,617</w:t>
            </w:r>
          </w:p>
        </w:tc>
        <w:tc>
          <w:tcPr>
            <w:tcW w:w="8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(29,877)</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75,092</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(64,063)</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70,833</w:t>
            </w:r>
          </w:p>
        </w:tc>
        <w:tc>
          <w:tcPr>
            <w:tcW w:w="8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(59,457)</w:t>
            </w:r>
          </w:p>
        </w:tc>
      </w:tr>
      <w:tr>
        <w:trPr>
          <w:trHeight w:val="431"/>
        </w:trPr>
        <w:tc>
          <w:tcPr>
            <w:tcW w:w="3180" w:type="dxa"/>
            <w:vAlign w:val="bottom"/>
            <w:gridSpan w:val="2"/>
          </w:tcPr>
          <w:p>
            <w:pPr>
              <w:ind w:left="20"/>
              <w:spacing w:after="0"/>
              <w:rPr>
                <w:sz w:val="20"/>
                <w:szCs w:val="20"/>
                <w:color w:val="auto"/>
              </w:rPr>
            </w:pPr>
            <w:r>
              <w:rPr>
                <w:rFonts w:ascii="Arial" w:cs="Arial" w:eastAsia="Arial" w:hAnsi="Arial"/>
                <w:sz w:val="15"/>
                <w:szCs w:val="15"/>
                <w:b w:val="1"/>
                <w:bCs w:val="1"/>
                <w:color w:val="auto"/>
              </w:rPr>
              <w:t>Gains (losses) from fair value hedging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3180" w:type="dxa"/>
            <w:vAlign w:val="bottom"/>
            <w:gridSpan w:val="2"/>
          </w:tcPr>
          <w:p>
            <w:pPr>
              <w:ind w:left="160"/>
              <w:spacing w:after="0"/>
              <w:rPr>
                <w:sz w:val="20"/>
                <w:szCs w:val="20"/>
                <w:color w:val="auto"/>
              </w:rPr>
            </w:pPr>
            <w:r>
              <w:rPr>
                <w:rFonts w:ascii="Arial" w:cs="Arial" w:eastAsia="Arial" w:hAnsi="Arial"/>
                <w:sz w:val="15"/>
                <w:szCs w:val="15"/>
                <w:b w:val="1"/>
                <w:bCs w:val="1"/>
                <w:color w:val="auto"/>
              </w:rPr>
              <w:t>relationships: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180" w:type="dxa"/>
            <w:vAlign w:val="bottom"/>
            <w:gridSpan w:val="2"/>
          </w:tcPr>
          <w:p>
            <w:pPr>
              <w:ind w:left="120"/>
              <w:spacing w:after="0"/>
              <w:rPr>
                <w:sz w:val="20"/>
                <w:szCs w:val="20"/>
                <w:color w:val="auto"/>
              </w:rPr>
            </w:pPr>
            <w:r>
              <w:rPr>
                <w:rFonts w:ascii="Arial" w:cs="Arial" w:eastAsia="Arial" w:hAnsi="Arial"/>
                <w:sz w:val="15"/>
                <w:szCs w:val="15"/>
                <w:color w:val="auto"/>
              </w:rPr>
              <w:t>Mortgage loans HFI and related interest-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4"/>
        </w:trPr>
        <w:tc>
          <w:tcPr>
            <w:tcW w:w="318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647</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 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120"/>
              <w:spacing w:after="0"/>
              <w:rPr>
                <w:sz w:val="20"/>
                <w:szCs w:val="20"/>
                <w:color w:val="auto"/>
              </w:rPr>
            </w:pPr>
            <w:r>
              <w:rPr>
                <w:rFonts w:ascii="Arial" w:cs="Arial" w:eastAsia="Arial" w:hAnsi="Arial"/>
                <w:sz w:val="15"/>
                <w:szCs w:val="15"/>
                <w:color w:val="auto"/>
              </w:rPr>
              <w:t>Debt of Fannie Mae and related interest-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4"/>
        </w:trPr>
        <w:tc>
          <w:tcPr>
            <w:tcW w:w="318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derivative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1"/>
        </w:trPr>
        <w:tc>
          <w:tcPr>
            <w:tcW w:w="3080" w:type="dxa"/>
            <w:vAlign w:val="bottom"/>
            <w:tcBorders>
              <w:bottom w:val="single" w:sz="8" w:color="2C6937"/>
            </w:tcBorders>
          </w:tcPr>
          <w:p>
            <w:pPr>
              <w:ind w:left="440"/>
              <w:spacing w:after="0"/>
              <w:rPr>
                <w:sz w:val="20"/>
                <w:szCs w:val="20"/>
                <w:color w:val="auto"/>
              </w:rPr>
            </w:pPr>
            <w:r>
              <w:rPr>
                <w:rFonts w:ascii="Arial" w:cs="Arial" w:eastAsia="Arial" w:hAnsi="Arial"/>
                <w:sz w:val="15"/>
                <w:szCs w:val="15"/>
                <w:color w:val="auto"/>
              </w:rPr>
              <w:t>instruments</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(280)</w:t>
            </w:r>
          </w:p>
        </w:tc>
      </w:tr>
      <w:tr>
        <w:trPr>
          <w:trHeight w:val="225"/>
        </w:trPr>
        <w:tc>
          <w:tcPr>
            <w:tcW w:w="3180" w:type="dxa"/>
            <w:vAlign w:val="bottom"/>
            <w:gridSpan w:val="2"/>
          </w:tcPr>
          <w:p>
            <w:pPr>
              <w:ind w:left="20"/>
              <w:spacing w:after="0"/>
              <w:rPr>
                <w:sz w:val="20"/>
                <w:szCs w:val="20"/>
                <w:color w:val="auto"/>
              </w:rPr>
            </w:pPr>
            <w:r>
              <w:rPr>
                <w:rFonts w:ascii="Arial" w:cs="Arial" w:eastAsia="Arial" w:hAnsi="Arial"/>
                <w:sz w:val="15"/>
                <w:szCs w:val="15"/>
                <w:color w:val="auto"/>
              </w:rPr>
              <w:t>Total effect of fair value hedges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20"/>
        </w:trPr>
        <w:tc>
          <w:tcPr>
            <w:tcW w:w="3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bookmarkStart w:id="91" w:name="page92"/>
    <w:bookmarkEnd w:id="91"/>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unpaid principal balance (“UPB”) consists only of open hedges as of June 30, 2025 and December 31, 2024.</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60" w:type="dxa"/>
            <w:vAlign w:val="bottom"/>
            <w:tcBorders>
              <w:bottom w:val="single" w:sz="8" w:color="2C6937"/>
            </w:tcBorders>
            <w:gridSpan w:val="2"/>
          </w:tcPr>
          <w:p>
            <w:pPr>
              <w:jc w:val="right"/>
              <w:ind w:right="380"/>
              <w:spacing w:after="0"/>
              <w:rPr>
                <w:sz w:val="20"/>
                <w:szCs w:val="20"/>
                <w:color w:val="auto"/>
              </w:rPr>
            </w:pPr>
            <w:r>
              <w:rPr>
                <w:rFonts w:ascii="Arial" w:cs="Arial" w:eastAsia="Arial" w:hAnsi="Arial"/>
                <w:sz w:val="14"/>
                <w:szCs w:val="14"/>
                <w:b w:val="1"/>
                <w:bCs w:val="1"/>
                <w:color w:val="auto"/>
              </w:rPr>
              <w:t>As of June 30, 2025</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67"/>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ind w:left="160"/>
              <w:spacing w:after="0"/>
              <w:rPr>
                <w:sz w:val="20"/>
                <w:szCs w:val="20"/>
                <w:color w:val="auto"/>
              </w:rPr>
            </w:pPr>
            <w:r>
              <w:rPr>
                <w:rFonts w:ascii="Arial" w:cs="Arial" w:eastAsia="Arial" w:hAnsi="Arial"/>
                <w:sz w:val="14"/>
                <w:szCs w:val="14"/>
                <w:b w:val="1"/>
                <w:bCs w:val="1"/>
                <w:color w:val="auto"/>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8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5"/>
              </w:rPr>
              <w:t>Adjustments</w:t>
            </w:r>
            <w:r>
              <w:rPr>
                <w:rFonts w:ascii="Arial" w:cs="Arial" w:eastAsia="Arial" w:hAnsi="Arial"/>
                <w:sz w:val="17"/>
                <w:szCs w:val="17"/>
                <w:b w:val="1"/>
                <w:bCs w:val="1"/>
                <w:color w:val="auto"/>
                <w:w w:val="95"/>
                <w:vertAlign w:val="superscript"/>
              </w:rPr>
              <w:t>(1)</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right"/>
              <w:ind w:right="400"/>
              <w:spacing w:after="0"/>
              <w:rPr>
                <w:sz w:val="20"/>
                <w:szCs w:val="20"/>
                <w:color w:val="auto"/>
              </w:rPr>
            </w:pPr>
            <w:r>
              <w:rPr>
                <w:rFonts w:ascii="Arial" w:cs="Arial" w:eastAsia="Arial" w:hAnsi="Arial"/>
                <w:sz w:val="14"/>
                <w:szCs w:val="14"/>
                <w:b w:val="1"/>
                <w:bCs w:val="1"/>
                <w:color w:val="auto"/>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1,077,730</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8"/>
              <w:spacing w:after="0"/>
              <w:rPr>
                <w:sz w:val="20"/>
                <w:szCs w:val="20"/>
                <w:color w:val="auto"/>
              </w:rPr>
            </w:pPr>
            <w:r>
              <w:rPr>
                <w:rFonts w:ascii="Arial" w:cs="Arial" w:eastAsia="Arial" w:hAnsi="Arial"/>
                <w:sz w:val="15"/>
                <w:szCs w:val="15"/>
                <w:color w:val="auto"/>
              </w:rPr>
              <w:t>(146)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(146)</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197,939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30,486</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(37,434)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2,676</w:t>
            </w:r>
          </w:p>
        </w:tc>
        <w:tc>
          <w:tcPr>
            <w:tcW w:w="200" w:type="dxa"/>
            <w:vAlign w:val="bottom"/>
          </w:tcPr>
          <w:p>
            <w:pPr>
              <w:spacing w:after="0"/>
              <w:rPr>
                <w:sz w:val="20"/>
                <w:szCs w:val="20"/>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2,676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88"/>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860" w:type="dxa"/>
            <w:vAlign w:val="bottom"/>
            <w:tcBorders>
              <w:bottom w:val="single" w:sz="8" w:color="2C6937"/>
            </w:tcBorders>
            <w:gridSpan w:val="2"/>
          </w:tcPr>
          <w:p>
            <w:pPr>
              <w:jc w:val="right"/>
              <w:ind w:right="200"/>
              <w:spacing w:after="0"/>
              <w:rPr>
                <w:sz w:val="20"/>
                <w:szCs w:val="20"/>
                <w:color w:val="auto"/>
              </w:rPr>
            </w:pPr>
            <w:r>
              <w:rPr>
                <w:rFonts w:ascii="Arial" w:cs="Arial" w:eastAsia="Arial" w:hAnsi="Arial"/>
                <w:sz w:val="14"/>
                <w:szCs w:val="14"/>
                <w:b w:val="1"/>
                <w:bCs w:val="1"/>
                <w:color w:val="auto"/>
                <w:w w:val="99"/>
              </w:rPr>
              <w:t>As of December 31, 2024</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47"/>
              <w:spacing w:after="0"/>
              <w:rPr>
                <w:sz w:val="20"/>
                <w:szCs w:val="20"/>
                <w:color w:val="auto"/>
              </w:rPr>
            </w:pPr>
            <w:r>
              <w:rPr>
                <w:rFonts w:ascii="Arial" w:cs="Arial" w:eastAsia="Arial" w:hAnsi="Arial"/>
                <w:sz w:val="14"/>
                <w:szCs w:val="14"/>
                <w:b w:val="1"/>
                <w:bCs w:val="1"/>
                <w:color w:val="auto"/>
                <w:w w:val="99"/>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ind w:left="180"/>
              <w:spacing w:after="0"/>
              <w:rPr>
                <w:sz w:val="20"/>
                <w:szCs w:val="20"/>
                <w:color w:val="auto"/>
              </w:rPr>
            </w:pPr>
            <w:r>
              <w:rPr>
                <w:rFonts w:ascii="Arial" w:cs="Arial" w:eastAsia="Arial" w:hAnsi="Arial"/>
                <w:sz w:val="14"/>
                <w:szCs w:val="14"/>
                <w:b w:val="1"/>
                <w:bCs w:val="1"/>
                <w:color w:val="auto"/>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4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7"/>
              </w:rPr>
              <w:t>Adjustments</w:t>
            </w:r>
            <w:r>
              <w:rPr>
                <w:rFonts w:ascii="Arial" w:cs="Arial" w:eastAsia="Arial" w:hAnsi="Arial"/>
                <w:sz w:val="17"/>
                <w:szCs w:val="17"/>
                <w:b w:val="1"/>
                <w:bCs w:val="1"/>
                <w:color w:val="auto"/>
                <w:w w:val="97"/>
                <w:vertAlign w:val="superscript"/>
              </w:rPr>
              <w:t>(1)</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right"/>
              <w:ind w:right="400"/>
              <w:spacing w:after="0"/>
              <w:rPr>
                <w:sz w:val="20"/>
                <w:szCs w:val="20"/>
                <w:color w:val="auto"/>
              </w:rPr>
            </w:pPr>
            <w:r>
              <w:rPr>
                <w:rFonts w:ascii="Arial" w:cs="Arial" w:eastAsia="Arial" w:hAnsi="Arial"/>
                <w:sz w:val="14"/>
                <w:szCs w:val="14"/>
                <w:b w:val="1"/>
                <w:bCs w:val="1"/>
                <w:color w:val="auto"/>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1,109,445</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(816)</w:t>
            </w:r>
          </w:p>
        </w:tc>
        <w:tc>
          <w:tcPr>
            <w:tcW w:w="200" w:type="dxa"/>
            <w:vAlign w:val="bottom"/>
          </w:tcPr>
          <w:p>
            <w:pPr>
              <w:jc w:val="center"/>
              <w:ind w:left="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(816)</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813,536</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26,825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67"/>
              <w:spacing w:after="0"/>
              <w:rPr>
                <w:sz w:val="20"/>
                <w:szCs w:val="20"/>
                <w:color w:val="auto"/>
              </w:rPr>
            </w:pPr>
            <w:r>
              <w:rPr>
                <w:rFonts w:ascii="Arial" w:cs="Arial" w:eastAsia="Arial" w:hAnsi="Arial"/>
                <w:sz w:val="15"/>
                <w:szCs w:val="15"/>
                <w:color w:val="auto"/>
              </w:rPr>
              <w:t>(47,849)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3,390</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3,390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123" w:lineRule="exact"/>
        <w:rPr>
          <w:sz w:val="20"/>
          <w:szCs w:val="20"/>
          <w:color w:val="auto"/>
        </w:rPr>
      </w:pPr>
    </w:p>
    <w:p>
      <w:pPr>
        <w:ind w:left="240" w:right="380" w:hanging="237"/>
        <w:spacing w:after="0" w:line="218" w:lineRule="auto"/>
        <w:tabs>
          <w:tab w:leader="none" w:pos="216"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 Based on the unamortized balance of the hedge-related cost basis.</w:t>
      </w:r>
    </w:p>
    <w:p>
      <w:pPr>
        <w:spacing w:after="0" w:line="14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 See “Note 12, Netting Arrangements” for information on our rights to offset assets and liabilities as of June 30, 2025 and December 31, 2024.</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For certain OTC derivatives, the amount of collateral we pledge to counterparties related to our derivative instruments is determined after considering our credit ratings. Currently, our long-term senior debt is rated AA+ or above by S&amp;P Global Ratings and Moody's Ratings.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$802 million and $1.3 billion, for which we posted collateral of $621 million and $948 million as of June 30, 2025 and December 31, 2024, respectively. If our credit ratings were downgraded to Baa2/BBB or below, the maximum additional collateral we would have been required to post to our counterparties as of June 30, 2025 and December 31, 2024 would have been $450 million and $725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059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2" w:name="page93"/>
    <w:bookmarkEnd w:id="92"/>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Ms. Almodovar, our President and CEO, is the chief operating decision maker (“CODM”) for our two reportable business segments. The CODM uses both net revenues and income before federal income taxes, on a quarterly basis, to assess the financial performance of the segments and for purposes of allocating resources. The accounting policies of our two reportable business segments are the same as those described in “Note 1, Summary of Significant Accounting Policies” in our 2024 Form 10-K. Also see “Note 11, Segment Reporting” in our 2024 Form 10-K for additional information related to our business segments, including basis of organization and other segment activities.</w:t>
      </w:r>
    </w:p>
    <w:p>
      <w:pPr>
        <w:spacing w:after="0" w:line="6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8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 In addition, the sum of the total assets for the two reportable segments is equal to the total assets of the consolidated entity.</w:t>
      </w:r>
    </w:p>
    <w:p>
      <w:pPr>
        <w:spacing w:after="0" w:line="40"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ectPr>
          <w:pgSz w:w="11900" w:h="16838" w:orient="portrait"/>
          <w:cols w:equalWidth="0" w:num="1">
            <w:col w:w="11240"/>
          </w:cols>
          <w:pgMar w:left="320" w:top="248"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total assets by segment.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404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44043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0" w:type="dxa"/>
            <w:vAlign w:val="bottom"/>
            <w:tcBorders>
              <w:top w:val="single" w:sz="8" w:color="2C6937"/>
              <w:bottom w:val="single" w:sz="8" w:color="2C6937"/>
            </w:tcBorders>
          </w:tcPr>
          <w:p>
            <w:pPr>
              <w:spacing w:after="0"/>
              <w:rPr>
                <w:sz w:val="17"/>
                <w:szCs w:val="17"/>
                <w:color w:val="auto"/>
              </w:rPr>
            </w:pPr>
          </w:p>
        </w:tc>
        <w:tc>
          <w:tcPr>
            <w:tcW w:w="1840" w:type="dxa"/>
            <w:vAlign w:val="bottom"/>
            <w:tcBorders>
              <w:top w:val="single" w:sz="8" w:color="2C6937"/>
              <w:bottom w:val="single" w:sz="8" w:color="2C6937"/>
            </w:tcBorders>
            <w:gridSpan w:val="2"/>
          </w:tcPr>
          <w:p>
            <w:pPr>
              <w:ind w:left="18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Borders>
              <w:top w:val="single" w:sz="8" w:color="2C6937"/>
              <w:bottom w:val="single" w:sz="8" w:color="2C6937"/>
            </w:tcBorders>
          </w:tcPr>
          <w:p>
            <w:pPr>
              <w:spacing w:after="0"/>
              <w:rPr>
                <w:sz w:val="17"/>
                <w:szCs w:val="17"/>
                <w:color w:val="auto"/>
              </w:rPr>
            </w:pPr>
          </w:p>
        </w:tc>
        <w:tc>
          <w:tcPr>
            <w:tcW w:w="1800" w:type="dxa"/>
            <w:vAlign w:val="bottom"/>
            <w:tcBorders>
              <w:top w:val="single" w:sz="8" w:color="2C6937"/>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2024</w:t>
            </w:r>
          </w:p>
        </w:tc>
      </w:tr>
      <w:tr>
        <w:trPr>
          <w:trHeight w:val="198"/>
        </w:trPr>
        <w:tc>
          <w:tcPr>
            <w:tcW w:w="300" w:type="dxa"/>
            <w:vAlign w:val="bottom"/>
          </w:tcPr>
          <w:p>
            <w:pPr>
              <w:spacing w:after="0"/>
              <w:rPr>
                <w:sz w:val="17"/>
                <w:szCs w:val="17"/>
                <w:color w:val="auto"/>
              </w:rPr>
            </w:pPr>
          </w:p>
        </w:tc>
        <w:tc>
          <w:tcPr>
            <w:tcW w:w="38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206"/>
        </w:trPr>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Pr>
          <w:p>
            <w:pPr>
              <w:jc w:val="right"/>
              <w:ind w:right="3"/>
              <w:spacing w:after="0"/>
              <w:rPr>
                <w:sz w:val="20"/>
                <w:szCs w:val="20"/>
                <w:color w:val="auto"/>
              </w:rPr>
            </w:pPr>
            <w:r>
              <w:rPr>
                <w:rFonts w:ascii="Arial" w:cs="Arial" w:eastAsia="Arial" w:hAnsi="Arial"/>
                <w:sz w:val="15"/>
                <w:szCs w:val="15"/>
                <w:b w:val="1"/>
                <w:bCs w:val="1"/>
                <w:color w:val="auto"/>
              </w:rPr>
              <w:t>3,800,825</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3,823,840</w:t>
            </w:r>
          </w:p>
        </w:tc>
      </w:tr>
      <w:tr>
        <w:trPr>
          <w:trHeight w:val="208"/>
        </w:trPr>
        <w:tc>
          <w:tcPr>
            <w:tcW w:w="300" w:type="dxa"/>
            <w:vAlign w:val="bottom"/>
            <w:tcBorders>
              <w:bottom w:val="single" w:sz="8" w:color="2C6937"/>
            </w:tcBorders>
          </w:tcPr>
          <w:p>
            <w:pPr>
              <w:spacing w:after="0"/>
              <w:rPr>
                <w:sz w:val="18"/>
                <w:szCs w:val="18"/>
                <w:color w:val="auto"/>
              </w:rPr>
            </w:pPr>
          </w:p>
        </w:tc>
        <w:tc>
          <w:tcPr>
            <w:tcW w:w="1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537,402</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525,891</w:t>
            </w:r>
          </w:p>
        </w:tc>
      </w:tr>
      <w:tr>
        <w:trPr>
          <w:trHeight w:val="199"/>
        </w:trPr>
        <w:tc>
          <w:tcPr>
            <w:tcW w:w="30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4,338,227</w:t>
            </w:r>
          </w:p>
        </w:tc>
        <w:tc>
          <w:tcPr>
            <w:tcW w:w="140" w:type="dxa"/>
            <w:vAlign w:val="bottom"/>
          </w:tcPr>
          <w:p>
            <w:pPr>
              <w:spacing w:after="0"/>
              <w:rPr>
                <w:sz w:val="17"/>
                <w:szCs w:val="17"/>
                <w:color w:val="auto"/>
              </w:rPr>
            </w:pPr>
          </w:p>
        </w:tc>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4,349,731</w:t>
            </w:r>
          </w:p>
        </w:tc>
      </w:tr>
      <w:tr>
        <w:trPr>
          <w:trHeight w:val="20"/>
        </w:trPr>
        <w:tc>
          <w:tcPr>
            <w:tcW w:w="300" w:type="dxa"/>
            <w:vAlign w:val="bottom"/>
            <w:tcBorders>
              <w:bottom w:val="single" w:sz="8" w:color="2C6937"/>
            </w:tcBorders>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6380" w:space="720"/>
            <w:col w:w="4140"/>
          </w:cols>
          <w:pgMar w:left="320" w:top="248" w:right="339" w:bottom="1440" w:gutter="0" w:footer="0" w:header="0"/>
          <w:type w:val="continuous"/>
        </w:sectPr>
      </w:pPr>
    </w:p>
    <w:p>
      <w:pPr>
        <w:ind w:right="140"/>
        <w:spacing w:after="0" w:line="293" w:lineRule="auto"/>
        <w:rPr>
          <w:sz w:val="20"/>
          <w:szCs w:val="20"/>
          <w:color w:val="auto"/>
        </w:rPr>
      </w:pPr>
      <w:r>
        <w:rPr>
          <w:rFonts w:ascii="Arial" w:cs="Arial" w:eastAsia="Arial" w:hAnsi="Arial"/>
          <w:sz w:val="16"/>
          <w:szCs w:val="16"/>
          <w:color w:val="auto"/>
        </w:rPr>
        <w:t>We operate our business solely in the United States and its territories, and accordingly, we generate no revenue from and have no long-lived assets, other than financial instruments, in geographic locations other than the United States and its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tables display our segment results.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2700" w:type="dxa"/>
            <w:vAlign w:val="bottom"/>
            <w:tcBorders>
              <w:bottom w:val="single" w:sz="8" w:color="2C6937"/>
            </w:tcBorders>
            <w:gridSpan w:val="9"/>
          </w:tcPr>
          <w:p>
            <w:pPr>
              <w:jc w:val="center"/>
              <w:ind w:right="27"/>
              <w:spacing w:after="0"/>
              <w:rPr>
                <w:sz w:val="20"/>
                <w:szCs w:val="20"/>
                <w:color w:val="auto"/>
              </w:rPr>
            </w:pPr>
            <w:r>
              <w:rPr>
                <w:rFonts w:ascii="Arial" w:cs="Arial" w:eastAsia="Arial" w:hAnsi="Arial"/>
                <w:sz w:val="15"/>
                <w:szCs w:val="15"/>
                <w:b w:val="1"/>
                <w:bCs w:val="1"/>
                <w:color w:val="auto"/>
                <w:w w:val="97"/>
              </w:rPr>
              <w:t>For the Three Months Ended June 30,</w:t>
            </w: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center"/>
              <w:ind w:right="27"/>
              <w:spacing w:after="0"/>
              <w:rPr>
                <w:sz w:val="20"/>
                <w:szCs w:val="20"/>
                <w:color w:val="auto"/>
              </w:rPr>
            </w:pPr>
            <w:r>
              <w:rPr>
                <w:rFonts w:ascii="Arial" w:cs="Arial" w:eastAsia="Arial" w:hAnsi="Arial"/>
                <w:sz w:val="15"/>
                <w:szCs w:val="15"/>
                <w:b w:val="1"/>
                <w:bCs w:val="1"/>
                <w:color w:val="auto"/>
              </w:rPr>
              <w:t>2025</w:t>
            </w: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5"/>
              </w:rPr>
              <w:t>2024</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25"/>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6"/>
              </w:rPr>
              <w:t>Multifamily</w:t>
            </w: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6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5"/>
                <w:szCs w:val="15"/>
                <w:b w:val="1"/>
                <w:bCs w:val="1"/>
                <w:color w:val="auto"/>
                <w:w w:val="96"/>
              </w:rPr>
              <w:t>Multifamily</w:t>
            </w: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193"/>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w w:val="97"/>
              </w:rPr>
              <w:t>(Dollars in millions)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3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5,992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1,163</w:t>
            </w:r>
          </w:p>
        </w:tc>
        <w:tc>
          <w:tcPr>
            <w:tcW w:w="360" w:type="dxa"/>
            <w:vAlign w:val="bottom"/>
            <w:gridSpan w:val="3"/>
          </w:tcPr>
          <w:p>
            <w:pPr>
              <w:jc w:val="right"/>
              <w:ind w:right="6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7,155</w:t>
            </w:r>
          </w:p>
        </w:tc>
        <w:tc>
          <w:tcPr>
            <w:tcW w:w="100" w:type="dxa"/>
            <w:vAlign w:val="bottom"/>
          </w:tcPr>
          <w:p>
            <w:pPr>
              <w:spacing w:after="0"/>
              <w:rPr>
                <w:sz w:val="24"/>
                <w:szCs w:val="24"/>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6,096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1,172</w:t>
            </w:r>
          </w:p>
        </w:tc>
        <w:tc>
          <w:tcPr>
            <w:tcW w:w="10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7,268</w:t>
            </w:r>
          </w:p>
        </w:tc>
      </w:tr>
      <w:tr>
        <w:trPr>
          <w:trHeight w:val="28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182"/>
        </w:trPr>
        <w:tc>
          <w:tcPr>
            <w:tcW w:w="3760" w:type="dxa"/>
            <w:vAlign w:val="bottom"/>
            <w:tcBorders>
              <w:top w:val="single" w:sz="8" w:color="2C6937"/>
            </w:tcBorders>
          </w:tcPr>
          <w:p>
            <w:pPr>
              <w:ind w:left="18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6,061</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1,180</w:t>
            </w:r>
          </w:p>
        </w:tc>
        <w:tc>
          <w:tcPr>
            <w:tcW w:w="2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7,241</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6,147</w:t>
            </w:r>
          </w:p>
        </w:tc>
        <w:tc>
          <w:tcPr>
            <w:tcW w:w="10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1,189</w:t>
            </w:r>
          </w:p>
        </w:tc>
        <w:tc>
          <w:tcPr>
            <w:tcW w:w="100" w:type="dxa"/>
            <w:vAlign w:val="bottom"/>
          </w:tcPr>
          <w:p>
            <w:pPr>
              <w:spacing w:after="0"/>
              <w:rPr>
                <w:sz w:val="15"/>
                <w:szCs w:val="15"/>
                <w:color w:val="auto"/>
              </w:rPr>
            </w:pPr>
          </w:p>
        </w:tc>
        <w:tc>
          <w:tcPr>
            <w:tcW w:w="26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7,336</w:t>
            </w:r>
          </w:p>
        </w:tc>
      </w:tr>
      <w:tr>
        <w:trPr>
          <w:trHeight w:val="253"/>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(2)</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284"/>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447</w:t>
            </w:r>
          </w:p>
        </w:tc>
      </w:tr>
      <w:tr>
        <w:trPr>
          <w:trHeight w:val="275"/>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(4)</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19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(899)</w:t>
            </w:r>
          </w:p>
        </w:tc>
      </w:tr>
      <w:tr>
        <w:trPr>
          <w:trHeight w:val="284"/>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(939)</w:t>
            </w:r>
          </w:p>
        </w:tc>
      </w:tr>
      <w:tr>
        <w:trPr>
          <w:trHeight w:val="309"/>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(82)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(405)</w:t>
            </w:r>
          </w:p>
        </w:tc>
      </w:tr>
      <w:tr>
        <w:trPr>
          <w:trHeight w:val="27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198"/>
        </w:trPr>
        <w:tc>
          <w:tcPr>
            <w:tcW w:w="3860" w:type="dxa"/>
            <w:vAlign w:val="bottom"/>
            <w:gridSpan w:val="2"/>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(211)</w:t>
            </w:r>
          </w:p>
        </w:tc>
      </w:tr>
      <w:tr>
        <w:trPr>
          <w:trHeight w:val="186"/>
        </w:trPr>
        <w:tc>
          <w:tcPr>
            <w:tcW w:w="3760" w:type="dxa"/>
            <w:vAlign w:val="bottom"/>
            <w:tcBorders>
              <w:top w:val="single" w:sz="8" w:color="2C6937"/>
              <w:bottom w:val="single" w:sz="8" w:color="2C6937"/>
            </w:tcBorders>
          </w:tcPr>
          <w:p>
            <w:pPr>
              <w:ind w:left="24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(2,066)</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(278)</w:t>
            </w:r>
          </w:p>
        </w:tc>
        <w:tc>
          <w:tcPr>
            <w:tcW w:w="20" w:type="dxa"/>
            <w:vAlign w:val="bottom"/>
            <w:tcBorders>
              <w:top w:val="single" w:sz="8" w:color="2C6937"/>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(2,344)</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(2,241)</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(2,417)</w:t>
            </w:r>
          </w:p>
        </w:tc>
      </w:tr>
      <w:tr>
        <w:trPr>
          <w:trHeight w:val="182"/>
        </w:trPr>
        <w:tc>
          <w:tcPr>
            <w:tcW w:w="3760" w:type="dxa"/>
            <w:vAlign w:val="bottom"/>
          </w:tcPr>
          <w:p>
            <w:pPr>
              <w:ind w:left="20"/>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3,447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707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4,154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5,604</w:t>
            </w:r>
          </w:p>
        </w:tc>
      </w:tr>
      <w:tr>
        <w:trPr>
          <w:trHeight w:val="198"/>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(1,120)</w:t>
            </w:r>
          </w:p>
        </w:tc>
      </w:tr>
      <w:tr>
        <w:trPr>
          <w:trHeight w:val="186"/>
        </w:trPr>
        <w:tc>
          <w:tcPr>
            <w:tcW w:w="3760" w:type="dxa"/>
            <w:vAlign w:val="bottom"/>
            <w:tcBorders>
              <w:top w:val="single" w:sz="8" w:color="2C6937"/>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2,736</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581</w:t>
            </w:r>
          </w:p>
        </w:tc>
        <w:tc>
          <w:tcPr>
            <w:tcW w:w="20" w:type="dxa"/>
            <w:vAlign w:val="bottom"/>
            <w:tcBorders>
              <w:top w:val="single" w:sz="8" w:color="2C6937"/>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3,317</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3,855</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629</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4,484</w:t>
            </w:r>
          </w:p>
        </w:tc>
      </w:tr>
      <w:tr>
        <w:trPr>
          <w:trHeight w:val="20"/>
        </w:trPr>
        <w:tc>
          <w:tcPr>
            <w:tcW w:w="3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r>
        <w:trPr>
          <w:trHeight w:val="675"/>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520" w:type="dxa"/>
            <w:vAlign w:val="bottom"/>
            <w:tcBorders>
              <w:bottom w:val="single" w:sz="8" w:color="2C6937"/>
            </w:tcBorders>
            <w:gridSpan w:val="7"/>
          </w:tcPr>
          <w:p>
            <w:pPr>
              <w:jc w:val="center"/>
              <w:spacing w:after="0"/>
              <w:rPr>
                <w:sz w:val="20"/>
                <w:szCs w:val="20"/>
                <w:color w:val="auto"/>
              </w:rPr>
            </w:pPr>
            <w:r>
              <w:rPr>
                <w:rFonts w:ascii="Arial" w:cs="Arial" w:eastAsia="Arial" w:hAnsi="Arial"/>
                <w:sz w:val="15"/>
                <w:szCs w:val="15"/>
                <w:b w:val="1"/>
                <w:bCs w:val="1"/>
                <w:color w:val="auto"/>
                <w:w w:val="97"/>
              </w:rPr>
              <w:t>For the Six Months Ended June 30,</w:t>
            </w:r>
          </w:p>
        </w:tc>
        <w:tc>
          <w:tcPr>
            <w:tcW w:w="1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center"/>
              <w:ind w:right="27"/>
              <w:spacing w:after="0"/>
              <w:rPr>
                <w:sz w:val="20"/>
                <w:szCs w:val="20"/>
                <w:color w:val="auto"/>
              </w:rPr>
            </w:pPr>
            <w:r>
              <w:rPr>
                <w:rFonts w:ascii="Arial" w:cs="Arial" w:eastAsia="Arial" w:hAnsi="Arial"/>
                <w:sz w:val="15"/>
                <w:szCs w:val="15"/>
                <w:b w:val="1"/>
                <w:bCs w:val="1"/>
                <w:color w:val="auto"/>
              </w:rPr>
              <w:t>2025</w:t>
            </w: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5"/>
              </w:rPr>
              <w:t>2024</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25"/>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6"/>
              </w:rPr>
              <w:t>Multifamily</w:t>
            </w: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6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5"/>
                <w:szCs w:val="15"/>
                <w:b w:val="1"/>
                <w:bCs w:val="1"/>
                <w:color w:val="auto"/>
                <w:w w:val="96"/>
              </w:rPr>
              <w:t>Multifamily</w:t>
            </w: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193"/>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w w:val="97"/>
              </w:rPr>
              <w:t>(Dollars in millions)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3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11,858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2,298</w:t>
            </w:r>
          </w:p>
        </w:tc>
        <w:tc>
          <w:tcPr>
            <w:tcW w:w="360" w:type="dxa"/>
            <w:vAlign w:val="bottom"/>
            <w:gridSpan w:val="3"/>
          </w:tcPr>
          <w:p>
            <w:pPr>
              <w:jc w:val="right"/>
              <w:ind w:right="6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14,156</w:t>
            </w:r>
          </w:p>
        </w:tc>
        <w:tc>
          <w:tcPr>
            <w:tcW w:w="100" w:type="dxa"/>
            <w:vAlign w:val="bottom"/>
          </w:tcPr>
          <w:p>
            <w:pPr>
              <w:spacing w:after="0"/>
              <w:rPr>
                <w:sz w:val="24"/>
                <w:szCs w:val="24"/>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11,970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14,291</w:t>
            </w:r>
          </w:p>
        </w:tc>
      </w:tr>
      <w:tr>
        <w:trPr>
          <w:trHeight w:val="28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170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140</w:t>
            </w:r>
          </w:p>
        </w:tc>
      </w:tr>
      <w:tr>
        <w:trPr>
          <w:trHeight w:val="182"/>
        </w:trPr>
        <w:tc>
          <w:tcPr>
            <w:tcW w:w="3760" w:type="dxa"/>
            <w:vAlign w:val="bottom"/>
            <w:tcBorders>
              <w:top w:val="single" w:sz="8" w:color="2C6937"/>
            </w:tcBorders>
          </w:tcPr>
          <w:p>
            <w:pPr>
              <w:ind w:left="18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11,992</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2,334</w:t>
            </w:r>
          </w:p>
        </w:tc>
        <w:tc>
          <w:tcPr>
            <w:tcW w:w="2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14,326</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12,076</w:t>
            </w:r>
          </w:p>
        </w:tc>
        <w:tc>
          <w:tcPr>
            <w:tcW w:w="10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2,355</w:t>
            </w:r>
          </w:p>
        </w:tc>
        <w:tc>
          <w:tcPr>
            <w:tcW w:w="100" w:type="dxa"/>
            <w:vAlign w:val="bottom"/>
          </w:tcPr>
          <w:p>
            <w:pPr>
              <w:spacing w:after="0"/>
              <w:rPr>
                <w:sz w:val="15"/>
                <w:szCs w:val="15"/>
                <w:color w:val="auto"/>
              </w:rPr>
            </w:pPr>
          </w:p>
        </w:tc>
        <w:tc>
          <w:tcPr>
            <w:tcW w:w="26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14,431</w:t>
            </w:r>
          </w:p>
        </w:tc>
      </w:tr>
      <w:tr>
        <w:trPr>
          <w:trHeight w:val="253"/>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(2)</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480</w:t>
            </w:r>
          </w:p>
        </w:tc>
      </w:tr>
      <w:tr>
        <w:trPr>
          <w:trHeight w:val="284"/>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927</w:t>
            </w:r>
          </w:p>
        </w:tc>
      </w:tr>
      <w:tr>
        <w:trPr>
          <w:trHeight w:val="275"/>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(4)</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19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(1,839)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(1,788)</w:t>
            </w:r>
          </w:p>
        </w:tc>
      </w:tr>
      <w:tr>
        <w:trPr>
          <w:trHeight w:val="284"/>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(1,838)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(1,870)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(1,869)</w:t>
            </w:r>
          </w:p>
        </w:tc>
      </w:tr>
      <w:tr>
        <w:trPr>
          <w:trHeight w:val="309"/>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(824)</w:t>
            </w:r>
          </w:p>
        </w:tc>
      </w:tr>
      <w:tr>
        <w:trPr>
          <w:trHeight w:val="27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98"/>
        </w:trPr>
        <w:tc>
          <w:tcPr>
            <w:tcW w:w="3860" w:type="dxa"/>
            <w:vAlign w:val="bottom"/>
            <w:gridSpan w:val="2"/>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(380)</w:t>
            </w:r>
          </w:p>
        </w:tc>
      </w:tr>
      <w:tr>
        <w:trPr>
          <w:trHeight w:val="186"/>
        </w:trPr>
        <w:tc>
          <w:tcPr>
            <w:tcW w:w="3760" w:type="dxa"/>
            <w:vAlign w:val="bottom"/>
            <w:tcBorders>
              <w:top w:val="single" w:sz="8" w:color="2C6937"/>
              <w:bottom w:val="single" w:sz="8" w:color="2C6937"/>
            </w:tcBorders>
          </w:tcPr>
          <w:p>
            <w:pPr>
              <w:ind w:left="24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(4,379)</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(565)</w:t>
            </w:r>
          </w:p>
        </w:tc>
        <w:tc>
          <w:tcPr>
            <w:tcW w:w="20" w:type="dxa"/>
            <w:vAlign w:val="bottom"/>
            <w:tcBorders>
              <w:top w:val="single" w:sz="8" w:color="2C6937"/>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(4,944)</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(4,449)</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(312)</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(4,761)</w:t>
            </w:r>
          </w:p>
        </w:tc>
      </w:tr>
      <w:tr>
        <w:trPr>
          <w:trHeight w:val="182"/>
        </w:trPr>
        <w:tc>
          <w:tcPr>
            <w:tcW w:w="3760" w:type="dxa"/>
            <w:vAlign w:val="bottom"/>
          </w:tcPr>
          <w:p>
            <w:pPr>
              <w:ind w:left="20"/>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7,125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1,613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8,738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11,037</w:t>
            </w:r>
          </w:p>
        </w:tc>
      </w:tr>
      <w:tr>
        <w:trPr>
          <w:trHeight w:val="198"/>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(1,760)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(2,233)</w:t>
            </w:r>
          </w:p>
        </w:tc>
      </w:tr>
      <w:tr>
        <w:trPr>
          <w:trHeight w:val="186"/>
        </w:trPr>
        <w:tc>
          <w:tcPr>
            <w:tcW w:w="3760" w:type="dxa"/>
            <w:vAlign w:val="bottom"/>
            <w:tcBorders>
              <w:top w:val="single" w:sz="8" w:color="2C6937"/>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5,654</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1,324</w:t>
            </w:r>
          </w:p>
        </w:tc>
        <w:tc>
          <w:tcPr>
            <w:tcW w:w="20" w:type="dxa"/>
            <w:vAlign w:val="bottom"/>
            <w:tcBorders>
              <w:top w:val="single" w:sz="8" w:color="2C6937"/>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6,978</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7,462</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1,342</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8,804</w:t>
            </w:r>
          </w:p>
        </w:tc>
      </w:tr>
      <w:tr>
        <w:trPr>
          <w:trHeight w:val="20"/>
        </w:trPr>
        <w:tc>
          <w:tcPr>
            <w:tcW w:w="3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433705</wp:posOffset>
            </wp:positionV>
            <wp:extent cx="680593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94" w:name="page95"/>
    <w:bookmarkEnd w:id="94"/>
    <w:p>
      <w:pPr>
        <w:ind w:left="6417"/>
        <w:spacing w:after="0"/>
        <w:rPr>
          <w:sz w:val="20"/>
          <w:szCs w:val="20"/>
          <w:color w:val="auto"/>
        </w:rPr>
      </w:pPr>
      <w:r>
        <w:rPr>
          <w:rFonts w:ascii="Arial" w:cs="Arial" w:eastAsia="Arial" w:hAnsi="Arial"/>
          <w:sz w:val="13"/>
          <w:szCs w:val="13"/>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24130</wp:posOffset>
            </wp:positionV>
            <wp:extent cx="70154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37" w:hanging="237"/>
        <w:spacing w:after="0" w:line="236" w:lineRule="auto"/>
        <w:tabs>
          <w:tab w:leader="none" w:pos="23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Temporary Payroll Tax Cut Continuation Act of 2011 (“TCCA”), the incremental revenue from which is paid to Treasury and not retained by us. Also includes yield maintenance revenue we recognized on the prepayment of multifamily loans.</w:t>
      </w:r>
    </w:p>
    <w:p>
      <w:pPr>
        <w:spacing w:after="0" w:line="13" w:lineRule="exact"/>
        <w:rPr>
          <w:rFonts w:ascii="Arial" w:cs="Arial" w:eastAsia="Arial" w:hAnsi="Arial"/>
          <w:sz w:val="18"/>
          <w:szCs w:val="18"/>
          <w:color w:val="auto"/>
          <w:vertAlign w:val="superscript"/>
        </w:rPr>
      </w:pPr>
    </w:p>
    <w:p>
      <w:pPr>
        <w:ind w:left="217" w:hanging="178"/>
        <w:spacing w:after="0"/>
        <w:tabs>
          <w:tab w:leader="none" w:pos="217" w:val="left"/>
        </w:tabs>
        <w:numPr>
          <w:ilvl w:val="1"/>
          <w:numId w:val="73"/>
        </w:numPr>
        <w:rPr>
          <w:rFonts w:ascii="Arial" w:cs="Arial" w:eastAsia="Arial" w:hAnsi="Arial"/>
          <w:sz w:val="18"/>
          <w:szCs w:val="18"/>
          <w:color w:val="auto"/>
          <w:vertAlign w:val="superscript"/>
        </w:rPr>
      </w:pPr>
      <w:r>
        <w:rPr>
          <w:rFonts w:ascii="Arial" w:cs="Arial" w:eastAsia="Arial" w:hAnsi="Arial"/>
          <w:sz w:val="14"/>
          <w:szCs w:val="14"/>
          <w:color w:val="auto"/>
        </w:rPr>
        <w:t>(Provision) benefit for credit losses is based on loans underlying the segment’s guaranty book of business.</w:t>
      </w:r>
    </w:p>
    <w:p>
      <w:pPr>
        <w:spacing w:after="0" w:line="50" w:lineRule="exact"/>
        <w:rPr>
          <w:rFonts w:ascii="Arial" w:cs="Arial" w:eastAsia="Arial" w:hAnsi="Arial"/>
          <w:sz w:val="18"/>
          <w:szCs w:val="18"/>
          <w:color w:val="auto"/>
          <w:vertAlign w:val="superscript"/>
        </w:rPr>
      </w:pPr>
    </w:p>
    <w:p>
      <w:pPr>
        <w:jc w:val="both"/>
        <w:ind w:left="237" w:right="60" w:hanging="198"/>
        <w:spacing w:after="0" w:line="222" w:lineRule="auto"/>
        <w:tabs>
          <w:tab w:leader="none" w:pos="230" w:val="left"/>
        </w:tabs>
        <w:numPr>
          <w:ilvl w:val="1"/>
          <w:numId w:val="73"/>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(losses) primarily consist of fair value gains and losses on risk management and mortgage commitment derivatives, trading securities, fair value option debt, and other financial instruments associated with our single-family guaranty book of business. Multifamily fair value gains (losses) primarily consist of fair value gains and losses on MBS commitment derivatives, trading securities and other financial instruments associated with our multifamily guaranty book of business.</w:t>
      </w:r>
    </w:p>
    <w:p>
      <w:pPr>
        <w:spacing w:after="0" w:line="40" w:lineRule="exact"/>
        <w:rPr>
          <w:rFonts w:ascii="Arial" w:cs="Arial" w:eastAsia="Arial" w:hAnsi="Arial"/>
          <w:sz w:val="18"/>
          <w:szCs w:val="18"/>
          <w:color w:val="auto"/>
          <w:vertAlign w:val="superscript"/>
        </w:rPr>
      </w:pPr>
    </w:p>
    <w:p>
      <w:pPr>
        <w:ind w:left="237" w:right="320" w:hanging="198"/>
        <w:spacing w:after="0" w:line="278" w:lineRule="auto"/>
        <w:tabs>
          <w:tab w:leader="none" w:pos="230" w:val="left"/>
        </w:tabs>
        <w:numPr>
          <w:ilvl w:val="1"/>
          <w:numId w:val="73"/>
        </w:numPr>
        <w:rPr>
          <w:rFonts w:ascii="Arial" w:cs="Arial" w:eastAsia="Arial" w:hAnsi="Arial"/>
          <w:sz w:val="9"/>
          <w:szCs w:val="9"/>
          <w:color w:val="auto"/>
        </w:rPr>
      </w:pPr>
      <w:r>
        <w:rPr>
          <w:rFonts w:ascii="Arial" w:cs="Arial" w:eastAsia="Arial" w:hAnsi="Arial"/>
          <w:sz w:val="14"/>
          <w:szCs w:val="14"/>
          <w:color w:val="auto"/>
        </w:rPr>
        <w:t>Single-family investment gains (losses) primarily consist of gains and losses on the sale of mortgage assets. Multifamily investment gains (losses) primarily consist of gains and losses on resecuritization activity.</w:t>
      </w:r>
    </w:p>
    <w:p>
      <w:pPr>
        <w:ind w:left="217" w:hanging="178"/>
        <w:spacing w:after="0"/>
        <w:tabs>
          <w:tab w:leader="none" w:pos="217" w:val="left"/>
        </w:tabs>
        <w:numPr>
          <w:ilvl w:val="1"/>
          <w:numId w:val="73"/>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50" w:lineRule="exact"/>
        <w:rPr>
          <w:rFonts w:ascii="Arial" w:cs="Arial" w:eastAsia="Arial" w:hAnsi="Arial"/>
          <w:sz w:val="18"/>
          <w:szCs w:val="18"/>
          <w:color w:val="auto"/>
          <w:vertAlign w:val="superscript"/>
        </w:rPr>
      </w:pPr>
    </w:p>
    <w:p>
      <w:pPr>
        <w:ind w:left="237" w:right="40" w:hanging="198"/>
        <w:spacing w:after="0" w:line="210" w:lineRule="auto"/>
        <w:tabs>
          <w:tab w:leader="none" w:pos="230" w:val="left"/>
        </w:tabs>
        <w:numPr>
          <w:ilvl w:val="1"/>
          <w:numId w:val="73"/>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39" w:lineRule="exact"/>
        <w:rPr>
          <w:rFonts w:ascii="Arial" w:cs="Arial" w:eastAsia="Arial" w:hAnsi="Arial"/>
          <w:sz w:val="18"/>
          <w:szCs w:val="18"/>
          <w:color w:val="auto"/>
          <w:vertAlign w:val="superscript"/>
        </w:rPr>
      </w:pPr>
    </w:p>
    <w:p>
      <w:pPr>
        <w:ind w:left="237" w:right="40" w:hanging="198"/>
        <w:spacing w:after="0" w:line="216" w:lineRule="auto"/>
        <w:tabs>
          <w:tab w:leader="none" w:pos="230" w:val="left"/>
        </w:tabs>
        <w:numPr>
          <w:ilvl w:val="1"/>
          <w:numId w:val="73"/>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(“EPMI”)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CAS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6" w:lineRule="exact"/>
        <w:rPr>
          <w:rFonts w:ascii="Arial" w:cs="Arial" w:eastAsia="Arial" w:hAnsi="Arial"/>
          <w:sz w:val="18"/>
          <w:szCs w:val="18"/>
          <w:color w:val="auto"/>
          <w:vertAlign w:val="superscript"/>
        </w:rPr>
      </w:pPr>
    </w:p>
    <w:p>
      <w:pPr>
        <w:ind w:left="237" w:right="760" w:hanging="198"/>
        <w:spacing w:after="0" w:line="268" w:lineRule="auto"/>
        <w:tabs>
          <w:tab w:leader="none" w:pos="230" w:val="left"/>
        </w:tabs>
        <w:numPr>
          <w:ilvl w:val="1"/>
          <w:numId w:val="73"/>
        </w:numPr>
        <w:rPr>
          <w:rFonts w:ascii="Arial" w:cs="Arial" w:eastAsia="Arial" w:hAnsi="Arial"/>
          <w:sz w:val="9"/>
          <w:szCs w:val="9"/>
          <w:color w:val="auto"/>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ind w:left="217" w:hanging="178"/>
        <w:spacing w:after="0" w:line="195" w:lineRule="auto"/>
        <w:tabs>
          <w:tab w:leader="none" w:pos="217" w:val="left"/>
        </w:tabs>
        <w:numPr>
          <w:ilvl w:val="1"/>
          <w:numId w:val="73"/>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and gains (losses) from partnership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365125</wp:posOffset>
            </wp:positionV>
            <wp:extent cx="68059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64070"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97"/>
          </w:cols>
          <w:pgMar w:left="323" w:top="248" w:right="379" w:bottom="1440" w:gutter="0" w:footer="0" w:header="0"/>
        </w:sectPr>
      </w:pPr>
    </w:p>
    <w:bookmarkStart w:id="95" w:name="page96"/>
    <w:bookmarkEnd w:id="95"/>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8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eligibility and underwriting criteria. Management also uses this data together with other credit risk measures to identify key trends that guide the development of our loss mitigation strategies.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63"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54"/>
        <w:spacing w:after="0" w:line="294"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3" w:lineRule="exact"/>
        <w:rPr>
          <w:sz w:val="20"/>
          <w:szCs w:val="20"/>
          <w:color w:val="auto"/>
        </w:rPr>
      </w:pPr>
    </w:p>
    <w:p>
      <w:pPr>
        <w:ind w:left="180" w:right="220" w:hanging="154"/>
        <w:spacing w:after="0" w:line="294"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48545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June 30, 2025</w:t>
            </w:r>
          </w:p>
        </w:tc>
        <w:tc>
          <w:tcPr>
            <w:tcW w:w="12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w w:val="98"/>
              </w:rPr>
              <w:t>December 31, 2024</w:t>
            </w:r>
          </w:p>
        </w:tc>
        <w:tc>
          <w:tcPr>
            <w:tcW w:w="1240" w:type="dxa"/>
            <w:vAlign w:val="bottom"/>
            <w:tcBorders>
              <w:bottom w:val="single" w:sz="8" w:color="2C6937"/>
            </w:tcBorders>
          </w:tcPr>
          <w:p>
            <w:pPr>
              <w:spacing w:after="0"/>
              <w:rPr>
                <w:sz w:val="17"/>
                <w:szCs w:val="17"/>
                <w:color w:val="auto"/>
              </w:rPr>
            </w:pPr>
          </w:p>
        </w:tc>
      </w:tr>
      <w:tr>
        <w:trPr>
          <w:trHeight w:val="184"/>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Seriously</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196"/>
        </w:trPr>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r>
    </w:tbl>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860" w:type="dxa"/>
            <w:vAlign w:val="bottom"/>
          </w:tcPr>
          <w:p>
            <w:pPr>
              <w:spacing w:after="0"/>
              <w:rPr>
                <w:sz w:val="20"/>
                <w:szCs w:val="20"/>
                <w:color w:val="auto"/>
              </w:rPr>
            </w:pPr>
            <w:r>
              <w:rPr>
                <w:rFonts w:ascii="Arial" w:cs="Arial" w:eastAsia="Arial" w:hAnsi="Arial"/>
                <w:sz w:val="15"/>
                <w:szCs w:val="15"/>
                <w:b w:val="1"/>
                <w:bCs w:val="1"/>
                <w:color w:val="auto"/>
              </w:rPr>
              <w:t>0.94 %</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0.24 %</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0.58 %</w:t>
            </w:r>
          </w:p>
        </w:tc>
        <w:tc>
          <w:tcPr>
            <w:tcW w:w="1640" w:type="dxa"/>
            <w:vAlign w:val="bottom"/>
          </w:tcPr>
          <w:p>
            <w:pPr>
              <w:ind w:left="780"/>
              <w:spacing w:after="0"/>
              <w:rPr>
                <w:sz w:val="20"/>
                <w:szCs w:val="20"/>
                <w:color w:val="auto"/>
              </w:rPr>
            </w:pPr>
            <w:r>
              <w:rPr>
                <w:rFonts w:ascii="Arial" w:cs="Arial" w:eastAsia="Arial" w:hAnsi="Arial"/>
                <w:sz w:val="15"/>
                <w:szCs w:val="15"/>
                <w:color w:val="auto"/>
              </w:rPr>
              <w:t>1.00 %</w:t>
            </w:r>
          </w:p>
        </w:tc>
        <w:tc>
          <w:tcPr>
            <w:tcW w:w="1320" w:type="dxa"/>
            <w:vAlign w:val="bottom"/>
          </w:tcPr>
          <w:p>
            <w:pPr>
              <w:ind w:left="400"/>
              <w:spacing w:after="0"/>
              <w:rPr>
                <w:sz w:val="20"/>
                <w:szCs w:val="20"/>
                <w:color w:val="auto"/>
              </w:rPr>
            </w:pPr>
            <w:r>
              <w:rPr>
                <w:rFonts w:ascii="Arial" w:cs="Arial" w:eastAsia="Arial" w:hAnsi="Arial"/>
                <w:sz w:val="15"/>
                <w:szCs w:val="15"/>
                <w:color w:val="auto"/>
              </w:rPr>
              <w:t>0.28 %</w:t>
            </w:r>
          </w:p>
        </w:tc>
        <w:tc>
          <w:tcPr>
            <w:tcW w:w="900" w:type="dxa"/>
            <w:vAlign w:val="bottom"/>
          </w:tcPr>
          <w:p>
            <w:pPr>
              <w:ind w:left="420"/>
              <w:spacing w:after="0"/>
              <w:rPr>
                <w:sz w:val="20"/>
                <w:szCs w:val="20"/>
                <w:color w:val="auto"/>
              </w:rPr>
            </w:pPr>
            <w:r>
              <w:rPr>
                <w:rFonts w:ascii="Arial" w:cs="Arial" w:eastAsia="Arial" w:hAnsi="Arial"/>
                <w:sz w:val="15"/>
                <w:szCs w:val="15"/>
                <w:color w:val="auto"/>
                <w:w w:val="98"/>
              </w:rPr>
              <w:t>0.60 %</w:t>
            </w:r>
          </w:p>
        </w:tc>
      </w:tr>
      <w:tr>
        <w:trPr>
          <w:trHeight w:val="425"/>
        </w:trPr>
        <w:tc>
          <w:tcPr>
            <w:tcW w:w="860" w:type="dxa"/>
            <w:vAlign w:val="bottom"/>
          </w:tcPr>
          <w:p>
            <w:pPr>
              <w:spacing w:after="0"/>
              <w:rPr>
                <w:sz w:val="20"/>
                <w:szCs w:val="20"/>
                <w:color w:val="auto"/>
              </w:rPr>
            </w:pPr>
            <w:r>
              <w:rPr>
                <w:rFonts w:ascii="Arial" w:cs="Arial" w:eastAsia="Arial" w:hAnsi="Arial"/>
                <w:sz w:val="15"/>
                <w:szCs w:val="15"/>
                <w:b w:val="1"/>
                <w:bCs w:val="1"/>
                <w:color w:val="auto"/>
              </w:rPr>
              <w:t>0.99</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0.25</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0.53</w:t>
            </w:r>
          </w:p>
        </w:tc>
        <w:tc>
          <w:tcPr>
            <w:tcW w:w="1640" w:type="dxa"/>
            <w:vAlign w:val="bottom"/>
          </w:tcPr>
          <w:p>
            <w:pPr>
              <w:ind w:left="780"/>
              <w:spacing w:after="0"/>
              <w:rPr>
                <w:sz w:val="20"/>
                <w:szCs w:val="20"/>
                <w:color w:val="auto"/>
              </w:rPr>
            </w:pPr>
            <w:r>
              <w:rPr>
                <w:rFonts w:ascii="Arial" w:cs="Arial" w:eastAsia="Arial" w:hAnsi="Arial"/>
                <w:sz w:val="15"/>
                <w:szCs w:val="15"/>
                <w:color w:val="auto"/>
              </w:rPr>
              <w:t>1.05</w:t>
            </w:r>
          </w:p>
        </w:tc>
        <w:tc>
          <w:tcPr>
            <w:tcW w:w="1320" w:type="dxa"/>
            <w:vAlign w:val="bottom"/>
          </w:tcPr>
          <w:p>
            <w:pPr>
              <w:ind w:left="400"/>
              <w:spacing w:after="0"/>
              <w:rPr>
                <w:sz w:val="20"/>
                <w:szCs w:val="20"/>
                <w:color w:val="auto"/>
              </w:rPr>
            </w:pPr>
            <w:r>
              <w:rPr>
                <w:rFonts w:ascii="Arial" w:cs="Arial" w:eastAsia="Arial" w:hAnsi="Arial"/>
                <w:sz w:val="15"/>
                <w:szCs w:val="15"/>
                <w:color w:val="auto"/>
              </w:rPr>
              <w:t>0.29</w:t>
            </w:r>
          </w:p>
        </w:tc>
        <w:tc>
          <w:tcPr>
            <w:tcW w:w="900" w:type="dxa"/>
            <w:vAlign w:val="bottom"/>
          </w:tcPr>
          <w:p>
            <w:pPr>
              <w:ind w:left="420"/>
              <w:spacing w:after="0"/>
              <w:rPr>
                <w:sz w:val="20"/>
                <w:szCs w:val="20"/>
                <w:color w:val="auto"/>
              </w:rPr>
            </w:pPr>
            <w:r>
              <w:rPr>
                <w:rFonts w:ascii="Arial" w:cs="Arial" w:eastAsia="Arial" w:hAnsi="Arial"/>
                <w:sz w:val="15"/>
                <w:szCs w:val="15"/>
                <w:color w:val="auto"/>
              </w:rPr>
              <w:t>0.56</w:t>
            </w:r>
          </w:p>
        </w:tc>
      </w:tr>
      <w:tr>
        <w:trPr>
          <w:trHeight w:val="32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8890</wp:posOffset>
            </wp:positionV>
            <wp:extent cx="46824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682490"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3440" w:space="120"/>
            <w:col w:w="7640"/>
          </w:cols>
          <w:pgMar w:left="320" w:top="248" w:right="37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80" w:type="dxa"/>
            <w:vAlign w:val="bottom"/>
            <w:gridSpan w:val="4"/>
          </w:tcPr>
          <w:p>
            <w:pPr>
              <w:spacing w:after="0"/>
              <w:rPr>
                <w:sz w:val="20"/>
                <w:szCs w:val="20"/>
                <w:color w:val="auto"/>
              </w:rPr>
            </w:pPr>
            <w:r>
              <w:rPr>
                <w:rFonts w:ascii="Arial" w:cs="Arial" w:eastAsia="Arial" w:hAnsi="Arial"/>
                <w:sz w:val="14"/>
                <w:szCs w:val="14"/>
                <w:b w:val="1"/>
                <w:bCs w:val="1"/>
                <w:color w:val="auto"/>
              </w:rPr>
              <w:t>June 30, 2025</w:t>
            </w:r>
          </w:p>
        </w:tc>
        <w:tc>
          <w:tcPr>
            <w:tcW w:w="362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360" w:type="dxa"/>
            <w:vAlign w:val="bottom"/>
            <w:tcBorders>
              <w:top w:val="single" w:sz="8" w:color="2C6937"/>
            </w:tcBorders>
          </w:tcPr>
          <w:p>
            <w:pPr>
              <w:jc w:val="center"/>
              <w:ind w:left="311"/>
              <w:spacing w:after="0"/>
              <w:rPr>
                <w:sz w:val="20"/>
                <w:szCs w:val="20"/>
                <w:color w:val="auto"/>
              </w:rPr>
            </w:pPr>
            <w:r>
              <w:rPr>
                <w:rFonts w:ascii="Arial" w:cs="Arial" w:eastAsia="Arial" w:hAnsi="Arial"/>
                <w:sz w:val="14"/>
                <w:szCs w:val="14"/>
                <w:b w:val="1"/>
                <w:bCs w:val="1"/>
                <w:color w:val="auto"/>
                <w:w w:val="97"/>
              </w:rPr>
              <w:t>Percentage of</w:t>
            </w:r>
          </w:p>
        </w:tc>
        <w:tc>
          <w:tcPr>
            <w:tcW w:w="400" w:type="dxa"/>
            <w:vAlign w:val="bottom"/>
            <w:tcBorders>
              <w:top w:val="single" w:sz="8" w:color="2C6937"/>
            </w:tcBorders>
          </w:tcPr>
          <w:p>
            <w:pPr>
              <w:spacing w:after="0"/>
              <w:rPr>
                <w:sz w:val="14"/>
                <w:szCs w:val="14"/>
                <w:color w:val="auto"/>
              </w:rPr>
            </w:pPr>
          </w:p>
        </w:tc>
        <w:tc>
          <w:tcPr>
            <w:tcW w:w="100" w:type="dxa"/>
            <w:vAlign w:val="bottom"/>
            <w:tcBorders>
              <w:top w:val="single" w:sz="8" w:color="2C6937"/>
            </w:tcBorders>
          </w:tcPr>
          <w:p>
            <w:pPr>
              <w:spacing w:after="0"/>
              <w:rPr>
                <w:sz w:val="14"/>
                <w:szCs w:val="14"/>
                <w:color w:val="auto"/>
              </w:rPr>
            </w:pPr>
          </w:p>
        </w:tc>
        <w:tc>
          <w:tcPr>
            <w:tcW w:w="1760" w:type="dxa"/>
            <w:vAlign w:val="bottom"/>
            <w:tcBorders>
              <w:top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76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360" w:type="dxa"/>
            <w:vAlign w:val="bottom"/>
          </w:tcPr>
          <w:p>
            <w:pPr>
              <w:jc w:val="center"/>
              <w:ind w:left="311"/>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1360" w:type="dxa"/>
            <w:vAlign w:val="bottom"/>
          </w:tcPr>
          <w:p>
            <w:pPr>
              <w:jc w:val="center"/>
              <w:ind w:left="331"/>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18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360" w:type="dxa"/>
            <w:vAlign w:val="bottom"/>
          </w:tcPr>
          <w:p>
            <w:pPr>
              <w:jc w:val="center"/>
              <w:ind w:left="311"/>
              <w:spacing w:after="0" w:line="142" w:lineRule="exact"/>
              <w:rPr>
                <w:sz w:val="20"/>
                <w:szCs w:val="20"/>
                <w:color w:val="auto"/>
              </w:rPr>
            </w:pPr>
            <w:r>
              <w:rPr>
                <w:rFonts w:ascii="Arial" w:cs="Arial" w:eastAsia="Arial" w:hAnsi="Arial"/>
                <w:sz w:val="14"/>
                <w:szCs w:val="14"/>
                <w:b w:val="1"/>
                <w:bCs w:val="1"/>
                <w:color w:val="auto"/>
                <w:w w:val="99"/>
              </w:rPr>
              <w:t>Business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Serious Delinquency Rate</w:t>
            </w: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9"/>
              </w:rPr>
              <w:t>Business</w:t>
            </w:r>
          </w:p>
        </w:tc>
        <w:tc>
          <w:tcPr>
            <w:tcW w:w="1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Serious Delinquency Rate</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w w:val="97"/>
              </w:rPr>
              <w:t>Based on UPB</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360" w:type="dxa"/>
            <w:vAlign w:val="bottom"/>
            <w:tcBorders>
              <w:top w:val="single" w:sz="8" w:color="2C6937"/>
            </w:tcBorders>
          </w:tcPr>
          <w:p>
            <w:pPr>
              <w:spacing w:after="0"/>
              <w:rPr>
                <w:sz w:val="18"/>
                <w:szCs w:val="18"/>
                <w:color w:val="auto"/>
              </w:rPr>
            </w:pPr>
          </w:p>
        </w:tc>
        <w:tc>
          <w:tcPr>
            <w:tcW w:w="4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80.01% to 90%</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6 %</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0.95 %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6 %</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0.97 %</w:t>
            </w:r>
          </w:p>
        </w:tc>
        <w:tc>
          <w:tcPr>
            <w:tcW w:w="0" w:type="dxa"/>
            <w:vAlign w:val="bottom"/>
          </w:tcPr>
          <w:p>
            <w:pPr>
              <w:spacing w:after="0"/>
              <w:rPr>
                <w:sz w:val="1"/>
                <w:szCs w:val="1"/>
                <w:color w:val="auto"/>
              </w:rPr>
            </w:pPr>
          </w:p>
        </w:tc>
      </w:tr>
      <w:tr>
        <w:trPr>
          <w:trHeight w:val="232"/>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90.01% to 100%</w:t>
            </w:r>
          </w:p>
        </w:tc>
        <w:tc>
          <w:tcPr>
            <w:tcW w:w="400" w:type="dxa"/>
            <w:vAlign w:val="bottom"/>
          </w:tcPr>
          <w:p>
            <w:pPr>
              <w:jc w:val="right"/>
              <w:ind w:right="124"/>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0.82</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0.77</w:t>
            </w:r>
          </w:p>
        </w:tc>
        <w:tc>
          <w:tcPr>
            <w:tcW w:w="0" w:type="dxa"/>
            <w:vAlign w:val="bottom"/>
          </w:tcPr>
          <w:p>
            <w:pPr>
              <w:spacing w:after="0"/>
              <w:rPr>
                <w:sz w:val="1"/>
                <w:szCs w:val="1"/>
                <w:color w:val="auto"/>
              </w:rPr>
            </w:pPr>
          </w:p>
        </w:tc>
      </w:tr>
      <w:tr>
        <w:trPr>
          <w:trHeight w:val="232"/>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Greater than 100%</w:t>
            </w:r>
          </w:p>
        </w:tc>
        <w:tc>
          <w:tcPr>
            <w:tcW w:w="400" w:type="dxa"/>
            <w:vAlign w:val="bottom"/>
          </w:tcPr>
          <w:p>
            <w:pPr>
              <w:jc w:val="right"/>
              <w:ind w:right="14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3.48</w:t>
            </w:r>
          </w:p>
        </w:tc>
        <w:tc>
          <w:tcPr>
            <w:tcW w:w="120" w:type="dxa"/>
            <w:vAlign w:val="bottom"/>
          </w:tcPr>
          <w:p>
            <w:pPr>
              <w:spacing w:after="0"/>
              <w:rPr>
                <w:sz w:val="20"/>
                <w:szCs w:val="20"/>
                <w:color w:val="auto"/>
              </w:rPr>
            </w:pPr>
          </w:p>
        </w:tc>
        <w:tc>
          <w:tcPr>
            <w:tcW w:w="17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19"/>
        </w:trPr>
        <w:tc>
          <w:tcPr>
            <w:tcW w:w="5180" w:type="dxa"/>
            <w:vAlign w:val="bottom"/>
            <w:gridSpan w:val="2"/>
          </w:tcPr>
          <w:p>
            <w:pPr>
              <w:spacing w:after="0"/>
              <w:rPr>
                <w:sz w:val="20"/>
                <w:szCs w:val="20"/>
                <w:color w:val="auto"/>
              </w:rPr>
            </w:pPr>
            <w:r>
              <w:rPr>
                <w:rFonts w:ascii="Arial" w:cs="Arial" w:eastAsia="Arial" w:hAnsi="Arial"/>
                <w:sz w:val="15"/>
                <w:szCs w:val="15"/>
                <w:b w:val="1"/>
                <w:bCs w:val="1"/>
                <w:color w:val="auto"/>
              </w:rPr>
              <w:t>Geographical distribution:</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California</w:t>
            </w:r>
          </w:p>
        </w:tc>
        <w:tc>
          <w:tcPr>
            <w:tcW w:w="400" w:type="dxa"/>
            <w:vAlign w:val="bottom"/>
          </w:tcPr>
          <w:p>
            <w:pPr>
              <w:jc w:val="right"/>
              <w:ind w:right="124"/>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0.43</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0.41</w:t>
            </w:r>
          </w:p>
        </w:tc>
        <w:tc>
          <w:tcPr>
            <w:tcW w:w="0" w:type="dxa"/>
            <w:vAlign w:val="bottom"/>
          </w:tcPr>
          <w:p>
            <w:pPr>
              <w:spacing w:after="0"/>
              <w:rPr>
                <w:sz w:val="1"/>
                <w:szCs w:val="1"/>
                <w:color w:val="auto"/>
              </w:rPr>
            </w:pPr>
          </w:p>
        </w:tc>
      </w:tr>
      <w:tr>
        <w:trPr>
          <w:trHeight w:val="232"/>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Florida</w:t>
            </w:r>
          </w:p>
        </w:tc>
        <w:tc>
          <w:tcPr>
            <w:tcW w:w="400" w:type="dxa"/>
            <w:vAlign w:val="bottom"/>
          </w:tcPr>
          <w:p>
            <w:pPr>
              <w:jc w:val="right"/>
              <w:ind w:right="124"/>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0.84</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0.96</w:t>
            </w:r>
          </w:p>
        </w:tc>
        <w:tc>
          <w:tcPr>
            <w:tcW w:w="0" w:type="dxa"/>
            <w:vAlign w:val="bottom"/>
          </w:tcPr>
          <w:p>
            <w:pPr>
              <w:spacing w:after="0"/>
              <w:rPr>
                <w:sz w:val="1"/>
                <w:szCs w:val="1"/>
                <w:color w:val="auto"/>
              </w:rPr>
            </w:pPr>
          </w:p>
        </w:tc>
      </w:tr>
      <w:tr>
        <w:trPr>
          <w:trHeight w:val="232"/>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Illinois</w:t>
            </w:r>
          </w:p>
        </w:tc>
        <w:tc>
          <w:tcPr>
            <w:tcW w:w="400" w:type="dxa"/>
            <w:vAlign w:val="bottom"/>
          </w:tcPr>
          <w:p>
            <w:pPr>
              <w:jc w:val="right"/>
              <w:ind w:right="124"/>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0.66</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232"/>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New York</w:t>
            </w:r>
          </w:p>
        </w:tc>
        <w:tc>
          <w:tcPr>
            <w:tcW w:w="400" w:type="dxa"/>
            <w:vAlign w:val="bottom"/>
          </w:tcPr>
          <w:p>
            <w:pPr>
              <w:jc w:val="right"/>
              <w:ind w:right="124"/>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0.75</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0.79</w:t>
            </w:r>
          </w:p>
        </w:tc>
        <w:tc>
          <w:tcPr>
            <w:tcW w:w="0" w:type="dxa"/>
            <w:vAlign w:val="bottom"/>
          </w:tcPr>
          <w:p>
            <w:pPr>
              <w:spacing w:after="0"/>
              <w:rPr>
                <w:sz w:val="1"/>
                <w:szCs w:val="1"/>
                <w:color w:val="auto"/>
              </w:rPr>
            </w:pPr>
          </w:p>
        </w:tc>
      </w:tr>
      <w:tr>
        <w:trPr>
          <w:trHeight w:val="232"/>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Texas</w:t>
            </w:r>
          </w:p>
        </w:tc>
        <w:tc>
          <w:tcPr>
            <w:tcW w:w="400" w:type="dxa"/>
            <w:vAlign w:val="bottom"/>
          </w:tcPr>
          <w:p>
            <w:pPr>
              <w:jc w:val="right"/>
              <w:ind w:right="124"/>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0.66</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32"/>
        </w:trPr>
        <w:tc>
          <w:tcPr>
            <w:tcW w:w="5180" w:type="dxa"/>
            <w:vAlign w:val="bottom"/>
            <w:gridSpan w:val="2"/>
          </w:tcPr>
          <w:p>
            <w:pPr>
              <w:ind w:left="160"/>
              <w:spacing w:after="0"/>
              <w:rPr>
                <w:sz w:val="20"/>
                <w:szCs w:val="20"/>
                <w:color w:val="auto"/>
              </w:rPr>
            </w:pPr>
            <w:r>
              <w:rPr>
                <w:rFonts w:ascii="Arial" w:cs="Arial" w:eastAsia="Arial" w:hAnsi="Arial"/>
                <w:sz w:val="15"/>
                <w:szCs w:val="15"/>
                <w:color w:val="auto"/>
              </w:rPr>
              <w:t>All other states</w:t>
            </w:r>
          </w:p>
        </w:tc>
        <w:tc>
          <w:tcPr>
            <w:tcW w:w="400" w:type="dxa"/>
            <w:vAlign w:val="bottom"/>
          </w:tcPr>
          <w:p>
            <w:pPr>
              <w:jc w:val="right"/>
              <w:ind w:right="124"/>
              <w:spacing w:after="0"/>
              <w:rPr>
                <w:sz w:val="20"/>
                <w:szCs w:val="20"/>
                <w:color w:val="auto"/>
              </w:rPr>
            </w:pPr>
            <w:r>
              <w:rPr>
                <w:rFonts w:ascii="Arial" w:cs="Arial" w:eastAsia="Arial" w:hAnsi="Arial"/>
                <w:sz w:val="15"/>
                <w:szCs w:val="15"/>
                <w:b w:val="1"/>
                <w:bCs w:val="1"/>
                <w:color w:val="auto"/>
              </w:rPr>
              <w:t>60</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0.49</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16"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 greater than 80%. We stratify multifamily loans into different internal risk categories based on the credit risk inherent in each individual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96" w:name="page97"/>
    <w:bookmarkEnd w:id="96"/>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40" w:type="dxa"/>
            <w:vAlign w:val="bottom"/>
            <w:tcBorders>
              <w:top w:val="single" w:sz="8" w:color="2C6937"/>
              <w:bottom w:val="single" w:sz="8" w:color="2C6937"/>
            </w:tcBorders>
            <w:gridSpan w:val="4"/>
          </w:tcPr>
          <w:p>
            <w:pPr>
              <w:jc w:val="right"/>
              <w:ind w:right="1050"/>
              <w:spacing w:after="0"/>
              <w:rPr>
                <w:sz w:val="20"/>
                <w:szCs w:val="20"/>
                <w:color w:val="auto"/>
              </w:rPr>
            </w:pPr>
            <w:r>
              <w:rPr>
                <w:rFonts w:ascii="Arial" w:cs="Arial" w:eastAsia="Arial" w:hAnsi="Arial"/>
                <w:sz w:val="14"/>
                <w:szCs w:val="14"/>
                <w:b w:val="1"/>
                <w:bCs w:val="1"/>
                <w:color w:val="auto"/>
              </w:rPr>
              <w:t>June 30, 2025</w:t>
            </w:r>
            <w:r>
              <w:rPr>
                <w:rFonts w:ascii="Arial" w:cs="Arial" w:eastAsia="Arial" w:hAnsi="Arial"/>
                <w:sz w:val="17"/>
                <w:szCs w:val="17"/>
                <w:b w:val="1"/>
                <w:bCs w:val="1"/>
                <w:color w:val="auto"/>
                <w:vertAlign w:val="superscript"/>
              </w:rPr>
              <w:t>(1)</w:t>
            </w:r>
          </w:p>
        </w:tc>
        <w:tc>
          <w:tcPr>
            <w:tcW w:w="10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2024</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0.61 %</w:t>
            </w:r>
          </w:p>
        </w:tc>
        <w:tc>
          <w:tcPr>
            <w:tcW w:w="100" w:type="dxa"/>
            <w:vAlign w:val="bottom"/>
          </w:tcPr>
          <w:p>
            <w:pPr>
              <w:spacing w:after="0"/>
              <w:rPr>
                <w:sz w:val="18"/>
                <w:szCs w:val="18"/>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0.57 %</w:t>
            </w:r>
          </w:p>
        </w:tc>
        <w:tc>
          <w:tcPr>
            <w:tcW w:w="0" w:type="dxa"/>
            <w:vAlign w:val="bottom"/>
          </w:tcPr>
          <w:p>
            <w:pPr>
              <w:spacing w:after="0"/>
              <w:rPr>
                <w:sz w:val="1"/>
                <w:szCs w:val="1"/>
                <w:color w:val="auto"/>
              </w:rPr>
            </w:pPr>
          </w:p>
        </w:tc>
      </w:tr>
      <w:tr>
        <w:trPr>
          <w:trHeight w:val="399"/>
        </w:trPr>
        <w:tc>
          <w:tcPr>
            <w:tcW w:w="15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2C6937"/>
            </w:tcBorders>
            <w:gridSpan w:val="4"/>
          </w:tcPr>
          <w:p>
            <w:pPr>
              <w:jc w:val="right"/>
              <w:ind w:right="111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2024</w:t>
            </w:r>
          </w:p>
        </w:tc>
        <w:tc>
          <w:tcPr>
            <w:tcW w:w="0" w:type="dxa"/>
            <w:vAlign w:val="bottom"/>
          </w:tcPr>
          <w:p>
            <w:pPr>
              <w:spacing w:after="0"/>
              <w:rPr>
                <w:sz w:val="1"/>
                <w:szCs w:val="1"/>
                <w:color w:val="auto"/>
              </w:rPr>
            </w:pPr>
          </w:p>
        </w:tc>
      </w:tr>
      <w:tr>
        <w:trPr>
          <w:trHeight w:val="178"/>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3"/>
        </w:trPr>
        <w:tc>
          <w:tcPr>
            <w:tcW w:w="16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Book of Business</w:t>
            </w:r>
            <w:r>
              <w:rPr>
                <w:rFonts w:ascii="Arial" w:cs="Arial" w:eastAsia="Arial" w:hAnsi="Arial"/>
                <w:sz w:val="8"/>
                <w:szCs w:val="8"/>
                <w:b w:val="1"/>
                <w:bCs w:val="1"/>
                <w:color w:val="auto"/>
                <w:w w:val="99"/>
              </w:rPr>
              <w:t>(1)</w:t>
            </w:r>
          </w:p>
        </w:tc>
        <w:tc>
          <w:tcPr>
            <w:tcW w:w="1660" w:type="dxa"/>
            <w:vAlign w:val="bottom"/>
            <w:gridSpan w:val="2"/>
          </w:tcPr>
          <w:p>
            <w:pPr>
              <w:jc w:val="center"/>
              <w:ind w:right="140"/>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Book of Business</w:t>
            </w:r>
            <w:r>
              <w:rPr>
                <w:rFonts w:ascii="Arial" w:cs="Arial" w:eastAsia="Arial" w:hAnsi="Arial"/>
                <w:sz w:val="8"/>
                <w:szCs w:val="8"/>
                <w:b w:val="1"/>
                <w:bCs w:val="1"/>
                <w:color w:val="auto"/>
                <w:w w:val="99"/>
              </w:rPr>
              <w:t>(1)</w:t>
            </w:r>
          </w:p>
        </w:tc>
        <w:tc>
          <w:tcPr>
            <w:tcW w:w="1560" w:type="dxa"/>
            <w:vAlign w:val="bottom"/>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451"/>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0.11 %</w:t>
            </w:r>
          </w:p>
        </w:tc>
        <w:tc>
          <w:tcPr>
            <w:tcW w:w="100" w:type="dxa"/>
            <w:vAlign w:val="bottom"/>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0.12 %</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0.61</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4.84</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2">
            <w:col w:w="3940" w:space="720"/>
            <w:col w:w="6580"/>
          </w:cols>
          <w:pgMar w:left="320" w:top="248" w:right="339" w:bottom="1440" w:gutter="0" w:footer="0" w:header="0"/>
          <w:type w:val="continuous"/>
        </w:sectPr>
      </w:pPr>
    </w:p>
    <w:p>
      <w:pPr>
        <w:ind w:left="240" w:right="400" w:hanging="237"/>
        <w:spacing w:after="0" w:line="218" w:lineRule="auto"/>
        <w:tabs>
          <w:tab w:leader="none" w:pos="233"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ind w:left="220" w:hanging="217"/>
        <w:spacing w:after="0"/>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37" w:lineRule="exact"/>
        <w:rPr>
          <w:rFonts w:ascii="Arial" w:cs="Arial" w:eastAsia="Arial" w:hAnsi="Arial"/>
          <w:sz w:val="18"/>
          <w:szCs w:val="18"/>
          <w:color w:val="auto"/>
          <w:vertAlign w:val="superscript"/>
        </w:rPr>
      </w:pPr>
    </w:p>
    <w:p>
      <w:pPr>
        <w:ind w:left="240" w:right="140" w:hanging="237"/>
        <w:spacing w:after="0" w:line="219" w:lineRule="auto"/>
        <w:tabs>
          <w:tab w:leader="none" w:pos="233"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26" w:lineRule="exact"/>
        <w:rPr>
          <w:rFonts w:ascii="Arial" w:cs="Arial" w:eastAsia="Arial" w:hAnsi="Arial"/>
          <w:sz w:val="18"/>
          <w:szCs w:val="18"/>
          <w:color w:val="auto"/>
          <w:vertAlign w:val="superscript"/>
        </w:rPr>
      </w:pPr>
    </w:p>
    <w:p>
      <w:pPr>
        <w:ind w:left="240" w:right="380" w:hanging="237"/>
        <w:spacing w:after="0" w:line="218" w:lineRule="auto"/>
        <w:tabs>
          <w:tab w:leader="none" w:pos="233"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including the related debt service covering a 12-month period, from quarterly and annual statements for these properties.</w:t>
      </w:r>
    </w:p>
    <w:p>
      <w:pPr>
        <w:spacing w:after="0" w:line="9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81"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For information on credit risk associated with our derivative transactions and repurchase agreements see “Note 9, Derivative Instruments” and “Note 12, Netting Arrangements.” For information on other concentrations related to mortgage insurers and mortgage servicers and sellers, see “Note 14, Concentrations of Credit Risk—Other Concentrations” in our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558165</wp:posOffset>
            </wp:positionV>
            <wp:extent cx="68059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7" w:name="page98"/>
    <w:bookmarkEnd w:id="97"/>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securities purchased under agreements to resell, and securities sold under agreements to repurchase, which are subject to an enforceable master netting arrangement or similar agreement that are either offset or not offset in our condensed consolidated balance sheets.</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As of June 30, 2025</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1"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restart"/>
          </w:tcPr>
          <w:p>
            <w:pPr>
              <w:jc w:val="center"/>
              <w:ind w:right="330"/>
              <w:spacing w:after="0" w:line="131"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56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445</w:t>
            </w:r>
          </w:p>
        </w:tc>
        <w:tc>
          <w:tcPr>
            <w:tcW w:w="40" w:type="dxa"/>
            <w:vAlign w:val="bottom"/>
          </w:tcPr>
          <w:p>
            <w:pPr>
              <w:spacing w:after="0"/>
              <w:rPr>
                <w:sz w:val="21"/>
                <w:szCs w:val="21"/>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(404)</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141</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141</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(62)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183</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(62)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63,878</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63,878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(63,878)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64,464</w:t>
            </w:r>
          </w:p>
        </w:tc>
        <w:tc>
          <w:tcPr>
            <w:tcW w:w="4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(403)</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64,061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(62)</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(63,880)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(1,567)</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1,565</w:t>
            </w: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(85)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(192)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(192)</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44"/>
              <w:spacing w:after="0"/>
              <w:rPr>
                <w:sz w:val="20"/>
                <w:szCs w:val="20"/>
                <w:color w:val="auto"/>
              </w:rPr>
            </w:pPr>
            <w:r>
              <w:rPr>
                <w:rFonts w:ascii="Arial" w:cs="Arial" w:eastAsia="Arial" w:hAnsi="Arial"/>
                <w:sz w:val="15"/>
                <w:szCs w:val="15"/>
                <w:color w:val="auto"/>
                <w:w w:val="95"/>
              </w:rPr>
              <w:t>62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(1,759)</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1,480</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(279)</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44"/>
              <w:spacing w:after="0"/>
              <w:rPr>
                <w:sz w:val="20"/>
                <w:szCs w:val="20"/>
                <w:color w:val="auto"/>
              </w:rPr>
            </w:pPr>
            <w:r>
              <w:rPr>
                <w:rFonts w:ascii="Arial" w:cs="Arial" w:eastAsia="Arial" w:hAnsi="Arial"/>
                <w:sz w:val="15"/>
                <w:szCs w:val="15"/>
                <w:color w:val="auto"/>
                <w:w w:val="95"/>
              </w:rPr>
              <w:t>62</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2024</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5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350"/>
              <w:spacing w:after="0" w:line="119"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3"/>
          </w:tcPr>
          <w:p>
            <w:pPr>
              <w:jc w:val="center"/>
              <w:ind w:right="350"/>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401</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(383)</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112</w:t>
            </w:r>
          </w:p>
        </w:tc>
        <w:tc>
          <w:tcPr>
            <w:tcW w:w="20" w:type="dxa"/>
            <w:vAlign w:val="bottom"/>
            <w:tcBorders>
              <w:bottom w:val="single" w:sz="8" w:color="2C6937"/>
            </w:tcBorders>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26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5"/>
                <w:szCs w:val="15"/>
                <w:color w:val="auto"/>
              </w:rPr>
              <w:t>151</w:t>
            </w: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2C6937"/>
            </w:tcBorders>
          </w:tcPr>
          <w:p>
            <w:pPr>
              <w:spacing w:after="0"/>
              <w:rPr>
                <w:sz w:val="20"/>
                <w:szCs w:val="20"/>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56,250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56,250</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(56,250)</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Total assets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56,763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(362)</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56,401</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(56,264)</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(2,368)</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2,368</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450"/>
              <w:spacing w:after="0"/>
              <w:rPr>
                <w:sz w:val="20"/>
                <w:szCs w:val="20"/>
                <w:color w:val="auto"/>
              </w:rPr>
            </w:pPr>
            <w:r>
              <w:rPr>
                <w:rFonts w:ascii="Arial" w:cs="Arial" w:eastAsia="Arial" w:hAnsi="Arial"/>
                <w:sz w:val="15"/>
                <w:szCs w:val="15"/>
                <w:color w:val="auto"/>
              </w:rPr>
              <w:t>—</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0"/>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(2,505)</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2,367</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00" w:lineRule="exact"/>
              <w:rPr>
                <w:sz w:val="20"/>
                <w:szCs w:val="20"/>
                <w:color w:val="auto"/>
              </w:rPr>
            </w:pPr>
            <w:r>
              <w:rPr>
                <w:rFonts w:ascii="Arial" w:cs="Arial" w:eastAsia="Arial" w:hAnsi="Arial"/>
                <w:sz w:val="15"/>
                <w:szCs w:val="15"/>
                <w:color w:val="auto"/>
              </w:rPr>
              <w:t xml:space="preserve">(138)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60" w:type="dxa"/>
            <w:vAlign w:val="bottom"/>
            <w:tcBorders>
              <w:top w:val="single" w:sz="8" w:color="2C6937"/>
              <w:bottom w:val="single" w:sz="8" w:color="2C6937"/>
            </w:tcBorders>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40" w:hanging="237"/>
        <w:spacing w:after="0" w:line="226" w:lineRule="auto"/>
        <w:tabs>
          <w:tab w:leader="none" w:pos="233"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98" w:name="page99"/>
    <w:bookmarkEnd w:id="98"/>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360" w:hanging="237"/>
        <w:spacing w:after="0" w:line="226" w:lineRule="auto"/>
        <w:tabs>
          <w:tab w:leader="none" w:pos="233"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Represents collateral received that has not been recognized and has not been offset in our condensed consolidated balance sheets, as well as collateral posted that has been recognized but not offset in our condensed consolidated balance sheets. Does not include collateral held or posted in excess of our exposure.</w:t>
      </w:r>
    </w:p>
    <w:p>
      <w:pPr>
        <w:spacing w:after="0" w:line="27" w:lineRule="exact"/>
        <w:rPr>
          <w:rFonts w:ascii="Arial" w:cs="Arial" w:eastAsia="Arial" w:hAnsi="Arial"/>
          <w:sz w:val="18"/>
          <w:szCs w:val="18"/>
          <w:color w:val="auto"/>
          <w:vertAlign w:val="superscript"/>
        </w:rPr>
      </w:pPr>
    </w:p>
    <w:p>
      <w:pPr>
        <w:ind w:left="240" w:hanging="237"/>
        <w:spacing w:after="0" w:line="233" w:lineRule="auto"/>
        <w:tabs>
          <w:tab w:leader="none" w:pos="233" w:val="left"/>
        </w:tabs>
        <w:numPr>
          <w:ilvl w:val="0"/>
          <w:numId w:val="77"/>
        </w:numPr>
        <w:rPr>
          <w:rFonts w:ascii="Arial" w:cs="Arial" w:eastAsia="Arial" w:hAnsi="Arial"/>
          <w:sz w:val="17"/>
          <w:szCs w:val="17"/>
          <w:color w:val="auto"/>
          <w:vertAlign w:val="superscript"/>
        </w:rPr>
      </w:pPr>
      <w:r>
        <w:rPr>
          <w:rFonts w:ascii="Arial" w:cs="Arial" w:eastAsia="Arial" w:hAnsi="Arial"/>
          <w:sz w:val="13"/>
          <w:szCs w:val="13"/>
          <w:color w:val="auto"/>
        </w:rPr>
        <w:t>Excludes derivative assets of $22 million and $28 million as of June 30, 2025 and December 31, 2024, respectively, and derivative liabilities of $14 million and $16 million as of June 30, 2025 and December 31, 2024, respectively, recognized in our condensed consolidated balance sheets, that were not subject to enforceable master netting arrangements.</w:t>
      </w:r>
    </w:p>
    <w:p>
      <w:pPr>
        <w:spacing w:after="0" w:line="26" w:lineRule="exact"/>
        <w:rPr>
          <w:rFonts w:ascii="Arial" w:cs="Arial" w:eastAsia="Arial" w:hAnsi="Arial"/>
          <w:sz w:val="17"/>
          <w:szCs w:val="17"/>
          <w:color w:val="auto"/>
          <w:vertAlign w:val="superscript"/>
        </w:rPr>
      </w:pPr>
    </w:p>
    <w:p>
      <w:pPr>
        <w:jc w:val="both"/>
        <w:ind w:left="240" w:right="80" w:hanging="237"/>
        <w:spacing w:after="0" w:line="264" w:lineRule="auto"/>
        <w:tabs>
          <w:tab w:leader="none" w:pos="233" w:val="left"/>
        </w:tabs>
        <w:numPr>
          <w:ilvl w:val="0"/>
          <w:numId w:val="77"/>
        </w:numPr>
        <w:rPr>
          <w:rFonts w:ascii="Arial" w:cs="Arial" w:eastAsia="Arial" w:hAnsi="Arial"/>
          <w:sz w:val="9"/>
          <w:szCs w:val="9"/>
          <w:color w:val="auto"/>
        </w:rPr>
      </w:pPr>
      <w:r>
        <w:rPr>
          <w:rFonts w:ascii="Arial" w:cs="Arial" w:eastAsia="Arial" w:hAnsi="Arial"/>
          <w:sz w:val="14"/>
          <w:szCs w:val="14"/>
          <w:color w:val="auto"/>
        </w:rPr>
        <w:t>Includes $25.9 billion and $25.4 billion in securities purchased under agreements to resell classified as “Cash and cash equivalents” in our condensed consolidated balance sheets as of June 30, 2025 and December 31, 2024, respectively. Includes $14.2 billion and $14.9 billion in securities purchased under agreements to resell classified as “Restricted cash and cash equivalents” in our condensed consolidated balance sheets as of June 30, 2025 and December 31, 2024, respectively.</w:t>
      </w:r>
    </w:p>
    <w:p>
      <w:pPr>
        <w:spacing w:after="0" w:line="34"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2024 Form 10-K.</w:t>
      </w:r>
    </w:p>
    <w:p>
      <w:pPr>
        <w:spacing w:after="0" w:line="129"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8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81" w:lineRule="exact"/>
        <w:rPr>
          <w:sz w:val="20"/>
          <w:szCs w:val="20"/>
          <w:color w:val="auto"/>
        </w:rPr>
      </w:pPr>
    </w:p>
    <w:p>
      <w:pPr>
        <w:ind w:right="500"/>
        <w:spacing w:after="0" w:line="272"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as follows:</w:t>
      </w:r>
    </w:p>
    <w:p>
      <w:pPr>
        <w:spacing w:after="0" w:line="32" w:lineRule="exact"/>
        <w:rPr>
          <w:sz w:val="20"/>
          <w:szCs w:val="20"/>
          <w:color w:val="auto"/>
        </w:rPr>
      </w:pPr>
    </w:p>
    <w:p>
      <w:pPr>
        <w:ind w:left="620" w:hanging="307"/>
        <w:spacing w:after="0"/>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for identical assets or liabilities.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Level 2: Limited observable inputs or observable inputs for similar assets and liabilities.</w:t>
      </w:r>
    </w:p>
    <w:p>
      <w:pPr>
        <w:spacing w:after="0" w:line="86" w:lineRule="exact"/>
        <w:rPr>
          <w:rFonts w:ascii="Times New Roman" w:cs="Times New Roman" w:eastAsia="Times New Roman" w:hAnsi="Times New Roman"/>
          <w:sz w:val="16"/>
          <w:szCs w:val="16"/>
          <w:color w:val="auto"/>
        </w:rPr>
      </w:pPr>
    </w:p>
    <w:p>
      <w:pPr>
        <w:ind w:left="620" w:hanging="307"/>
        <w:spacing w:after="0"/>
        <w:tabs>
          <w:tab w:leader="none" w:pos="62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Level 3: Unobservable inputs.</w:t>
      </w:r>
    </w:p>
    <w:p>
      <w:pPr>
        <w:spacing w:after="0" w:line="8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2024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bookmarkStart w:id="99" w:name="page100"/>
    <w:bookmarkEnd w:id="99"/>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3660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3660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3660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3660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380"/>
        <w:spacing w:after="0"/>
        <w:rPr>
          <w:sz w:val="20"/>
          <w:szCs w:val="20"/>
          <w:color w:val="auto"/>
        </w:rPr>
      </w:pPr>
      <w:r>
        <w:rPr>
          <w:rFonts w:ascii="Arial" w:cs="Arial" w:eastAsia="Arial" w:hAnsi="Arial"/>
          <w:sz w:val="12"/>
          <w:szCs w:val="12"/>
          <w:b w:val="1"/>
          <w:bCs w:val="1"/>
          <w:color w:val="auto"/>
        </w:rPr>
        <w:t>Fair Value Measurements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4657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6577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80" w:type="dxa"/>
            <w:vAlign w:val="bottom"/>
            <w:gridSpan w:val="4"/>
          </w:tcPr>
          <w:p>
            <w:pPr>
              <w:jc w:val="center"/>
              <w:ind w:right="200"/>
              <w:spacing w:after="0" w:line="129"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29"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3"/>
            <w:vMerge w:val="continue"/>
          </w:tcPr>
          <w:p>
            <w:pPr>
              <w:spacing w:after="0"/>
              <w:rPr>
                <w:sz w:val="16"/>
                <w:szCs w:val="16"/>
                <w:color w:val="auto"/>
              </w:rPr>
            </w:pPr>
          </w:p>
        </w:tc>
        <w:tc>
          <w:tcPr>
            <w:tcW w:w="142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1,160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25</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75,788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75,807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75,788</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1,179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76,992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399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561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(403)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75,788</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6,295</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847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(403)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82,527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78</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249</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15,204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15,305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15,282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15,632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1,759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17,041</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(1,480)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15,925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2C6937"/>
            </w:tcBorders>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2024</w:t>
            </w:r>
          </w:p>
        </w:tc>
        <w:tc>
          <w:tcPr>
            <w:tcW w:w="5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gridSpan w:val="4"/>
          </w:tcPr>
          <w:p>
            <w:pPr>
              <w:jc w:val="center"/>
              <w:ind w:right="200"/>
              <w:spacing w:after="0" w:line="137"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50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1,070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1,090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78,728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3,345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(362)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4,964</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908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83,120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136</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249</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13,188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13,324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2,506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15,830</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(2,367)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13,831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441960</wp:posOffset>
            </wp:positionV>
            <wp:extent cx="680593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360"/>
          </w:cols>
          <w:pgMar w:left="320" w:top="248"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100" w:name="page101"/>
    <w:bookmarkEnd w:id="100"/>
    <w:p>
      <w:pPr>
        <w:jc w:val="right"/>
        <w:ind w:right="1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700" w:hanging="237"/>
        <w:spacing w:after="0" w:line="226" w:lineRule="auto"/>
        <w:tabs>
          <w:tab w:leader="none" w:pos="233"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Primarily consists of U.S. Treasury securities.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or Ginnie Mae.</w:t>
      </w:r>
    </w:p>
    <w:p>
      <w:pPr>
        <w:spacing w:after="0" w:line="63"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March 31, 2025</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26276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26276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December 31, 2024</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6276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6276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26276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March 31, 2024</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262763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262763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00" w:type="dxa"/>
            <w:vAlign w:val="bottom"/>
            <w:tcBorders>
              <w:top w:val="single" w:sz="8" w:color="2C6937"/>
            </w:tcBorders>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tcBorders>
              <w:top w:val="single" w:sz="8" w:color="2C6937"/>
            </w:tcBorders>
            <w:gridSpan w:val="3"/>
          </w:tcPr>
          <w:p>
            <w:pPr>
              <w:jc w:val="center"/>
              <w:ind w:right="60"/>
              <w:spacing w:after="0" w:line="137"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Borders>
              <w:top w:val="single" w:sz="8" w:color="2C6937"/>
            </w:tcBorders>
          </w:tcPr>
          <w:p>
            <w:pPr>
              <w:spacing w:after="0"/>
              <w:rPr>
                <w:sz w:val="11"/>
                <w:szCs w:val="11"/>
                <w:color w:val="auto"/>
              </w:rPr>
            </w:pPr>
          </w:p>
        </w:tc>
        <w:tc>
          <w:tcPr>
            <w:tcW w:w="1300" w:type="dxa"/>
            <w:vAlign w:val="bottom"/>
            <w:tcBorders>
              <w:top w:val="single" w:sz="8" w:color="2C6937"/>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Borders>
              <w:top w:val="single" w:sz="8" w:color="2C6937"/>
            </w:tcBorders>
          </w:tcPr>
          <w:p>
            <w:pPr>
              <w:spacing w:after="0"/>
              <w:rPr>
                <w:sz w:val="11"/>
                <w:szCs w:val="11"/>
                <w:color w:val="auto"/>
              </w:rPr>
            </w:pPr>
          </w:p>
        </w:tc>
        <w:tc>
          <w:tcPr>
            <w:tcW w:w="1300" w:type="dxa"/>
            <w:vAlign w:val="bottom"/>
            <w:tcBorders>
              <w:top w:val="single" w:sz="8" w:color="2C6937"/>
            </w:tcBorders>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Borders>
              <w:top w:val="single" w:sz="8" w:color="2C6937"/>
            </w:tcBorders>
          </w:tcPr>
          <w:p>
            <w:pPr>
              <w:spacing w:after="0"/>
              <w:rPr>
                <w:sz w:val="11"/>
                <w:szCs w:val="11"/>
                <w:color w:val="auto"/>
              </w:rPr>
            </w:pPr>
          </w:p>
        </w:tc>
        <w:tc>
          <w:tcPr>
            <w:tcW w:w="1200" w:type="dxa"/>
            <w:vAlign w:val="bottom"/>
            <w:tcBorders>
              <w:top w:val="single" w:sz="8" w:color="2C6937"/>
            </w:tcBorders>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80"/>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600" w:type="dxa"/>
            <w:vAlign w:val="bottom"/>
            <w:tcBorders>
              <w:top w:val="single" w:sz="8" w:color="216C2B"/>
              <w:bottom w:val="single" w:sz="8" w:color="2C6937"/>
            </w:tcBorders>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6"/>
                <w:szCs w:val="16"/>
                <w:color w:val="auto"/>
              </w:rPr>
            </w:pPr>
          </w:p>
        </w:tc>
        <w:tc>
          <w:tcPr>
            <w:tcW w:w="220" w:type="dxa"/>
            <w:vAlign w:val="bottom"/>
            <w:tcBorders>
              <w:top w:val="single" w:sz="8" w:color="216C2B"/>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399</w:t>
            </w:r>
          </w:p>
        </w:tc>
        <w:tc>
          <w:tcPr>
            <w:tcW w:w="80" w:type="dxa"/>
            <w:vAlign w:val="bottom"/>
          </w:tcPr>
          <w:p>
            <w:pPr>
              <w:spacing w:after="0"/>
              <w:rPr>
                <w:sz w:val="16"/>
                <w:szCs w:val="16"/>
                <w:color w:val="auto"/>
              </w:rPr>
            </w:pPr>
          </w:p>
        </w:tc>
        <w:tc>
          <w:tcPr>
            <w:tcW w:w="120" w:type="dxa"/>
            <w:vAlign w:val="bottom"/>
            <w:tcBorders>
              <w:top w:val="single" w:sz="8" w:color="216C2B"/>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6"/>
                <w:szCs w:val="16"/>
                <w:color w:val="auto"/>
              </w:rPr>
            </w:pPr>
          </w:p>
        </w:tc>
        <w:tc>
          <w:tcPr>
            <w:tcW w:w="14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1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(350)</w:t>
            </w:r>
          </w:p>
        </w:tc>
        <w:tc>
          <w:tcPr>
            <w:tcW w:w="0" w:type="dxa"/>
            <w:vAlign w:val="bottom"/>
          </w:tcPr>
          <w:p>
            <w:pPr>
              <w:spacing w:after="0"/>
              <w:rPr>
                <w:sz w:val="1"/>
                <w:szCs w:val="1"/>
                <w:color w:val="auto"/>
              </w:rPr>
            </w:pPr>
          </w:p>
        </w:tc>
      </w:tr>
      <w:tr>
        <w:trPr>
          <w:trHeight w:val="20"/>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00" w:type="dxa"/>
            <w:vAlign w:val="bottom"/>
            <w:tcBorders>
              <w:bottom w:val="single" w:sz="8" w:color="2C6937"/>
            </w:tcBorders>
          </w:tcPr>
          <w:p>
            <w:pPr>
              <w:spacing w:after="0"/>
              <w:rPr>
                <w:sz w:val="24"/>
                <w:szCs w:val="24"/>
                <w:color w:val="auto"/>
              </w:rPr>
            </w:pPr>
          </w:p>
        </w:tc>
        <w:tc>
          <w:tcPr>
            <w:tcW w:w="6400" w:type="dxa"/>
            <w:vAlign w:val="bottom"/>
            <w:tcBorders>
              <w:bottom w:val="single" w:sz="8" w:color="2C6937"/>
            </w:tcBorders>
            <w:gridSpan w:val="13"/>
          </w:tcPr>
          <w:p>
            <w:pPr>
              <w:jc w:val="center"/>
              <w:ind w:right="53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39"/>
        </w:trPr>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600" w:type="dxa"/>
            <w:vAlign w:val="bottom"/>
            <w:tcBorders>
              <w:top w:val="single" w:sz="8" w:color="216C2B"/>
              <w:bottom w:val="single" w:sz="8" w:color="2C6937"/>
            </w:tcBorders>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6"/>
                <w:szCs w:val="16"/>
                <w:color w:val="auto"/>
              </w:rPr>
            </w:pPr>
          </w:p>
        </w:tc>
        <w:tc>
          <w:tcPr>
            <w:tcW w:w="220" w:type="dxa"/>
            <w:vAlign w:val="bottom"/>
            <w:tcBorders>
              <w:top w:val="single" w:sz="8" w:color="216C2B"/>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399</w:t>
            </w:r>
          </w:p>
        </w:tc>
        <w:tc>
          <w:tcPr>
            <w:tcW w:w="80" w:type="dxa"/>
            <w:vAlign w:val="bottom"/>
          </w:tcPr>
          <w:p>
            <w:pPr>
              <w:spacing w:after="0"/>
              <w:rPr>
                <w:sz w:val="16"/>
                <w:szCs w:val="16"/>
                <w:color w:val="auto"/>
              </w:rPr>
            </w:pPr>
          </w:p>
        </w:tc>
        <w:tc>
          <w:tcPr>
            <w:tcW w:w="120" w:type="dxa"/>
            <w:vAlign w:val="bottom"/>
            <w:tcBorders>
              <w:top w:val="single" w:sz="8" w:color="216C2B"/>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6"/>
                <w:szCs w:val="16"/>
                <w:color w:val="auto"/>
              </w:rPr>
            </w:pPr>
          </w:p>
        </w:tc>
        <w:tc>
          <w:tcPr>
            <w:tcW w:w="14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1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(350)</w:t>
            </w:r>
          </w:p>
        </w:tc>
        <w:tc>
          <w:tcPr>
            <w:tcW w:w="0" w:type="dxa"/>
            <w:vAlign w:val="bottom"/>
          </w:tcPr>
          <w:p>
            <w:pPr>
              <w:spacing w:after="0"/>
              <w:rPr>
                <w:sz w:val="1"/>
                <w:szCs w:val="1"/>
                <w:color w:val="auto"/>
              </w:rPr>
            </w:pPr>
          </w:p>
        </w:tc>
      </w:tr>
      <w:tr>
        <w:trPr>
          <w:trHeight w:val="20"/>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00" w:type="dxa"/>
            <w:vAlign w:val="bottom"/>
            <w:tcBorders>
              <w:bottom w:val="single" w:sz="8" w:color="2C6937"/>
            </w:tcBorders>
          </w:tcPr>
          <w:p>
            <w:pPr>
              <w:spacing w:after="0"/>
              <w:rPr>
                <w:sz w:val="24"/>
                <w:szCs w:val="24"/>
                <w:color w:val="auto"/>
              </w:rPr>
            </w:pPr>
          </w:p>
        </w:tc>
        <w:tc>
          <w:tcPr>
            <w:tcW w:w="6400" w:type="dxa"/>
            <w:vAlign w:val="bottom"/>
            <w:tcBorders>
              <w:bottom w:val="single" w:sz="8" w:color="2C6937"/>
            </w:tcBorders>
            <w:gridSpan w:val="13"/>
          </w:tcPr>
          <w:p>
            <w:pPr>
              <w:jc w:val="center"/>
              <w:ind w:right="49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39"/>
        </w:trPr>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600" w:type="dxa"/>
            <w:vAlign w:val="bottom"/>
            <w:tcBorders>
              <w:top w:val="single" w:sz="8" w:color="216C2B"/>
              <w:bottom w:val="single" w:sz="8" w:color="2C6937"/>
            </w:tcBorders>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6"/>
                <w:szCs w:val="16"/>
                <w:color w:val="auto"/>
              </w:rPr>
            </w:pPr>
          </w:p>
        </w:tc>
        <w:tc>
          <w:tcPr>
            <w:tcW w:w="220" w:type="dxa"/>
            <w:vAlign w:val="bottom"/>
            <w:tcBorders>
              <w:top w:val="single" w:sz="8" w:color="216C2B"/>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461</w:t>
            </w:r>
          </w:p>
        </w:tc>
        <w:tc>
          <w:tcPr>
            <w:tcW w:w="80" w:type="dxa"/>
            <w:vAlign w:val="bottom"/>
          </w:tcPr>
          <w:p>
            <w:pPr>
              <w:spacing w:after="0"/>
              <w:rPr>
                <w:sz w:val="16"/>
                <w:szCs w:val="16"/>
                <w:color w:val="auto"/>
              </w:rPr>
            </w:pPr>
          </w:p>
        </w:tc>
        <w:tc>
          <w:tcPr>
            <w:tcW w:w="120" w:type="dxa"/>
            <w:vAlign w:val="bottom"/>
            <w:tcBorders>
              <w:top w:val="single" w:sz="8" w:color="216C2B"/>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425</w:t>
            </w:r>
          </w:p>
        </w:tc>
        <w:tc>
          <w:tcPr>
            <w:tcW w:w="80" w:type="dxa"/>
            <w:vAlign w:val="bottom"/>
          </w:tcPr>
          <w:p>
            <w:pPr>
              <w:spacing w:after="0"/>
              <w:rPr>
                <w:sz w:val="16"/>
                <w:szCs w:val="16"/>
                <w:color w:val="auto"/>
              </w:rPr>
            </w:pPr>
          </w:p>
        </w:tc>
        <w:tc>
          <w:tcPr>
            <w:tcW w:w="14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6"/>
                <w:szCs w:val="16"/>
                <w:color w:val="auto"/>
              </w:rPr>
            </w:pPr>
          </w:p>
        </w:tc>
        <w:tc>
          <w:tcPr>
            <w:tcW w:w="12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(380)</w:t>
            </w:r>
          </w:p>
        </w:tc>
        <w:tc>
          <w:tcPr>
            <w:tcW w:w="0" w:type="dxa"/>
            <w:vAlign w:val="bottom"/>
          </w:tcPr>
          <w:p>
            <w:pPr>
              <w:spacing w:after="0"/>
              <w:rPr>
                <w:sz w:val="1"/>
                <w:szCs w:val="1"/>
                <w:color w:val="auto"/>
              </w:rPr>
            </w:pPr>
          </w:p>
        </w:tc>
      </w:tr>
      <w:tr>
        <w:trPr>
          <w:trHeight w:val="20"/>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458470</wp:posOffset>
            </wp:positionV>
            <wp:extent cx="68059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000"/>
          </w:cols>
          <w:pgMar w:left="320" w:top="248"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1" w:name="page102"/>
    <w:bookmarkEnd w:id="101"/>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6400" w:type="dxa"/>
            <w:vAlign w:val="bottom"/>
            <w:tcBorders>
              <w:bottom w:val="single" w:sz="8" w:color="2C6937"/>
            </w:tcBorders>
            <w:gridSpan w:val="13"/>
          </w:tcPr>
          <w:p>
            <w:pPr>
              <w:jc w:val="right"/>
              <w:ind w:right="1011"/>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Loans</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6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Issuances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Net transfers</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7"/>
        </w:trPr>
        <w:tc>
          <w:tcPr>
            <w:tcW w:w="4140" w:type="dxa"/>
            <w:vAlign w:val="bottom"/>
            <w:tcBorders>
              <w:bottom w:val="single" w:sz="8" w:color="216C2B"/>
            </w:tcBorders>
          </w:tcPr>
          <w:p>
            <w:pPr>
              <w:ind w:left="22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7"/>
                <w:szCs w:val="17"/>
                <w:color w:val="auto"/>
                <w:vertAlign w:val="superscript"/>
              </w:rPr>
              <w:t>(1)</w:t>
            </w:r>
          </w:p>
        </w:tc>
        <w:tc>
          <w:tcPr>
            <w:tcW w:w="100" w:type="dxa"/>
            <w:vAlign w:val="bottom"/>
          </w:tcPr>
          <w:p>
            <w:pPr>
              <w:spacing w:after="0"/>
              <w:rPr>
                <w:sz w:val="19"/>
                <w:szCs w:val="19"/>
                <w:color w:val="auto"/>
              </w:rPr>
            </w:pPr>
          </w:p>
        </w:tc>
        <w:tc>
          <w:tcPr>
            <w:tcW w:w="600" w:type="dxa"/>
            <w:vAlign w:val="bottom"/>
            <w:tcBorders>
              <w:bottom w:val="single" w:sz="8" w:color="216C2B"/>
            </w:tcBorders>
          </w:tcPr>
          <w:p>
            <w:pPr>
              <w:spacing w:after="0"/>
              <w:rPr>
                <w:sz w:val="19"/>
                <w:szCs w:val="19"/>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14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June 30, 2024</w:t>
            </w:r>
          </w:p>
        </w:tc>
        <w:tc>
          <w:tcPr>
            <w:tcW w:w="600" w:type="dxa"/>
            <w:vAlign w:val="bottom"/>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461</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(380)</w:t>
            </w:r>
          </w:p>
        </w:tc>
        <w:tc>
          <w:tcPr>
            <w:tcW w:w="0" w:type="dxa"/>
            <w:vAlign w:val="bottom"/>
          </w:tcPr>
          <w:p>
            <w:pPr>
              <w:spacing w:after="0"/>
              <w:rPr>
                <w:sz w:val="1"/>
                <w:szCs w:val="1"/>
                <w:color w:val="auto"/>
              </w:rPr>
            </w:pPr>
          </w:p>
        </w:tc>
      </w:tr>
      <w:tr>
        <w:trPr>
          <w:trHeight w:val="20"/>
        </w:trPr>
        <w:tc>
          <w:tcPr>
            <w:tcW w:w="4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40" w:right="120" w:hanging="237"/>
        <w:spacing w:after="0" w:line="218" w:lineRule="auto"/>
        <w:tabs>
          <w:tab w:leader="none" w:pos="233"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We had no significant unrealized gains or losses related to assets and liabilities still held in either “Net income” or “Other comprehensive income (loss)” as of June 30, 2025 or June 30, 2024.</w:t>
      </w:r>
    </w:p>
    <w:p>
      <w:pPr>
        <w:spacing w:after="0" w:line="5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following tables display valuation techniques and the range and the weighted average of significant unobservable inputs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pacing w:after="0" w:line="83"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5820" w:type="dxa"/>
            <w:vAlign w:val="bottom"/>
            <w:tcBorders>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Fair Value Measurements as of June 30, 2025</w:t>
            </w:r>
          </w:p>
        </w:tc>
      </w:tr>
      <w:tr>
        <w:trPr>
          <w:trHeight w:val="225"/>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Fair Value</w:t>
            </w:r>
          </w:p>
        </w:tc>
        <w:tc>
          <w:tcPr>
            <w:tcW w:w="5820" w:type="dxa"/>
            <w:vAlign w:val="bottom"/>
            <w:tcBorders>
              <w:bottom w:val="single" w:sz="8" w:color="2C6937"/>
            </w:tcBorders>
          </w:tcPr>
          <w:p>
            <w:pPr>
              <w:ind w:left="176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ind w:left="1520"/>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80" w:type="dxa"/>
            <w:vAlign w:val="bottom"/>
            <w:gridSpan w:val="2"/>
          </w:tcPr>
          <w:p>
            <w:pPr>
              <w:ind w:left="20"/>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Mortgage-related</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25</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Consensus</w:t>
            </w:r>
          </w:p>
        </w:tc>
      </w:tr>
      <w:tr>
        <w:trPr>
          <w:trHeight w:val="20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20" w:type="dxa"/>
            <w:vAlign w:val="bottom"/>
          </w:tcPr>
          <w:p>
            <w:pPr>
              <w:spacing w:after="0"/>
              <w:rPr>
                <w:sz w:val="17"/>
                <w:szCs w:val="17"/>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Agency</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289</w:t>
            </w:r>
          </w:p>
        </w:tc>
        <w:tc>
          <w:tcPr>
            <w:tcW w:w="5820" w:type="dxa"/>
            <w:vAlign w:val="bottom"/>
          </w:tcPr>
          <w:p>
            <w:pPr>
              <w:ind w:left="120"/>
              <w:spacing w:after="0"/>
              <w:rPr>
                <w:sz w:val="20"/>
                <w:szCs w:val="20"/>
                <w:color w:val="auto"/>
              </w:rPr>
            </w:pPr>
            <w:r>
              <w:rPr>
                <w:rFonts w:ascii="Arial" w:cs="Arial" w:eastAsia="Arial" w:hAnsi="Arial"/>
                <w:sz w:val="15"/>
                <w:szCs w:val="15"/>
                <w:color w:val="auto"/>
              </w:rPr>
              <w:t>Consensus</w:t>
            </w:r>
          </w:p>
        </w:tc>
      </w:tr>
      <w:tr>
        <w:trPr>
          <w:trHeight w:val="218"/>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Other mortgage-related</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110</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Discounted Cash Flow, Single Vendor, and Consensus</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Total available-for-sale securities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399</w:t>
            </w:r>
          </w:p>
        </w:tc>
        <w:tc>
          <w:tcPr>
            <w:tcW w:w="5820" w:type="dxa"/>
            <w:vAlign w:val="bottom"/>
          </w:tcPr>
          <w:p>
            <w:pPr>
              <w:spacing w:after="0"/>
              <w:rPr>
                <w:sz w:val="19"/>
                <w:szCs w:val="19"/>
                <w:color w:val="auto"/>
              </w:rPr>
            </w:pPr>
          </w:p>
        </w:tc>
      </w:tr>
      <w:tr>
        <w:trPr>
          <w:trHeight w:val="232"/>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33</w:t>
            </w:r>
          </w:p>
        </w:tc>
        <w:tc>
          <w:tcPr>
            <w:tcW w:w="5820" w:type="dxa"/>
            <w:vAlign w:val="bottom"/>
          </w:tcPr>
          <w:p>
            <w:pPr>
              <w:ind w:left="120"/>
              <w:spacing w:after="0"/>
              <w:rPr>
                <w:sz w:val="20"/>
                <w:szCs w:val="20"/>
                <w:color w:val="auto"/>
              </w:rPr>
            </w:pPr>
            <w:r>
              <w:rPr>
                <w:rFonts w:ascii="Arial" w:cs="Arial" w:eastAsia="Arial" w:hAnsi="Arial"/>
                <w:sz w:val="15"/>
                <w:szCs w:val="15"/>
                <w:color w:val="auto"/>
              </w:rPr>
              <w:t>Dealer Mark and Discounted Cash Flow</w:t>
            </w:r>
          </w:p>
        </w:tc>
      </w:tr>
    </w:tbl>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5820" w:type="dxa"/>
            <w:vAlign w:val="bottom"/>
            <w:tcBorders>
              <w:bottom w:val="single" w:sz="8" w:color="2C6937"/>
            </w:tcBorders>
          </w:tcPr>
          <w:p>
            <w:pPr>
              <w:ind w:left="380"/>
              <w:spacing w:after="0"/>
              <w:rPr>
                <w:sz w:val="20"/>
                <w:szCs w:val="20"/>
                <w:color w:val="auto"/>
              </w:rPr>
            </w:pPr>
            <w:r>
              <w:rPr>
                <w:rFonts w:ascii="Arial" w:cs="Arial" w:eastAsia="Arial" w:hAnsi="Arial"/>
                <w:sz w:val="15"/>
                <w:szCs w:val="15"/>
                <w:b w:val="1"/>
                <w:bCs w:val="1"/>
                <w:color w:val="auto"/>
              </w:rPr>
              <w:t>Fair Value Measurements as of December 31, 2024</w:t>
            </w:r>
          </w:p>
        </w:tc>
      </w:tr>
      <w:tr>
        <w:trPr>
          <w:trHeight w:val="225"/>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Fair Value</w:t>
            </w:r>
          </w:p>
        </w:tc>
        <w:tc>
          <w:tcPr>
            <w:tcW w:w="5820" w:type="dxa"/>
            <w:vAlign w:val="bottom"/>
            <w:tcBorders>
              <w:bottom w:val="single" w:sz="8" w:color="2C6937"/>
            </w:tcBorders>
          </w:tcPr>
          <w:p>
            <w:pPr>
              <w:ind w:left="176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ind w:left="1520"/>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80" w:type="dxa"/>
            <w:vAlign w:val="bottom"/>
            <w:gridSpan w:val="2"/>
          </w:tcPr>
          <w:p>
            <w:pPr>
              <w:ind w:left="20"/>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Mortgage-related</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Consensus</w:t>
            </w:r>
          </w:p>
        </w:tc>
      </w:tr>
      <w:tr>
        <w:trPr>
          <w:trHeight w:val="20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20" w:type="dxa"/>
            <w:vAlign w:val="bottom"/>
          </w:tcPr>
          <w:p>
            <w:pPr>
              <w:spacing w:after="0"/>
              <w:rPr>
                <w:sz w:val="17"/>
                <w:szCs w:val="17"/>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Agency</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301</w:t>
            </w:r>
          </w:p>
        </w:tc>
        <w:tc>
          <w:tcPr>
            <w:tcW w:w="5820" w:type="dxa"/>
            <w:vAlign w:val="bottom"/>
          </w:tcPr>
          <w:p>
            <w:pPr>
              <w:ind w:left="120"/>
              <w:spacing w:after="0"/>
              <w:rPr>
                <w:sz w:val="20"/>
                <w:szCs w:val="20"/>
                <w:color w:val="auto"/>
              </w:rPr>
            </w:pPr>
            <w:r>
              <w:rPr>
                <w:rFonts w:ascii="Arial" w:cs="Arial" w:eastAsia="Arial" w:hAnsi="Arial"/>
                <w:sz w:val="15"/>
                <w:szCs w:val="15"/>
                <w:color w:val="auto"/>
              </w:rPr>
              <w:t>Consensus</w:t>
            </w:r>
          </w:p>
        </w:tc>
      </w:tr>
      <w:tr>
        <w:trPr>
          <w:trHeight w:val="218"/>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Other mortgage-related</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126</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Discounted Cash Flow, Single Vendor, and Consensus</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Total available-for-sale securities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427</w:t>
            </w:r>
          </w:p>
        </w:tc>
        <w:tc>
          <w:tcPr>
            <w:tcW w:w="5820" w:type="dxa"/>
            <w:vAlign w:val="bottom"/>
          </w:tcPr>
          <w:p>
            <w:pPr>
              <w:spacing w:after="0"/>
              <w:rPr>
                <w:sz w:val="19"/>
                <w:szCs w:val="19"/>
                <w:color w:val="auto"/>
              </w:rPr>
            </w:pPr>
          </w:p>
        </w:tc>
      </w:tr>
      <w:tr>
        <w:trPr>
          <w:trHeight w:val="232"/>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w:t>
            </w:r>
          </w:p>
        </w:tc>
        <w:tc>
          <w:tcPr>
            <w:tcW w:w="5820" w:type="dxa"/>
            <w:vAlign w:val="bottom"/>
          </w:tcPr>
          <w:p>
            <w:pPr>
              <w:ind w:left="120"/>
              <w:spacing w:after="0"/>
              <w:rPr>
                <w:sz w:val="20"/>
                <w:szCs w:val="20"/>
                <w:color w:val="auto"/>
              </w:rPr>
            </w:pPr>
            <w:r>
              <w:rPr>
                <w:rFonts w:ascii="Arial" w:cs="Arial" w:eastAsia="Arial" w:hAnsi="Arial"/>
                <w:sz w:val="15"/>
                <w:szCs w:val="15"/>
                <w:color w:val="auto"/>
              </w:rPr>
              <w:t>Dealer Mark and Discounted Cash Flow</w:t>
            </w:r>
          </w:p>
        </w:tc>
      </w:tr>
    </w:tbl>
    <w:p>
      <w:pPr>
        <w:spacing w:after="0" w:line="96" w:lineRule="exact"/>
        <w:rPr>
          <w:sz w:val="20"/>
          <w:szCs w:val="20"/>
          <w:color w:val="auto"/>
        </w:rPr>
      </w:pPr>
    </w:p>
    <w:p>
      <w:pPr>
        <w:ind w:left="220" w:hanging="217"/>
        <w:spacing w:after="0"/>
        <w:tabs>
          <w:tab w:leader="none" w:pos="2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4"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362585</wp:posOffset>
            </wp:positionV>
            <wp:extent cx="68059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2" w:name="page103"/>
    <w:bookmarkEnd w:id="102"/>
    <w:p>
      <w:pPr>
        <w:jc w:val="right"/>
        <w:ind w:right="4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ectPr>
          <w:pgSz w:w="11900" w:h="16838" w:orient="portrait"/>
          <w:cols w:equalWidth="0" w:num="1">
            <w:col w:w="11180"/>
          </w:cols>
          <w:pgMar w:left="320" w:top="2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Nonrecurring fair value measurements:</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p>
      <w:pPr>
        <w:ind w:left="160" w:right="880"/>
        <w:spacing w:after="0" w:line="347" w:lineRule="auto"/>
        <w:rPr>
          <w:sz w:val="20"/>
          <w:szCs w:val="20"/>
          <w:color w:val="auto"/>
        </w:rPr>
      </w:pPr>
      <w:r>
        <w:rPr>
          <w:rFonts w:ascii="Arial" w:cs="Arial" w:eastAsia="Arial" w:hAnsi="Arial"/>
          <w:sz w:val="15"/>
          <w:szCs w:val="15"/>
          <w:color w:val="auto"/>
        </w:rPr>
        <w:t>Mortgage loans held for sale, at lower of cost or fair value Single-family mortgage loans held for investment, at amortized cost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Multifamily mortgage loans held for investment,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291465</wp:posOffset>
            </wp:positionV>
            <wp:extent cx="39376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multifamily mortgage loans held for investment, at amortized cost</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5"/>
          <w:szCs w:val="15"/>
          <w:color w:val="auto"/>
        </w:rPr>
        <w:t>Acquired property, net:</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Single-family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258445</wp:posOffset>
            </wp:positionV>
            <wp:extent cx="39376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single-family</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29210</wp:posOffset>
            </wp:positionV>
            <wp:extent cx="39376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5"/>
          <w:szCs w:val="15"/>
          <w:color w:val="auto"/>
        </w:rPr>
        <w:t>Total nonrecurring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20955</wp:posOffset>
            </wp:positionV>
            <wp:extent cx="39376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93763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45720</wp:posOffset>
            </wp:positionV>
            <wp:extent cx="39376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Fair Value Measurements as of</w:t>
            </w:r>
          </w:p>
        </w:tc>
        <w:tc>
          <w:tcPr>
            <w:tcW w:w="0" w:type="dxa"/>
            <w:vAlign w:val="bottom"/>
          </w:tcPr>
          <w:p>
            <w:pPr>
              <w:spacing w:after="0"/>
              <w:rPr>
                <w:sz w:val="1"/>
                <w:szCs w:val="1"/>
                <w:color w:val="auto"/>
              </w:rPr>
            </w:pPr>
          </w:p>
        </w:tc>
      </w:tr>
      <w:tr>
        <w:trPr>
          <w:trHeight w:val="145"/>
        </w:trPr>
        <w:tc>
          <w:tcPr>
            <w:tcW w:w="2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1180" w:type="dxa"/>
            <w:vAlign w:val="bottom"/>
          </w:tcPr>
          <w:p>
            <w:pPr>
              <w:jc w:val="center"/>
              <w:ind w:left="31"/>
              <w:spacing w:after="0" w:line="145" w:lineRule="exact"/>
              <w:rPr>
                <w:sz w:val="20"/>
                <w:szCs w:val="20"/>
                <w:color w:val="auto"/>
              </w:rPr>
            </w:pPr>
            <w:r>
              <w:rPr>
                <w:rFonts w:ascii="Arial" w:cs="Arial" w:eastAsia="Arial" w:hAnsi="Arial"/>
                <w:sz w:val="14"/>
                <w:szCs w:val="14"/>
                <w:b w:val="1"/>
                <w:bCs w:val="1"/>
                <w:color w:val="auto"/>
                <w:w w:val="99"/>
              </w:rPr>
              <w:t>June 30,</w:t>
            </w:r>
          </w:p>
        </w:tc>
        <w:tc>
          <w:tcPr>
            <w:tcW w:w="15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8"/>
              </w:rPr>
              <w:t>December 31, 2024</w:t>
            </w:r>
          </w:p>
        </w:tc>
        <w:tc>
          <w:tcPr>
            <w:tcW w:w="0" w:type="dxa"/>
            <w:vAlign w:val="bottom"/>
          </w:tcPr>
          <w:p>
            <w:pPr>
              <w:spacing w:after="0"/>
              <w:rPr>
                <w:sz w:val="1"/>
                <w:szCs w:val="1"/>
                <w:color w:val="auto"/>
              </w:rPr>
            </w:pPr>
          </w:p>
        </w:tc>
      </w:tr>
      <w:tr>
        <w:trPr>
          <w:trHeight w:val="177"/>
        </w:trPr>
        <w:tc>
          <w:tcPr>
            <w:tcW w:w="2100" w:type="dxa"/>
            <w:vAlign w:val="bottom"/>
            <w:gridSpan w:val="2"/>
            <w:vMerge w:val="continue"/>
          </w:tcPr>
          <w:p>
            <w:pPr>
              <w:spacing w:after="0"/>
              <w:rPr>
                <w:sz w:val="15"/>
                <w:szCs w:val="15"/>
                <w:color w:val="auto"/>
              </w:rPr>
            </w:pPr>
          </w:p>
        </w:tc>
        <w:tc>
          <w:tcPr>
            <w:tcW w:w="1180" w:type="dxa"/>
            <w:vAlign w:val="bottom"/>
          </w:tcPr>
          <w:p>
            <w:pPr>
              <w:jc w:val="right"/>
              <w:ind w:right="311"/>
              <w:spacing w:after="0"/>
              <w:rPr>
                <w:sz w:val="20"/>
                <w:szCs w:val="20"/>
                <w:color w:val="auto"/>
              </w:rPr>
            </w:pPr>
            <w:r>
              <w:rPr>
                <w:rFonts w:ascii="Arial" w:cs="Arial" w:eastAsia="Arial" w:hAnsi="Arial"/>
                <w:sz w:val="14"/>
                <w:szCs w:val="14"/>
                <w:b w:val="1"/>
                <w:bCs w:val="1"/>
                <w:color w:val="auto"/>
              </w:rPr>
              <w:t>2025</w:t>
            </w: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80" w:type="dxa"/>
            <w:vAlign w:val="bottom"/>
            <w:tcBorders>
              <w:top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top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00" w:type="dxa"/>
            <w:vAlign w:val="bottom"/>
            <w:gridSpan w:val="2"/>
          </w:tcPr>
          <w:p>
            <w:pPr>
              <w:spacing w:after="0"/>
              <w:rPr>
                <w:sz w:val="20"/>
                <w:szCs w:val="20"/>
                <w:color w:val="auto"/>
              </w:rPr>
            </w:pPr>
            <w:r>
              <w:rPr>
                <w:rFonts w:ascii="Arial" w:cs="Arial" w:eastAsia="Arial" w:hAnsi="Arial"/>
                <w:sz w:val="15"/>
                <w:szCs w:val="15"/>
                <w:color w:val="auto"/>
              </w:rPr>
              <w:t>Consensus</w:t>
            </w: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189</w:t>
            </w:r>
          </w:p>
        </w:tc>
        <w:tc>
          <w:tcPr>
            <w:tcW w:w="100" w:type="dxa"/>
            <w:vAlign w:val="bottom"/>
          </w:tcPr>
          <w:p>
            <w:pPr>
              <w:spacing w:after="0"/>
              <w:rPr>
                <w:sz w:val="18"/>
                <w:szCs w:val="18"/>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46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270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315"/>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172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w:t>
            </w:r>
          </w:p>
        </w:tc>
        <w:tc>
          <w:tcPr>
            <w:tcW w:w="46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1,186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208"/>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4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31"/>
        </w:trPr>
        <w:tc>
          <w:tcPr>
            <w:tcW w:w="1980" w:type="dxa"/>
            <w:vAlign w:val="bottom"/>
            <w:tcBorders>
              <w:top w:val="single" w:sz="8" w:color="2C6937"/>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2C6937"/>
            </w:tcBorders>
          </w:tcPr>
          <w:p>
            <w:pPr>
              <w:spacing w:after="0"/>
              <w:rPr>
                <w:sz w:val="20"/>
                <w:szCs w:val="20"/>
                <w:color w:val="auto"/>
              </w:rPr>
            </w:pPr>
          </w:p>
        </w:tc>
        <w:tc>
          <w:tcPr>
            <w:tcW w:w="840" w:type="dxa"/>
            <w:vAlign w:val="bottom"/>
            <w:tcBorders>
              <w:top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1,448</w:t>
            </w:r>
          </w:p>
        </w:tc>
        <w:tc>
          <w:tcPr>
            <w:tcW w:w="100" w:type="dxa"/>
            <w:vAlign w:val="bottom"/>
          </w:tcPr>
          <w:p>
            <w:pPr>
              <w:spacing w:after="0"/>
              <w:rPr>
                <w:sz w:val="20"/>
                <w:szCs w:val="20"/>
                <w:color w:val="auto"/>
              </w:rPr>
            </w:pPr>
          </w:p>
        </w:tc>
        <w:tc>
          <w:tcPr>
            <w:tcW w:w="480" w:type="dxa"/>
            <w:vAlign w:val="bottom"/>
            <w:tcBorders>
              <w:top w:val="single" w:sz="8" w:color="2C6937"/>
            </w:tcBorders>
          </w:tcPr>
          <w:p>
            <w:pPr>
              <w:spacing w:after="0"/>
              <w:rPr>
                <w:sz w:val="20"/>
                <w:szCs w:val="20"/>
                <w:color w:val="auto"/>
              </w:rPr>
            </w:pPr>
          </w:p>
        </w:tc>
        <w:tc>
          <w:tcPr>
            <w:tcW w:w="8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1,471</w:t>
            </w:r>
          </w:p>
        </w:tc>
        <w:tc>
          <w:tcPr>
            <w:tcW w:w="0" w:type="dxa"/>
            <w:vAlign w:val="bottom"/>
          </w:tcPr>
          <w:p>
            <w:pPr>
              <w:spacing w:after="0"/>
              <w:rPr>
                <w:sz w:val="1"/>
                <w:szCs w:val="1"/>
                <w:color w:val="auto"/>
              </w:rPr>
            </w:pPr>
          </w:p>
        </w:tc>
      </w:tr>
      <w:tr>
        <w:trPr>
          <w:trHeight w:val="355"/>
        </w:trPr>
        <w:tc>
          <w:tcPr>
            <w:tcW w:w="2100" w:type="dxa"/>
            <w:vAlign w:val="bottom"/>
            <w:gridSpan w:val="2"/>
          </w:tcPr>
          <w:p>
            <w:pPr>
              <w:spacing w:after="0"/>
              <w:rPr>
                <w:sz w:val="20"/>
                <w:szCs w:val="20"/>
                <w:color w:val="auto"/>
              </w:rPr>
            </w:pPr>
            <w:r>
              <w:rPr>
                <w:rFonts w:ascii="Arial" w:cs="Arial" w:eastAsia="Arial" w:hAnsi="Arial"/>
                <w:sz w:val="15"/>
                <w:szCs w:val="15"/>
                <w:color w:val="auto"/>
              </w:rPr>
              <w:t>Accepted Offer and</w:t>
            </w:r>
          </w:p>
        </w:tc>
        <w:tc>
          <w:tcPr>
            <w:tcW w:w="460" w:type="dxa"/>
            <w:vAlign w:val="bottom"/>
          </w:tcPr>
          <w:p>
            <w:pPr>
              <w:spacing w:after="0"/>
              <w:rPr>
                <w:sz w:val="24"/>
                <w:szCs w:val="24"/>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192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100" w:type="dxa"/>
            <w:vAlign w:val="bottom"/>
            <w:gridSpan w:val="2"/>
          </w:tcPr>
          <w:p>
            <w:pPr>
              <w:spacing w:after="0" w:line="155" w:lineRule="exact"/>
              <w:rPr>
                <w:sz w:val="20"/>
                <w:szCs w:val="20"/>
                <w:color w:val="auto"/>
              </w:rPr>
            </w:pPr>
            <w:r>
              <w:rPr>
                <w:rFonts w:ascii="Arial" w:cs="Arial" w:eastAsia="Arial" w:hAnsi="Arial"/>
                <w:sz w:val="15"/>
                <w:szCs w:val="15"/>
                <w:color w:val="auto"/>
              </w:rPr>
              <w:t>Internal Model and Walk</w:t>
            </w:r>
          </w:p>
        </w:tc>
        <w:tc>
          <w:tcPr>
            <w:tcW w:w="46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305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Forward</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8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2C6937"/>
            </w:tcBorders>
          </w:tcPr>
          <w:p>
            <w:pPr>
              <w:spacing w:after="0"/>
              <w:rPr>
                <w:sz w:val="17"/>
                <w:szCs w:val="17"/>
                <w:color w:val="auto"/>
              </w:rPr>
            </w:pPr>
          </w:p>
        </w:tc>
        <w:tc>
          <w:tcPr>
            <w:tcW w:w="840" w:type="dxa"/>
            <w:vAlign w:val="bottom"/>
            <w:tcBorders>
              <w:top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497</w:t>
            </w:r>
          </w:p>
        </w:tc>
        <w:tc>
          <w:tcPr>
            <w:tcW w:w="100" w:type="dxa"/>
            <w:vAlign w:val="bottom"/>
          </w:tcPr>
          <w:p>
            <w:pPr>
              <w:spacing w:after="0"/>
              <w:rPr>
                <w:sz w:val="17"/>
                <w:szCs w:val="17"/>
                <w:color w:val="auto"/>
              </w:rPr>
            </w:pPr>
          </w:p>
        </w:tc>
        <w:tc>
          <w:tcPr>
            <w:tcW w:w="48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173"/>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 and</w:t>
            </w:r>
          </w:p>
        </w:tc>
        <w:tc>
          <w:tcPr>
            <w:tcW w:w="460" w:type="dxa"/>
            <w:vAlign w:val="bottom"/>
          </w:tcPr>
          <w:p>
            <w:pPr>
              <w:spacing w:after="0"/>
              <w:rPr>
                <w:sz w:val="15"/>
                <w:szCs w:val="15"/>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77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8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2,481</w:t>
            </w:r>
          </w:p>
        </w:tc>
        <w:tc>
          <w:tcPr>
            <w:tcW w:w="100" w:type="dxa"/>
            <w:vAlign w:val="bottom"/>
          </w:tcPr>
          <w:p>
            <w:pPr>
              <w:spacing w:after="0"/>
              <w:rPr>
                <w:sz w:val="17"/>
                <w:szCs w:val="17"/>
                <w:color w:val="auto"/>
              </w:rPr>
            </w:pPr>
          </w:p>
        </w:tc>
        <w:tc>
          <w:tcPr>
            <w:tcW w:w="48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5660" w:space="720"/>
            <w:col w:w="4800"/>
          </w:cols>
          <w:pgMar w:left="320" w:top="248" w:right="399" w:bottom="1440" w:gutter="0" w:footer="0" w:header="0"/>
          <w:type w:val="continuous"/>
        </w:sectPr>
      </w:pPr>
    </w:p>
    <w:p>
      <w:pPr>
        <w:jc w:val="both"/>
        <w:ind w:left="240" w:right="80" w:hanging="237"/>
        <w:spacing w:after="0" w:line="228" w:lineRule="auto"/>
        <w:tabs>
          <w:tab w:leader="none" w:pos="233"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80593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ind w:left="580"/>
              <w:spacing w:after="0"/>
              <w:rPr>
                <w:sz w:val="20"/>
                <w:szCs w:val="20"/>
                <w:color w:val="auto"/>
              </w:rPr>
            </w:pPr>
            <w:r>
              <w:rPr>
                <w:rFonts w:ascii="Arial" w:cs="Arial" w:eastAsia="Arial" w:hAnsi="Arial"/>
                <w:sz w:val="14"/>
                <w:szCs w:val="14"/>
                <w:b w:val="1"/>
                <w:bCs w:val="1"/>
                <w:color w:val="auto"/>
              </w:rPr>
              <w:t>As of June 30, 2025</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78,552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38,427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40,125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78,552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23,753</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76,992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75,788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76,992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4,119,738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3,585,154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130,751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3,715,905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4,302,342</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114,215</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3,653,124</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131,689</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3,898,625</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11,095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11,096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11,096</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117,221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119,627</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4,082,196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3,645,981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3,646,242</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4,210,869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3,777,860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(1,480)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3,777,314</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671195</wp:posOffset>
            </wp:positionV>
            <wp:extent cx="68059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104" w:name="page105"/>
    <w:bookmarkEnd w:id="104"/>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2024</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78,811</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38,536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40,275</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78,811</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15,975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77,610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78,728</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4,137,633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3,496,803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3,624,566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4,314,057</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116,146</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3,556,627</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128,690</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3,801,101</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11,188</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11,193</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11,193</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128,234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129,719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4,088,675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3,557,237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3,557,511</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4,228,320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3,700,088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3,698,637</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2024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an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382270</wp:posOffset>
            </wp:positionV>
            <wp:extent cx="68059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5" w:name="page106"/>
    <w:bookmarkEnd w:id="105"/>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87"/>
              <w:spacing w:after="0"/>
              <w:rPr>
                <w:sz w:val="20"/>
                <w:szCs w:val="20"/>
                <w:color w:val="auto"/>
              </w:rPr>
            </w:pPr>
            <w:r>
              <w:rPr>
                <w:rFonts w:ascii="Arial" w:cs="Arial" w:eastAsia="Arial" w:hAnsi="Arial"/>
                <w:sz w:val="14"/>
                <w:szCs w:val="14"/>
                <w:b w:val="1"/>
                <w:bCs w:val="1"/>
                <w:color w:val="auto"/>
              </w:rPr>
              <w:t>June 30, 2025</w:t>
            </w: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4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Long-Term Debt of</w:t>
            </w:r>
          </w:p>
        </w:tc>
        <w:tc>
          <w:tcPr>
            <w:tcW w:w="144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287"/>
              <w:spacing w:after="0"/>
              <w:rPr>
                <w:sz w:val="20"/>
                <w:szCs w:val="20"/>
                <w:color w:val="auto"/>
              </w:rPr>
            </w:pPr>
            <w:r>
              <w:rPr>
                <w:rFonts w:ascii="Arial" w:cs="Arial" w:eastAsia="Arial" w:hAnsi="Arial"/>
                <w:sz w:val="14"/>
                <w:szCs w:val="14"/>
                <w:b w:val="1"/>
                <w:bCs w:val="1"/>
                <w:color w:val="auto"/>
                <w:w w:val="96"/>
              </w:rPr>
              <w:t>Fannie Mae</w:t>
            </w:r>
          </w:p>
        </w:tc>
        <w:tc>
          <w:tcPr>
            <w:tcW w:w="14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w w:val="96"/>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5"/>
          </w:tcPr>
          <w:p>
            <w:pPr>
              <w:jc w:val="center"/>
              <w:ind w:right="18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4,892</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7"/>
              <w:spacing w:after="0"/>
              <w:rPr>
                <w:sz w:val="20"/>
                <w:szCs w:val="20"/>
                <w:color w:val="auto"/>
              </w:rPr>
            </w:pPr>
            <w:r>
              <w:rPr>
                <w:rFonts w:ascii="Arial" w:cs="Arial" w:eastAsia="Arial" w:hAnsi="Arial"/>
                <w:sz w:val="15"/>
                <w:szCs w:val="15"/>
                <w:b w:val="1"/>
                <w:bCs w:val="1"/>
                <w:color w:val="auto"/>
              </w:rPr>
              <w:t>327</w:t>
            </w:r>
          </w:p>
        </w:tc>
        <w:tc>
          <w:tcPr>
            <w:tcW w:w="56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15,305</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3,744</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385</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13,292</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5,239</w:t>
            </w:r>
          </w:p>
        </w:tc>
        <w:tc>
          <w:tcPr>
            <w:tcW w:w="360" w:type="dxa"/>
            <w:vAlign w:val="bottom"/>
          </w:tcPr>
          <w:p>
            <w:pPr>
              <w:spacing w:after="0"/>
              <w:rPr>
                <w:sz w:val="18"/>
                <w:szCs w:val="18"/>
                <w:color w:val="auto"/>
              </w:rPr>
            </w:pPr>
          </w:p>
        </w:tc>
        <w:tc>
          <w:tcPr>
            <w:tcW w:w="1120" w:type="dxa"/>
            <w:vAlign w:val="bottom"/>
          </w:tcPr>
          <w:p>
            <w:pPr>
              <w:jc w:val="right"/>
              <w:ind w:right="187"/>
              <w:spacing w:after="0"/>
              <w:rPr>
                <w:sz w:val="20"/>
                <w:szCs w:val="20"/>
                <w:color w:val="auto"/>
              </w:rPr>
            </w:pPr>
            <w:r>
              <w:rPr>
                <w:rFonts w:ascii="Arial" w:cs="Arial" w:eastAsia="Arial" w:hAnsi="Arial"/>
                <w:sz w:val="15"/>
                <w:szCs w:val="15"/>
                <w:b w:val="1"/>
                <w:bCs w:val="1"/>
                <w:color w:val="auto"/>
              </w:rPr>
              <w:t>327</w:t>
            </w:r>
          </w:p>
        </w:tc>
        <w:tc>
          <w:tcPr>
            <w:tcW w:w="5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15,910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4,079</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383</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13,766</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0" w:hanging="237"/>
        <w:spacing w:after="0" w:line="226" w:lineRule="auto"/>
        <w:tabs>
          <w:tab w:leader="none" w:pos="233"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$26 million and $31 million as of June 30, 2025 and December 31, 2024, respectively. Includes loans that are 90 days or more past due with a fair value of $22 million and $25 million as of June 30, 2025 and December 31, 2024, respectively.</w:t>
      </w:r>
    </w:p>
    <w:p>
      <w:pPr>
        <w:spacing w:after="0" w:line="85"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76"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We recorded gains of $36 million and $161 million for the three and six months ended June 30, 2025, respectively, and losses of $2 million and $47 million for the three and six months ended June 30, 2024, respectively, from changes in the fair value of loans recorded at fair value in “Fair value gains (losses), net” in our condensed consolidated statements of operations and comprehensive income.</w:t>
      </w:r>
    </w:p>
    <w:p>
      <w:pPr>
        <w:spacing w:after="0" w:line="3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recorded losses of $68 million and $379 million for the three and six months ended June 30, 2025, respectively, and gains of $17 million and $128 million for the three and six months ended June 30, 2024, respectively, from changes in the fair value of long-term debt recorded at fair value in “Fair value gains (losses),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3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0"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81"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6" w:name="page107"/>
    <w:bookmarkEnd w:id="106"/>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of Columbia. The lawsuits challenge the August 2012 amendment to each company’s senior preferred stock purchase agreement with Treasury.</w:t>
      </w:r>
    </w:p>
    <w:p>
      <w:pPr>
        <w:spacing w:after="0" w:line="8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which the court denied on March 14, 2025. The defendants filed a notice of appeal on April 11, 2025. On April 25, 2025, plaintiffs filed a notice of cross-appeal challenging several of the court’s pretrial rulings, which they contend prevented them from seeking the full measure of their alleged damages. Until the appeal is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 $24 million of expense through December 31, 2024, and $7 million and $13 million of expense for the three and six months ended June 30, 2025, respectively, related to the prejudgment and post-judgment interest. Briefing on the appeal is currently scheduled to conclude in February 2026.</w:t>
      </w:r>
    </w:p>
    <w:p>
      <w:pPr>
        <w:spacing w:after="0" w:line="15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93"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 The table below sets forth information about our capital requirements under the standardized approach of the enterprise regulatory capital framework.</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June 30,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20" w:type="dxa"/>
            <w:vAlign w:val="bottom"/>
          </w:tcPr>
          <w:p>
            <w:pPr>
              <w:jc w:val="right"/>
              <w:ind w:right="126"/>
              <w:spacing w:after="0" w:line="153" w:lineRule="exact"/>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426720</wp:posOffset>
            </wp:positionV>
            <wp:extent cx="68059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7" w:name="page108"/>
    <w:bookmarkEnd w:id="107"/>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20" w:type="dxa"/>
            <w:vAlign w:val="bottom"/>
          </w:tcPr>
          <w:p>
            <w:pPr>
              <w:jc w:val="right"/>
              <w:ind w:right="126"/>
              <w:spacing w:after="0" w:line="153" w:lineRule="exact"/>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4"/>
        </w:numPr>
        <w:rPr>
          <w:rFonts w:ascii="Arial" w:cs="Arial" w:eastAsia="Arial" w:hAnsi="Arial"/>
          <w:sz w:val="9"/>
          <w:szCs w:val="9"/>
          <w:color w:val="auto"/>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377825</wp:posOffset>
            </wp:positionV>
            <wp:extent cx="68059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8" w:name="page109"/>
    <w:bookmarkEnd w:id="108"/>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June 30, 2025, the end of the period covered by this report. As a result of management’s evaluation, our Chief Executive Officer and Chief Financial Officer concluded that our disclosure controls and procedures were not effective at a reasonable assurance level as of June 30, 2025, or as of the date of filing this report.</w:t>
      </w:r>
    </w:p>
    <w:p>
      <w:pPr>
        <w:spacing w:after="0" w:line="4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disclosure controls and procedures were not effective as of June 30, 2025,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June 30, 2025,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June 30, 2025,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1386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106</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9" w:name="page110"/>
    <w:bookmarkEnd w:id="109"/>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June 30, 2025, or as of the date of filing this report. Based on discussions with FHFA and the structural nature of this weakness, we do not expect to remediate this material weakness while we are under conservatorship.</w:t>
      </w:r>
    </w:p>
    <w:p>
      <w:pPr>
        <w:spacing w:after="0" w:line="28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hanging="307"/>
        <w:spacing w:after="0"/>
        <w:tabs>
          <w:tab w:leader="none" w:pos="6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FHFA has established a process to facilitate operation of the company under the oversight of the conservator.</w:t>
      </w:r>
    </w:p>
    <w:p>
      <w:pPr>
        <w:spacing w:after="0" w:line="86"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We have provided drafts of our SEC filings to FHFA personnel for their review and comment prior to filing. We also have provided drafts of external press releases, statements, and speeches to FHFA personnel for their review and comment prior to release.</w:t>
      </w:r>
    </w:p>
    <w:p>
      <w:pPr>
        <w:spacing w:after="0" w:line="14" w:lineRule="exact"/>
        <w:rPr>
          <w:rFonts w:ascii="Arial" w:cs="Arial" w:eastAsia="Arial" w:hAnsi="Arial"/>
          <w:sz w:val="16"/>
          <w:szCs w:val="16"/>
          <w:color w:val="auto"/>
        </w:rPr>
      </w:pPr>
    </w:p>
    <w:p>
      <w:pPr>
        <w:ind w:left="620" w:right="40" w:hanging="307"/>
        <w:spacing w:after="0" w:line="266"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SEC filings prior to filing, including this quarterly report on Form 10-Q for the quarter ended June 30, 2025 (“Second Quarter 2025 Form 10-Q”), and engaged in discussions regarding issues associated with the information contained in those filings. Prior to filing our Second Quarter 2025 Form 10-Q, FHFA provided Fannie Mae management with written acknowledgment that it had reviewed the Second Quarter 2025 Form 10-Q, and it was not aware of any material misstatements or omissions in the Second Quarter 2025 Form 10-Q and had no objection to our filing the Second Quarter 2025 Form 10-Q.</w:t>
      </w:r>
    </w:p>
    <w:p>
      <w:pPr>
        <w:spacing w:after="0" w:line="37" w:lineRule="exact"/>
        <w:rPr>
          <w:rFonts w:ascii="Arial" w:cs="Arial" w:eastAsia="Arial" w:hAnsi="Arial"/>
          <w:sz w:val="16"/>
          <w:szCs w:val="16"/>
          <w:color w:val="auto"/>
        </w:rPr>
      </w:pPr>
    </w:p>
    <w:p>
      <w:pPr>
        <w:ind w:left="620" w:right="580" w:hanging="307"/>
        <w:spacing w:after="0" w:line="310"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 addition, the FHFA Director serves as Chairman of our Board of Directors.</w:t>
      </w:r>
    </w:p>
    <w:p>
      <w:pPr>
        <w:spacing w:after="0" w:line="1"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April 1, 2025 through June 30, 2025 that management believes have materially affected, or are reasonably likely to materially affect, our internal control over financial reporting.</w:t>
      </w:r>
    </w:p>
    <w:p>
      <w:pPr>
        <w:spacing w:after="0" w:line="3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changes in personnel performing controls,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107</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0" w:name="page111"/>
    <w:bookmarkEnd w:id="110"/>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2024 Form 10-K and our First Quarter 2025 Form 10-Q.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after March 31, 2025 are as follows:</w:t>
      </w:r>
    </w:p>
    <w:p>
      <w:pPr>
        <w:spacing w:after="0" w:line="4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i w:val="1"/>
          <w:iCs w:val="1"/>
          <w:color w:val="auto"/>
        </w:rPr>
        <w:t>District of Columbia (In re Fannie Mae/Freddie Mac Senior Preferred Stock Purchase Agreement Class Action Litigations and Fairholme Funds v. FHFA)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Defendants filed a notice of appeal on April 11, 2025, and plaintiffs filed a notice of cross-appeal on April 25, 2025. See “Note 14, Commitments and Contingencies” for additional information.</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 which the court denied on December 11, 2024. On March 27, 2025, FHFA filed a motion for judgment on the pleadings. Treasury likewise filed a motion for judgment on the pleadings on March 28, 2025. On April 1, 2025, plaintiffs filed a motion for leave to amend their complaint.</w:t>
      </w:r>
    </w:p>
    <w:p>
      <w:pPr>
        <w:spacing w:after="0" w:line="5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 dismiss the case on November 16, 2018, and plaintiffs filed a motion for summary judgment on December 21, 2018. On April 30, 2025, the district court granted FHFA’s and Treasury’s motions and dismissed the case.</w:t>
      </w:r>
    </w:p>
    <w:p>
      <w:pPr>
        <w:spacing w:after="0" w:line="35"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 U.S. Constitution. On February 15, 2023, the court issued an order for plaintiffs to show cause why their claims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370205</wp:posOffset>
            </wp:positionV>
            <wp:extent cx="71386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108</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1" w:name="page112"/>
    <w:bookmarkEnd w:id="111"/>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not be dismissed, as claims similar to theirs brought by other Fannie Mae stockholders in other cases against the United States had been dismissed by the court. On September 1, 2023, the court dismissed the case with prejudice. On October 30, 2023, plaintiffs filed a notice of appeal.</w:t>
      </w:r>
    </w:p>
    <w:p>
      <w:pPr>
        <w:spacing w:after="0" w:line="6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104"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2024 Form 10-K. Also refer to “MD&amp;A—Risk Management,” “MD&amp;A—Single-Family Business” and “MD&amp;A—Multifamily Business” in our 2024 Form 10-K and in this report for more detailed descriptions of the primary risks to our business and how we seek to manage those risks.</w:t>
      </w:r>
    </w:p>
    <w:p>
      <w:pPr>
        <w:spacing w:after="0" w:line="4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sections of this report and our 2024 Form 10-K referenced above are the most significant we face; however, these are not the only risks we face. We face additional risks and uncertainties not currently known to us or that we currently believe are immaterial.</w:t>
      </w:r>
    </w:p>
    <w:p>
      <w:pPr>
        <w:spacing w:after="0" w:line="89"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63"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3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76"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2024 Form 10-K. During the quarter ended June 30, 2025, we did not sell any equity securities.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6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3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1"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24"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4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second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404495</wp:posOffset>
            </wp:positionV>
            <wp:extent cx="71386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109</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2" w:name="page113"/>
    <w:bookmarkEnd w:id="112"/>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2024 Form 10-K.</w:t>
      </w:r>
    </w:p>
    <w:p>
      <w:pPr>
        <w:spacing w:after="0" w:line="46"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 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4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The enterprise regulatory capital framework rule establishes capital planning and prior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approval requirements for capital distributions. In addition, while not currently applicable, our payment of dividends and capital distributions will be subject to the following restrictions under the enterprise regulatory capital framework effective on the date of termination of our conservatorship:</w:t>
      </w:r>
    </w:p>
    <w:p>
      <w:pPr>
        <w:spacing w:after="0" w:line="2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a calendar quarter, we will not be permitted to pay dividends or make any other capital 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 (b) our leverage buffer is less than our prescribed leverage buffer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503555</wp:posOffset>
            </wp:positionV>
            <wp:extent cx="71386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110</w:t>
            </w:r>
          </w:p>
        </w:tc>
      </w:tr>
      <w:tr>
        <w:trPr>
          <w:trHeight w:val="220"/>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3" w:name="page114"/>
    <w:bookmarkEnd w:id="113"/>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3"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63"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During the quarter ended June 30, 2025,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4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Disclosure Pursuant to Section 13(r) of the Securities Exchange Act of 1934</w:t>
      </w:r>
    </w:p>
    <w:p>
      <w:pPr>
        <w:spacing w:after="0" w:line="63" w:lineRule="exact"/>
        <w:rPr>
          <w:sz w:val="20"/>
          <w:szCs w:val="20"/>
          <w:color w:val="auto"/>
        </w:rPr>
      </w:pPr>
    </w:p>
    <w:p>
      <w:pPr>
        <w:ind w:right="480"/>
        <w:spacing w:after="0" w:line="272" w:lineRule="auto"/>
        <w:rPr>
          <w:sz w:val="20"/>
          <w:szCs w:val="20"/>
          <w:color w:val="auto"/>
        </w:rPr>
      </w:pPr>
      <w:r>
        <w:rPr>
          <w:rFonts w:ascii="Arial" w:cs="Arial" w:eastAsia="Arial" w:hAnsi="Arial"/>
          <w:sz w:val="16"/>
          <w:szCs w:val="16"/>
          <w:color w:val="auto"/>
        </w:rPr>
        <w:t>Pursuant to Section 13(r) of the Exchange Act, an issuer is required to disclose in its annual or quarterly reports, as applicable, whether it or any of its affiliates knowingly engaged in certain activities, transactions or dealings relating to Iran or with individuals or entities designated pursuant to certain Executive Orders. Disclosure may be required even where the activities, transactions or dealings were conducted in compliance with applicable law.</w:t>
      </w:r>
    </w:p>
    <w:p>
      <w:pPr>
        <w:spacing w:after="0" w:line="32"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During the second quarter of 2025, the company became aware that a co-borrower of a single-family loan we acquired from a lender in 2017 was designated by Treasury’s Office of Foreign Assets Control (“OFAC”) as a Specially Designated National on April 15, 2025 pursuant to Executive Order 13224, as amended. Subsequent to this designation, a payment in the amount of $881.88 relating to the loan was received by us from the loan servicer on May 6, 2025. After learning of the co-borrower’s designation, we transferred the payment into a designated account for blocked funds and instructed the loan servicer to no longer remit any funds to us relating to the loan. We notified OFAC of the blocked loan payment funds in May 2025. There was no measurable gross revenue or net profit relating to the payment received on the loan in May 2025.</w:t>
      </w:r>
    </w:p>
    <w:p>
      <w:pPr>
        <w:spacing w:after="0" w:line="107"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5"/>
                <w:szCs w:val="15"/>
                <w:color w:val="auto"/>
              </w:rPr>
            </w:pPr>
          </w:p>
        </w:tc>
        <w:tc>
          <w:tcPr>
            <w:tcW w:w="9600" w:type="dxa"/>
            <w:vAlign w:val="bottom"/>
            <w:gridSpan w:val="10"/>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487">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487">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488">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8"/>
          </w:tcPr>
          <w:p>
            <w:pPr>
              <w:spacing w:after="0" w:line="135" w:lineRule="exact"/>
              <w:rPr>
                <w:rFonts w:ascii="Arial" w:cs="Arial" w:eastAsia="Arial" w:hAnsi="Arial"/>
                <w:sz w:val="15"/>
                <w:szCs w:val="15"/>
                <w:color w:val="0000FF"/>
              </w:rPr>
            </w:pPr>
            <w:hyperlink r:id="rId488">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4"/>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7"/>
          </w:tcPr>
          <w:p>
            <w:pPr>
              <w:spacing w:after="0"/>
              <w:rPr>
                <w:sz w:val="16"/>
                <w:szCs w:val="16"/>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2" w:lineRule="exact"/>
        <w:rPr>
          <w:sz w:val="20"/>
          <w:szCs w:val="20"/>
          <w:color w:val="auto"/>
        </w:rPr>
      </w:pPr>
    </w:p>
    <w:p>
      <w:pPr>
        <w:ind w:left="160" w:right="4220" w:firstLine="15"/>
        <w:spacing w:after="0" w:line="533" w:lineRule="auto"/>
        <w:tabs>
          <w:tab w:leader="none" w:pos="1569" w:val="left"/>
        </w:tabs>
        <w:numPr>
          <w:ilvl w:val="1"/>
          <w:numId w:val="87"/>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71386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111</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4" w:name="page115"/>
    <w:bookmarkEnd w:id="114"/>
    <w:p>
      <w:pPr>
        <w:jc w:val="right"/>
        <w:ind w:right="12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Priscilla Almodovar</w:t>
      </w:r>
    </w:p>
    <w:p>
      <w:pPr>
        <w:ind w:left="6820"/>
        <w:spacing w:after="0"/>
        <w:rPr>
          <w:sz w:val="20"/>
          <w:szCs w:val="20"/>
          <w:color w:val="auto"/>
        </w:rPr>
      </w:pPr>
      <w:r>
        <w:rPr>
          <w:rFonts w:ascii="Arial" w:cs="Arial" w:eastAsia="Arial" w:hAnsi="Arial"/>
          <w:sz w:val="15"/>
          <w:szCs w:val="15"/>
          <w:color w:val="auto"/>
        </w:rPr>
        <w:t>President and 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July 30, 2025</w:t>
      </w:r>
    </w:p>
    <w:p>
      <w:pPr>
        <w:spacing w:after="0" w:line="135"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Chryssa C. Halley</w:t>
      </w:r>
    </w:p>
    <w:p>
      <w:pPr>
        <w:ind w:left="6820"/>
        <w:spacing w:after="0" w:line="215" w:lineRule="auto"/>
        <w:rPr>
          <w:sz w:val="20"/>
          <w:szCs w:val="20"/>
          <w:color w:val="auto"/>
        </w:rPr>
      </w:pPr>
      <w:r>
        <w:rPr>
          <w:rFonts w:ascii="Arial" w:cs="Arial" w:eastAsia="Arial" w:hAnsi="Arial"/>
          <w:sz w:val="15"/>
          <w:szCs w:val="15"/>
          <w:color w:val="auto"/>
        </w:rPr>
        <w:t>Executive Vice President and</w:t>
      </w:r>
    </w:p>
    <w:p>
      <w:pPr>
        <w:ind w:left="6820"/>
        <w:spacing w:after="0"/>
        <w:rPr>
          <w:sz w:val="20"/>
          <w:szCs w:val="20"/>
          <w:color w:val="auto"/>
        </w:rPr>
      </w:pPr>
      <w:r>
        <w:rPr>
          <w:rFonts w:ascii="Arial" w:cs="Arial" w:eastAsia="Arial" w:hAnsi="Arial"/>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Date: 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71386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2025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112</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Priscilla Almodovar, certify that:</w:t>
      </w:r>
    </w:p>
    <w:p>
      <w:pPr>
        <w:spacing w:after="0" w:line="55" w:lineRule="exact"/>
        <w:rPr>
          <w:sz w:val="20"/>
          <w:szCs w:val="20"/>
          <w:color w:val="auto"/>
        </w:rPr>
      </w:pPr>
    </w:p>
    <w:p>
      <w:pPr>
        <w:ind w:left="240" w:right="400" w:hanging="198"/>
        <w:spacing w:after="0" w:line="269" w:lineRule="auto"/>
        <w:tabs>
          <w:tab w:leader="none" w:pos="40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June 30, 2025 of Fannie Mae (formally, the Federal National Mortgage Association);</w:t>
      </w:r>
    </w:p>
    <w:p>
      <w:pPr>
        <w:ind w:left="240" w:right="200" w:hanging="198"/>
        <w:spacing w:after="0" w:line="262" w:lineRule="auto"/>
        <w:tabs>
          <w:tab w:leader="none" w:pos="40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1"/>
          <w:szCs w:val="21"/>
          <w:color w:val="auto"/>
        </w:rPr>
        <w:t>Priscilla Almodovar</w:t>
      </w:r>
    </w:p>
    <w:p>
      <w:pPr>
        <w:ind w:left="584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2025</w:t>
      </w:r>
    </w:p>
    <w:p>
      <w:pPr>
        <w:sectPr>
          <w:pgSz w:w="11900" w:h="16838" w:orient="portrait"/>
          <w:cols w:equalWidth="0" w:num="1">
            <w:col w:w="11240"/>
          </w:cols>
          <w:pgMar w:left="320" w:top="85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400" w:hanging="198"/>
        <w:spacing w:after="0" w:line="269" w:lineRule="auto"/>
        <w:tabs>
          <w:tab w:leader="none" w:pos="40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June 30, 2025 of Fannie Mae (formally, the Federal National Mortgage Association);</w:t>
      </w:r>
    </w:p>
    <w:p>
      <w:pPr>
        <w:ind w:left="240" w:right="200" w:hanging="198"/>
        <w:spacing w:after="0" w:line="262" w:lineRule="auto"/>
        <w:tabs>
          <w:tab w:leader="none" w:pos="40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2025</w:t>
      </w:r>
    </w:p>
    <w:p>
      <w:pPr>
        <w:sectPr>
          <w:pgSz w:w="11900" w:h="16838" w:orient="portrait"/>
          <w:cols w:equalWidth="0" w:num="1">
            <w:col w:w="11240"/>
          </w:cols>
          <w:pgMar w:left="320" w:top="85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0"/>
          <w:szCs w:val="20"/>
          <w:color w:val="auto"/>
        </w:rPr>
        <w:t>In connection with the Quarterly Report on Form 10-Q of Fannie Mae (formally, the Federal National Mortgage Association) for the quarter ended June 30, 2025, as filed with the Securities and Exchange Commission on the date hereof (the "Report"), I, Priscilla Almodovar, President and Chief Executive Officer of Fannie Mae, certify, pursuant to 18 U.S.C. Section 1350, that to my knowledge:</w:t>
      </w:r>
    </w:p>
    <w:p>
      <w:pPr>
        <w:spacing w:after="0" w:line="169" w:lineRule="exact"/>
        <w:rPr>
          <w:sz w:val="20"/>
          <w:szCs w:val="20"/>
          <w:color w:val="auto"/>
        </w:rPr>
      </w:pPr>
    </w:p>
    <w:p>
      <w:pPr>
        <w:ind w:left="240" w:right="660" w:hanging="198"/>
        <w:spacing w:after="0" w:line="269" w:lineRule="auto"/>
        <w:tabs>
          <w:tab w:leader="none" w:pos="40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80" w:lineRule="exact"/>
        <w:rPr>
          <w:rFonts w:ascii="Times New Roman" w:cs="Times New Roman" w:eastAsia="Times New Roman" w:hAnsi="Times New Roman"/>
          <w:sz w:val="21"/>
          <w:szCs w:val="21"/>
          <w:color w:val="auto"/>
        </w:rPr>
      </w:pPr>
    </w:p>
    <w:p>
      <w:pPr>
        <w:ind w:left="240" w:right="60" w:hanging="198"/>
        <w:spacing w:after="0" w:line="262" w:lineRule="auto"/>
        <w:tabs>
          <w:tab w:leader="none" w:pos="40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Priscilla Almodovar</w:t>
      </w:r>
    </w:p>
    <w:p>
      <w:pPr>
        <w:ind w:left="570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2025</w:t>
      </w:r>
    </w:p>
    <w:p>
      <w:pPr>
        <w:spacing w:after="0" w:line="24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June 30, 2025,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July 30, 2025</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4"/>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2"/>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3"/>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1"/>
    </w:lvl>
    <w:lvl w:ilvl="1">
      <w:lvlJc w:val="left"/>
      <w:lvlText w:val="(%2)"/>
      <w:numFmt w:val="decimal"/>
      <w:start w:val="2"/>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decimal"/>
      <w:start w:val="3"/>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lvl w:ilvl="1">
      <w:lvlJc w:val="left"/>
      <w:lvlText w:val="%2"/>
      <w:numFmt w:val="decimal"/>
      <w:start w:val="104"/>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jpe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487" Type="http://schemas.openxmlformats.org/officeDocument/2006/relationships/hyperlink" Target="https://www.sec.gov/Archives/edgar/data/310522/000031052219000385/fanniemaecharteractex31.htm" TargetMode="External"/><Relationship Id="rId488"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2025-07-30T06:24:59Z</dcterms:created>
  <dcterms:modified xsi:type="dcterms:W3CDTF">2025-07-30T06:24:59Z</dcterms:modified>
</cp:coreProperties>
</file>