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March 31, 2024</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27"/>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Borders>
              <w:top w:val="single" w:sz="8" w:color="auto"/>
            </w:tcBorders>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668"/>
        </w:trPr>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24"/>
                <w:szCs w:val="24"/>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4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8"/>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N/A</w:t>
            </w: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360"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1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12, 2024,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580" w:type="dxa"/>
            <w:vAlign w:val="bottom"/>
            <w:tcBorders>
              <w:top w:val="single" w:sz="8" w:color="2C6937"/>
            </w:tcBorders>
          </w:tcPr>
          <w:p>
            <w:pPr>
              <w:spacing w:after="0"/>
              <w:rPr>
                <w:sz w:val="15"/>
                <w:szCs w:val="15"/>
                <w:color w:val="auto"/>
              </w:rPr>
            </w:pPr>
          </w:p>
        </w:tc>
        <w:tc>
          <w:tcPr>
            <w:tcW w:w="420" w:type="dxa"/>
            <w:vAlign w:val="bottom"/>
            <w:tcBorders>
              <w:top w:val="single" w:sz="8" w:color="2C6937"/>
              <w:bottom w:val="single" w:sz="8" w:color="auto"/>
            </w:tcBorders>
          </w:tcPr>
          <w:p>
            <w:pPr>
              <w:spacing w:after="0"/>
              <w:rPr>
                <w:sz w:val="20"/>
                <w:szCs w:val="20"/>
                <w:color w:val="auto"/>
              </w:rPr>
            </w:pPr>
            <w:r>
              <w:rPr>
                <w:rFonts w:ascii="Arial" w:cs="Arial" w:eastAsia="Arial" w:hAnsi="Arial"/>
                <w:sz w:val="15"/>
                <w:szCs w:val="15"/>
                <w:b w:val="1"/>
                <w:bCs w:val="1"/>
                <w:color w:val="auto"/>
              </w:rPr>
              <w:t>Page</w:t>
            </w:r>
          </w:p>
        </w:tc>
        <w:tc>
          <w:tcPr>
            <w:tcW w:w="120" w:type="dxa"/>
            <w:vAlign w:val="bottom"/>
            <w:tcBorders>
              <w:top w:val="single" w:sz="8" w:color="2C6937"/>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8340" w:type="dxa"/>
            <w:vAlign w:val="bottom"/>
          </w:tcPr>
          <w:p>
            <w:pPr>
              <w:ind w:left="280"/>
              <w:spacing w:after="0" w:line="169" w:lineRule="exact"/>
              <w:rPr>
                <w:sz w:val="20"/>
                <w:szCs w:val="20"/>
                <w:color w:val="auto"/>
              </w:rPr>
            </w:pPr>
            <w:r>
              <w:rPr>
                <w:rFonts w:ascii="Arial" w:cs="Arial" w:eastAsia="Arial" w:hAnsi="Arial"/>
                <w:sz w:val="15"/>
                <w:szCs w:val="15"/>
                <w:color w:val="auto"/>
              </w:rPr>
              <w:t>Condensed Consolidated Balance Sheets</w:t>
            </w:r>
          </w:p>
        </w:tc>
        <w:tc>
          <w:tcPr>
            <w:tcW w:w="200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Loan Losses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000" w:type="dxa"/>
            <w:vAlign w:val="bottom"/>
            <w:gridSpan w:val="2"/>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Executive Summary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Financial Results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Financial Results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3.</w:t>
            </w:r>
          </w:p>
        </w:tc>
        <w:tc>
          <w:tcPr>
            <w:tcW w:w="8340" w:type="dxa"/>
            <w:vAlign w:val="bottom"/>
          </w:tcPr>
          <w:p>
            <w:pPr>
              <w:ind w:left="280"/>
              <w:spacing w:after="0"/>
              <w:rPr>
                <w:sz w:val="20"/>
                <w:szCs w:val="20"/>
                <w:color w:val="auto"/>
              </w:rPr>
            </w:pPr>
            <w:r>
              <w:rPr>
                <w:rFonts w:ascii="Arial" w:cs="Arial" w:eastAsia="Arial" w:hAnsi="Arial"/>
                <w:sz w:val="15"/>
                <w:szCs w:val="15"/>
                <w:color w:val="auto"/>
              </w:rPr>
              <w:t>Quantitative and Qualitative Disclosures about Market Risk</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First Quarter 2024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7240" w:type="dxa"/>
            <w:vAlign w:val="bottom"/>
          </w:tcPr>
          <w:p>
            <w:pPr>
              <w:ind w:left="220"/>
              <w:spacing w:after="0"/>
              <w:rPr>
                <w:sz w:val="20"/>
                <w:szCs w:val="20"/>
                <w:color w:val="auto"/>
              </w:rPr>
            </w:pPr>
            <w:r>
              <w:rPr>
                <w:rFonts w:ascii="Arial" w:cs="Arial" w:eastAsia="Arial" w:hAnsi="Arial"/>
                <w:sz w:val="15"/>
                <w:szCs w:val="15"/>
                <w:color w:val="auto"/>
              </w:rPr>
              <w:t>Controls and Procedures</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108</w:t>
            </w:r>
          </w:p>
        </w:tc>
      </w:tr>
      <w:tr>
        <w:trPr>
          <w:trHeight w:val="186"/>
        </w:trPr>
        <w:tc>
          <w:tcPr>
            <w:tcW w:w="804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880" w:type="dxa"/>
            <w:vAlign w:val="bottom"/>
          </w:tcPr>
          <w:p>
            <w:pPr>
              <w:spacing w:after="0"/>
              <w:rPr>
                <w:sz w:val="16"/>
                <w:szCs w:val="16"/>
                <w:color w:val="auto"/>
              </w:rPr>
            </w:pPr>
          </w:p>
        </w:tc>
        <w:tc>
          <w:tcPr>
            <w:tcW w:w="260" w:type="dxa"/>
            <w:vAlign w:val="bottom"/>
            <w:tcBorders>
              <w:top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110</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724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110</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724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111</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724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111</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724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113</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724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113</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724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113</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7240" w:type="dxa"/>
            <w:vAlign w:val="bottom"/>
          </w:tcPr>
          <w:p>
            <w:pPr>
              <w:ind w:left="220"/>
              <w:spacing w:after="0"/>
              <w:rPr>
                <w:sz w:val="20"/>
                <w:szCs w:val="20"/>
                <w:color w:val="auto"/>
              </w:rPr>
            </w:pPr>
            <w:r>
              <w:rPr>
                <w:rFonts w:ascii="Arial" w:cs="Arial" w:eastAsia="Arial" w:hAnsi="Arial"/>
                <w:sz w:val="15"/>
                <w:szCs w:val="15"/>
                <w:color w:val="auto"/>
              </w:rPr>
              <w:t>Exhibits</w:t>
            </w:r>
          </w:p>
        </w:tc>
        <w:tc>
          <w:tcPr>
            <w:tcW w:w="3140" w:type="dxa"/>
            <w:vAlign w:val="bottom"/>
            <w:gridSpan w:val="3"/>
          </w:tcPr>
          <w:p>
            <w:pPr>
              <w:jc w:val="right"/>
              <w:spacing w:after="0"/>
              <w:rPr>
                <w:sz w:val="20"/>
                <w:szCs w:val="20"/>
                <w:color w:val="auto"/>
              </w:rPr>
            </w:pPr>
            <w:r>
              <w:rPr>
                <w:rFonts w:ascii="Arial" w:cs="Arial" w:eastAsia="Arial" w:hAnsi="Arial"/>
                <w:sz w:val="15"/>
                <w:szCs w:val="15"/>
                <w:color w:val="0000FF"/>
              </w:rPr>
              <w:t>114</w:t>
            </w:r>
          </w:p>
        </w:tc>
      </w:tr>
      <w:tr>
        <w:trPr>
          <w:trHeight w:val="20"/>
        </w:trPr>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First Quarter 2024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2023 (“2023 Form 10-K”). You can find a “Glossary of Terms Used in This Report” in MD&amp;A in our 2023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and elsewhere in this report and in “Risk Factors” and elsewhere in our 2023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$72.4 billion in liquidity to the mortgage market in the first quarter of 2024, which enabled the financing of approximately 280,000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December 31, 2023 (the latest date for which information is available), Fannie Mae owned or guaranteed an estimated 1 in 4 single-family mortgage loans in the United States and an estimated 21% of multifamily mortgage debt outstanding in the United States.</w:t>
      </w:r>
    </w:p>
    <w:p>
      <w:pPr>
        <w:spacing w:after="0" w:line="3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24" w:lineRule="exact"/>
        <w:rPr>
          <w:sz w:val="20"/>
          <w:szCs w:val="20"/>
          <w:color w:val="auto"/>
        </w:rPr>
      </w:pPr>
    </w:p>
    <w:p>
      <w:pPr>
        <w:jc w:val="both"/>
        <w:ind w:right="70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requirements, we transfer some of our credit risk exposure to third parties through credit risk transfer transactions and mortgage insurance. For a discussion of how we manage credit risk, see “MD&amp;A—Single-Family Business—Single-Family Mortgage Credit Risk Management” and “MD&amp;A— Multifamily Business—Multifamily Mortgage Credit Risk Management” in this report and in our 2023 Form 10-K.</w:t>
      </w:r>
    </w:p>
    <w:p>
      <w:pPr>
        <w:spacing w:after="0" w:line="3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are in conservatorship, with the Federal Housing Finance Agency (“FHFA”) as our conservator. During conservatorship, our Board has no fiduciary duties to the company or its stockholders, as they owe their fiduciary duties of care and loyalty solely to FHFA as conservator.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“Business—Conservatorship and Treasury Agreements” and “Risk Factors—GSE and Conservatorship Risk” in our 2023 Form 10-K.</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ind w:left="9380"/>
        <w:spacing w:after="0"/>
        <w:rPr>
          <w:sz w:val="20"/>
          <w:szCs w:val="20"/>
          <w:color w:val="auto"/>
        </w:rPr>
      </w:pPr>
      <w:r>
        <w:rPr>
          <w:rFonts w:ascii="Arial" w:cs="Arial" w:eastAsia="Arial" w:hAnsi="Arial"/>
          <w:sz w:val="14"/>
          <w:szCs w:val="14"/>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as of March 31, 2024 and the accompanying notes.</w:t>
      </w:r>
    </w:p>
    <w:p>
      <w:pPr>
        <w:spacing w:after="0" w:line="13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 of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53975</wp:posOffset>
            </wp:positionV>
            <wp:extent cx="5337810" cy="2701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3781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Summary of Financial Results</w:t>
      </w:r>
    </w:p>
    <w:p>
      <w:pPr>
        <w:spacing w:after="0" w:line="63"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increased $246 million in the first quarter of 2024 compared with the first quarter of 2023.</w:t>
      </w:r>
    </w:p>
    <w:p>
      <w:pPr>
        <w:spacing w:after="0" w:line="86" w:lineRule="exact"/>
        <w:rPr>
          <w:rFonts w:ascii="Arial" w:cs="Arial" w:eastAsia="Arial" w:hAnsi="Arial"/>
          <w:sz w:val="16"/>
          <w:szCs w:val="16"/>
          <w:i w:val="1"/>
          <w:iCs w:val="1"/>
          <w:color w:val="auto"/>
        </w:rPr>
      </w:pPr>
    </w:p>
    <w:p>
      <w:pPr>
        <w:ind w:left="620" w:right="40" w:hanging="307"/>
        <w:spacing w:after="0" w:line="310"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increased $548 million for the first quarter of 2024 compared with the first quarter of 2023, primarily driven by a shift to benefit for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on single-family mortgage loans and an increase in fair value gains.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to $82.0 billion as of March 31, 2024 from $77.7 billion as of December 31, 2023.</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information in this section updates and supplements information regarding legislative, regulatory, conservatorship and other matters affecting our business set forth in “Business—Conservatorship and Treasury Agreements” and “Business—Legislation and Regulation” in our 2023 Form 10-K. Also see “Risk Factors” in our 2023 Form 10-K for discussions of risks relating to legislative and regulatory matters.</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FHFA Fair Lending Rule</w:t>
      </w:r>
    </w:p>
    <w:p>
      <w:pPr>
        <w:spacing w:after="0" w:line="63"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On April 29, 2024, FHFA published a final rule relating to fair lending, fair housing, and equitable housing finance plans. We are assessing the potential impact of the new rule on our business.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“MD&amp;A—Key Market Economic Indicators” in our 2023 Form 10-K, we discuss how varying macroeconomic conditions can influence our financial results across different business and economic environments, and provide forecasts and expectations with respect to some of these macroeconomic conditions. Below we provide an update to these forecasts and expectations, as well as updates to certain macroeconomic information. Our forecasts and expectations are based on many assumptions, subject to many uncertainties and may change, perhaps substantially, from our current forecasts and expectations. See “Risk Factors” in our 2023 Form 10-K and “Forward-Looking Statements” in this report for a discussion of factors that could cause actual results to differ materially from our current forecasts and expectations.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Interest Rates</w:t>
      </w:r>
    </w:p>
    <w:p>
      <w:pPr>
        <w:spacing w:after="0" w:line="10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Selected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15240</wp:posOffset>
            </wp:positionV>
            <wp:extent cx="5468620" cy="2275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68620"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 w:right="180" w:hanging="237"/>
        <w:spacing w:after="0" w:line="221" w:lineRule="auto"/>
        <w:tabs>
          <w:tab w:leader="none" w:pos="233"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These rates are reported using the latest available data for a given period.</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
        </w:numPr>
        <w:rPr>
          <w:rFonts w:ascii="Arial" w:cs="Arial" w:eastAsia="Arial" w:hAnsi="Arial"/>
          <w:sz w:val="9"/>
          <w:szCs w:val="9"/>
          <w:color w:val="auto"/>
        </w:rPr>
      </w:pPr>
      <w:r>
        <w:rPr>
          <w:rFonts w:ascii="Arial" w:cs="Arial" w:eastAsia="Arial" w:hAnsi="Arial"/>
          <w:sz w:val="14"/>
          <w:szCs w:val="14"/>
          <w:color w:val="auto"/>
        </w:rPr>
        <w:t>According to Bloomberg.</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Refers to the daily rate per the Federal Reserve Bank of New York.</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average 30-year fixed-rate mortgage rate at the end of the first quarter of 2024 increased compared to the end of the fourth quarter of 2023.</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Quarterly Home Price Growth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119380</wp:posOffset>
            </wp:positionV>
            <wp:extent cx="4911725" cy="1015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11725" cy="101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0" w:hanging="237"/>
        <w:spacing w:after="0" w:line="259" w:lineRule="auto"/>
        <w:tabs>
          <w:tab w:leader="none" w:pos="233" w:val="left"/>
        </w:tabs>
        <w:numPr>
          <w:ilvl w:val="0"/>
          <w:numId w:val="5"/>
        </w:numPr>
        <w:rPr>
          <w:rFonts w:ascii="Arial" w:cs="Arial" w:eastAsia="Arial" w:hAnsi="Arial"/>
          <w:sz w:val="9"/>
          <w:szCs w:val="9"/>
          <w:color w:val="auto"/>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6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Home prices on a national basis grew by an estimated 1.7% in the first quarter of 2024. We forecast national home price growth of 4.8% for the full year of 2024. We expect regional variation in the timing and rate of home price changes.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Housing Activity</w:t>
      </w:r>
    </w:p>
    <w:p>
      <w:pPr>
        <w:spacing w:after="0" w:line="15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New Housing Starts</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-19050</wp:posOffset>
            </wp:positionV>
            <wp:extent cx="4911725" cy="2513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11725"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7"/>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According to the U.S. Census Bureau and subject to revision.</w:t>
      </w:r>
    </w:p>
    <w:p>
      <w:pPr>
        <w:spacing w:after="0" w:line="9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Single-family housing starts increased slightly in the first quarter of 2024. We expect single-family housing starts to increase in 2024 compared to 2023 due to elevated demand for new single-family housing.</w:t>
      </w:r>
    </w:p>
    <w:p>
      <w:pPr>
        <w:spacing w:after="0" w:line="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further discussion on housing activity, see “Single-Family Business—Single-Family Mortgage Market” and “Multifamily Business—Multifamily Mortgage Market.”</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Unemployment Rate and Personal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15240</wp:posOffset>
            </wp:positionV>
            <wp:extent cx="5403215" cy="1489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03215"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hanging="217"/>
        <w:spacing w:after="0"/>
        <w:tabs>
          <w:tab w:leader="none" w:pos="220" w:val="left"/>
        </w:tabs>
        <w:numPr>
          <w:ilvl w:val="0"/>
          <w:numId w:val="7"/>
        </w:numPr>
        <w:rPr>
          <w:rFonts w:ascii="Arial" w:cs="Arial" w:eastAsia="Arial" w:hAnsi="Arial"/>
          <w:sz w:val="8"/>
          <w:szCs w:val="8"/>
          <w:color w:val="auto"/>
        </w:rPr>
      </w:pPr>
      <w:r>
        <w:rPr>
          <w:rFonts w:ascii="Arial" w:cs="Arial" w:eastAsia="Arial" w:hAnsi="Arial"/>
          <w:sz w:val="13"/>
          <w:szCs w:val="13"/>
          <w:color w:val="auto"/>
        </w:rPr>
        <w:t>Real GDP growth (decline) and personal consumption growth (decline) are based on the quarterly series calculated by the Bureau of Economic Analysis and are subject to revision.</w:t>
      </w:r>
    </w:p>
    <w:p>
      <w:pPr>
        <w:spacing w:after="0" w:line="56" w:lineRule="exact"/>
        <w:rPr>
          <w:rFonts w:ascii="Arial" w:cs="Arial" w:eastAsia="Arial" w:hAnsi="Arial"/>
          <w:sz w:val="8"/>
          <w:szCs w:val="8"/>
          <w:color w:val="auto"/>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According to the U.S. Bureau of Labor Statistics and subject to revision.</w:t>
      </w:r>
    </w:p>
    <w:p>
      <w:pPr>
        <w:spacing w:after="0" w:line="9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U.S. gross domestic product (“GDP”) increased in the first quarter of 2024. We expect that GDP will continue to grow in 2024, but at a slower pace than in 2023. The unemployment rate increased slightly in the first quarter of 2024, and we expect it to continue to increase modestly in the remainder of 2024. We expect our economic outlook will be influenced by a number of factors that are subject to change, such as the persistence of inflationary pressures, changes in monetary policy and the risk of financial market disruptions.</w:t>
      </w:r>
    </w:p>
    <w:p>
      <w:pPr>
        <w:spacing w:after="0" w:line="5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See “Risk Factors—Market and Industry Risk” and “Risk Factors—Credit Risk” in our 2023 Form 10-K for further discussion of risks to our business and financial results associated with interest rates, home prices, housing activity, and economic conditions.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8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8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8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8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right"/>
              <w:ind w:right="43"/>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6"/>
                <w:szCs w:val="16"/>
                <w:color w:val="auto"/>
              </w:rPr>
            </w:pPr>
          </w:p>
        </w:tc>
      </w:tr>
      <w:tr>
        <w:trPr>
          <w:trHeight w:val="207"/>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7,023</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6,786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208"/>
        </w:trPr>
        <w:tc>
          <w:tcPr>
            <w:tcW w:w="80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Fee and other income</w:t>
            </w:r>
            <w:r>
              <w:rPr>
                <w:rFonts w:ascii="Arial" w:cs="Arial" w:eastAsia="Arial" w:hAnsi="Arial"/>
                <w:sz w:val="20"/>
                <w:szCs w:val="20"/>
                <w:color w:val="auto"/>
                <w:vertAlign w:val="superscript"/>
              </w:rPr>
              <w:t>(1)</w:t>
            </w:r>
          </w:p>
        </w:tc>
        <w:tc>
          <w:tcPr>
            <w:tcW w:w="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r>
      <w:tr>
        <w:trPr>
          <w:trHeight w:val="198"/>
        </w:trPr>
        <w:tc>
          <w:tcPr>
            <w:tcW w:w="808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7,095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6,849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246</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Fair value gains, net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276</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312</w:t>
            </w:r>
          </w:p>
        </w:tc>
      </w:tr>
      <w:tr>
        <w:trPr>
          <w:trHeight w:val="206"/>
        </w:trPr>
        <w:tc>
          <w:tcPr>
            <w:tcW w:w="8080" w:type="dxa"/>
            <w:vAlign w:val="bottom"/>
            <w:gridSpan w:val="2"/>
          </w:tcPr>
          <w:p>
            <w:pPr>
              <w:ind w:left="40"/>
              <w:spacing w:after="0" w:line="207"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21"/>
        </w:trPr>
        <w:tc>
          <w:tcPr>
            <w:tcW w:w="8080" w:type="dxa"/>
            <w:vAlign w:val="bottom"/>
            <w:gridSpan w:val="2"/>
          </w:tcPr>
          <w:p>
            <w:pPr>
              <w:ind w:left="20"/>
              <w:spacing w:after="0" w:line="221"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17"/>
        </w:trPr>
        <w:tc>
          <w:tcPr>
            <w:tcW w:w="808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08"/>
        </w:trPr>
        <w:tc>
          <w:tcPr>
            <w:tcW w:w="80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(5)</w:t>
            </w:r>
          </w:p>
        </w:tc>
        <w:tc>
          <w:tcPr>
            <w:tcW w:w="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(199)</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w:t>
            </w:r>
          </w:p>
        </w:tc>
      </w:tr>
      <w:tr>
        <w:trPr>
          <w:trHeight w:val="198"/>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5,433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4,780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653</w:t>
            </w:r>
          </w:p>
        </w:tc>
      </w:tr>
      <w:tr>
        <w:trPr>
          <w:trHeight w:val="208"/>
        </w:trPr>
        <w:tc>
          <w:tcPr>
            <w:tcW w:w="8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8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(1,113)</w:t>
            </w:r>
          </w:p>
        </w:tc>
        <w:tc>
          <w:tcPr>
            <w:tcW w:w="8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(1,008)</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(105)</w:t>
            </w:r>
          </w:p>
        </w:tc>
      </w:tr>
      <w:tr>
        <w:trPr>
          <w:trHeight w:val="199"/>
        </w:trPr>
        <w:tc>
          <w:tcPr>
            <w:tcW w:w="808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4,320</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3,772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548</w:t>
            </w:r>
          </w:p>
        </w:tc>
      </w:tr>
      <w:tr>
        <w:trPr>
          <w:trHeight w:val="20"/>
        </w:trPr>
        <w:tc>
          <w:tcPr>
            <w:tcW w:w="80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4,324</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3,772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552</w:t>
            </w:r>
          </w:p>
        </w:tc>
      </w:tr>
    </w:tbl>
    <w:p>
      <w:pPr>
        <w:spacing w:after="0" w:line="114" w:lineRule="exact"/>
        <w:rPr>
          <w:sz w:val="20"/>
          <w:szCs w:val="20"/>
          <w:color w:val="auto"/>
        </w:rPr>
      </w:pPr>
    </w:p>
    <w:p>
      <w:pPr>
        <w:ind w:left="240" w:right="160" w:hanging="237"/>
        <w:spacing w:after="0" w:line="226"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consists primarily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27" w:lineRule="exact"/>
        <w:rPr>
          <w:rFonts w:ascii="Arial" w:cs="Arial" w:eastAsia="Arial" w:hAnsi="Arial"/>
          <w:sz w:val="18"/>
          <w:szCs w:val="18"/>
          <w:color w:val="auto"/>
          <w:vertAlign w:val="superscript"/>
        </w:rPr>
      </w:pPr>
    </w:p>
    <w:p>
      <w:pPr>
        <w:ind w:left="240" w:right="520" w:hanging="237"/>
        <w:spacing w:after="0" w:line="226"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TCCA fees refers to the expense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14" w:lineRule="exact"/>
        <w:rPr>
          <w:rFonts w:ascii="Arial" w:cs="Arial" w:eastAsia="Arial" w:hAnsi="Arial"/>
          <w:sz w:val="18"/>
          <w:szCs w:val="18"/>
          <w:color w:val="auto"/>
          <w:vertAlign w:val="superscript"/>
        </w:rPr>
      </w:pPr>
    </w:p>
    <w:p>
      <w:pPr>
        <w:ind w:left="240" w:right="180" w:hanging="237"/>
        <w:spacing w:after="0" w:line="259" w:lineRule="auto"/>
        <w:tabs>
          <w:tab w:leader="none" w:pos="233" w:val="left"/>
        </w:tabs>
        <w:numPr>
          <w:ilvl w:val="0"/>
          <w:numId w:val="8"/>
        </w:numPr>
        <w:rPr>
          <w:rFonts w:ascii="Arial" w:cs="Arial" w:eastAsia="Arial" w:hAnsi="Arial"/>
          <w:sz w:val="9"/>
          <w:szCs w:val="9"/>
          <w:color w:val="auto"/>
        </w:rPr>
      </w:pPr>
      <w:r>
        <w:rPr>
          <w:rFonts w:ascii="Arial" w:cs="Arial" w:eastAsia="Arial" w:hAnsi="Arial"/>
          <w:sz w:val="14"/>
          <w:szCs w:val="14"/>
          <w:color w:val="auto"/>
        </w:rPr>
        <w:t>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(“CAS”) and Credit Insurance Risk Transfer</w:t>
      </w:r>
      <w:r>
        <w:rPr>
          <w:rFonts w:ascii="Arial" w:cs="Arial" w:eastAsia="Arial" w:hAnsi="Arial"/>
          <w:sz w:val="8"/>
          <w:szCs w:val="8"/>
          <w:color w:val="auto"/>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programs, enterprise-paid mortgage insurance and certain lender risk-sharing programs.</w:t>
      </w:r>
    </w:p>
    <w:p>
      <w:pPr>
        <w:spacing w:after="0" w:line="1" w:lineRule="exact"/>
        <w:rPr>
          <w:rFonts w:ascii="Arial" w:cs="Arial" w:eastAsia="Arial" w:hAnsi="Arial"/>
          <w:sz w:val="9"/>
          <w:szCs w:val="9"/>
          <w:color w:val="auto"/>
        </w:rPr>
      </w:pPr>
    </w:p>
    <w:p>
      <w:pPr>
        <w:ind w:left="220" w:hanging="217"/>
        <w:spacing w:after="0" w:line="195" w:lineRule="auto"/>
        <w:tabs>
          <w:tab w:leader="none" w:pos="2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freestanding credit enhancements.</w:t>
      </w:r>
    </w:p>
    <w:p>
      <w:pPr>
        <w:spacing w:after="0" w:line="38" w:lineRule="exact"/>
        <w:rPr>
          <w:rFonts w:ascii="Arial" w:cs="Arial" w:eastAsia="Arial" w:hAnsi="Arial"/>
          <w:sz w:val="18"/>
          <w:szCs w:val="18"/>
          <w:color w:val="auto"/>
          <w:vertAlign w:val="superscript"/>
        </w:rPr>
      </w:pPr>
    </w:p>
    <w:p>
      <w:pPr>
        <w:ind w:left="240" w:right="280" w:hanging="237"/>
        <w:spacing w:after="0" w:line="219"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Consists of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9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“MD&amp;A—Consolidated Results of Operations—Net Interest Income” in our 2023 Form 10-K for a description of the components of our single-family and multifamily guaranty fees and the components of our net interest income from our guaranty book of business, portfolios, and hedge accounting.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0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3560" w:type="dxa"/>
            <w:vAlign w:val="bottom"/>
            <w:tcBorders>
              <w:top w:val="single" w:sz="8" w:color="2C6937"/>
            </w:tcBorders>
            <w:gridSpan w:val="6"/>
          </w:tcPr>
          <w:p>
            <w:pPr>
              <w:ind w:left="300"/>
              <w:spacing w:after="0"/>
              <w:rPr>
                <w:sz w:val="20"/>
                <w:szCs w:val="20"/>
                <w:color w:val="auto"/>
              </w:rPr>
            </w:pPr>
            <w:r>
              <w:rPr>
                <w:rFonts w:ascii="Arial" w:cs="Arial" w:eastAsia="Arial" w:hAnsi="Arial"/>
                <w:sz w:val="15"/>
                <w:szCs w:val="15"/>
                <w:b w:val="1"/>
                <w:bCs w:val="1"/>
                <w:color w:val="auto"/>
              </w:rPr>
              <w:t>For the Three Months Ended March 31,</w:t>
            </w:r>
          </w:p>
        </w:tc>
        <w:tc>
          <w:tcPr>
            <w:tcW w:w="320" w:type="dxa"/>
            <w:vAlign w:val="bottom"/>
            <w:tcBorders>
              <w:top w:val="single" w:sz="8" w:color="2C6937"/>
            </w:tcBorders>
          </w:tcPr>
          <w:p>
            <w:pPr>
              <w:spacing w:after="0"/>
              <w:rPr>
                <w:sz w:val="20"/>
                <w:szCs w:val="20"/>
                <w:color w:val="auto"/>
              </w:rPr>
            </w:pPr>
          </w:p>
        </w:tc>
        <w:tc>
          <w:tcPr>
            <w:tcW w:w="1360" w:type="dxa"/>
            <w:vAlign w:val="bottom"/>
            <w:tcBorders>
              <w:top w:val="single" w:sz="8" w:color="2C6937"/>
            </w:tcBorders>
          </w:tcPr>
          <w:p>
            <w:pPr>
              <w:spacing w:after="0"/>
              <w:rPr>
                <w:sz w:val="20"/>
                <w:szCs w:val="20"/>
                <w:color w:val="auto"/>
              </w:rPr>
            </w:pPr>
          </w:p>
        </w:tc>
      </w:tr>
      <w:tr>
        <w:trPr>
          <w:trHeight w:val="199"/>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2024</w:t>
            </w:r>
          </w:p>
        </w:tc>
        <w:tc>
          <w:tcPr>
            <w:tcW w:w="5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120" w:type="dxa"/>
            <w:vAlign w:val="bottom"/>
            <w:tcBorders>
              <w:top w:val="single" w:sz="8" w:color="2C6937"/>
              <w:bottom w:val="single" w:sz="8" w:color="2C6937"/>
            </w:tcBorders>
          </w:tcPr>
          <w:p>
            <w:pPr>
              <w:spacing w:after="0"/>
              <w:rPr>
                <w:sz w:val="17"/>
                <w:szCs w:val="17"/>
                <w:color w:val="auto"/>
              </w:rPr>
            </w:pPr>
          </w:p>
        </w:tc>
        <w:tc>
          <w:tcPr>
            <w:tcW w:w="1560" w:type="dxa"/>
            <w:vAlign w:val="bottom"/>
            <w:tcBorders>
              <w:top w:val="single" w:sz="8" w:color="2C6937"/>
              <w:bottom w:val="single" w:sz="8" w:color="2C6937"/>
            </w:tcBorders>
          </w:tcPr>
          <w:p>
            <w:pPr>
              <w:jc w:val="right"/>
              <w:ind w:right="6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32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443"/>
              <w:spacing w:after="0"/>
              <w:rPr>
                <w:sz w:val="20"/>
                <w:szCs w:val="20"/>
                <w:color w:val="auto"/>
              </w:rPr>
            </w:pPr>
            <w:r>
              <w:rPr>
                <w:rFonts w:ascii="Arial" w:cs="Arial" w:eastAsia="Arial" w:hAnsi="Arial"/>
                <w:sz w:val="15"/>
                <w:szCs w:val="15"/>
                <w:b w:val="1"/>
                <w:bCs w:val="1"/>
                <w:color w:val="auto"/>
              </w:rPr>
              <w:t>Variance</w:t>
            </w:r>
          </w:p>
        </w:tc>
      </w:tr>
      <w:tr>
        <w:trPr>
          <w:trHeight w:val="296"/>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1"/>
        </w:trPr>
        <w:tc>
          <w:tcPr>
            <w:tcW w:w="600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guaranty book of business: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6"/>
        </w:trPr>
        <w:tc>
          <w:tcPr>
            <w:tcW w:w="600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w:t>
            </w:r>
            <w:r>
              <w:rPr>
                <w:rFonts w:ascii="Arial" w:cs="Arial" w:eastAsia="Arial" w:hAnsi="Arial"/>
                <w:sz w:val="20"/>
                <w:szCs w:val="20"/>
                <w:color w:val="auto"/>
                <w:vertAlign w:val="superscript"/>
              </w:rPr>
              <w:t>(1)</w:t>
            </w:r>
          </w:p>
        </w:tc>
        <w:tc>
          <w:tcPr>
            <w:tcW w:w="1120" w:type="dxa"/>
            <w:vAlign w:val="bottom"/>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4,090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3,992</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309"/>
        </w:trPr>
        <w:tc>
          <w:tcPr>
            <w:tcW w:w="600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r>
              <w:rPr>
                <w:rFonts w:ascii="Arial" w:cs="Arial" w:eastAsia="Arial" w:hAnsi="Arial"/>
                <w:sz w:val="20"/>
                <w:szCs w:val="20"/>
                <w:color w:val="auto"/>
                <w:vertAlign w:val="superscript"/>
              </w:rPr>
              <w:t>(2)</w:t>
            </w:r>
          </w:p>
        </w:tc>
        <w:tc>
          <w:tcPr>
            <w:tcW w:w="1120" w:type="dxa"/>
            <w:vAlign w:val="bottom"/>
          </w:tcPr>
          <w:p>
            <w:pPr>
              <w:spacing w:after="0"/>
              <w:rPr>
                <w:sz w:val="24"/>
                <w:szCs w:val="24"/>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860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855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57"/>
        </w:trPr>
        <w:tc>
          <w:tcPr>
            <w:tcW w:w="59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r>
              <w:rPr>
                <w:rFonts w:ascii="Arial" w:cs="Arial" w:eastAsia="Arial" w:hAnsi="Arial"/>
                <w:sz w:val="20"/>
                <w:szCs w:val="20"/>
                <w:color w:val="auto"/>
                <w:vertAlign w:val="superscript"/>
              </w:rPr>
              <w:t>(3)</w:t>
            </w:r>
          </w:p>
        </w:tc>
        <w:tc>
          <w:tcPr>
            <w:tcW w:w="100" w:type="dxa"/>
            <w:vAlign w:val="bottom"/>
          </w:tcPr>
          <w:p>
            <w:pPr>
              <w:spacing w:after="0"/>
              <w:rPr>
                <w:sz w:val="22"/>
                <w:szCs w:val="22"/>
                <w:color w:val="auto"/>
              </w:rPr>
            </w:pPr>
          </w:p>
        </w:tc>
        <w:tc>
          <w:tcPr>
            <w:tcW w:w="1120" w:type="dxa"/>
            <w:vAlign w:val="bottom"/>
            <w:tcBorders>
              <w:bottom w:val="single" w:sz="8" w:color="2C6937"/>
            </w:tcBorders>
          </w:tcPr>
          <w:p>
            <w:pPr>
              <w:spacing w:after="0"/>
              <w:rPr>
                <w:sz w:val="22"/>
                <w:szCs w:val="22"/>
                <w:color w:val="auto"/>
              </w:rPr>
            </w:pPr>
          </w:p>
        </w:tc>
        <w:tc>
          <w:tcPr>
            <w:tcW w:w="5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777</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5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781</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r>
      <w:tr>
        <w:trPr>
          <w:trHeight w:val="309"/>
        </w:trPr>
        <w:tc>
          <w:tcPr>
            <w:tcW w:w="600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1120" w:type="dxa"/>
            <w:vAlign w:val="bottom"/>
          </w:tcPr>
          <w:p>
            <w:pPr>
              <w:spacing w:after="0"/>
              <w:rPr>
                <w:sz w:val="24"/>
                <w:szCs w:val="24"/>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5,727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5,628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278"/>
        </w:trPr>
        <w:tc>
          <w:tcPr>
            <w:tcW w:w="600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(4)</w:t>
            </w:r>
          </w:p>
        </w:tc>
        <w:tc>
          <w:tcPr>
            <w:tcW w:w="1120" w:type="dxa"/>
            <w:vAlign w:val="bottom"/>
          </w:tcPr>
          <w:p>
            <w:pPr>
              <w:spacing w:after="0"/>
              <w:rPr>
                <w:sz w:val="24"/>
                <w:szCs w:val="24"/>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1,547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1,390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157</w:t>
            </w:r>
          </w:p>
        </w:tc>
      </w:tr>
      <w:tr>
        <w:trPr>
          <w:trHeight w:val="257"/>
        </w:trPr>
        <w:tc>
          <w:tcPr>
            <w:tcW w:w="59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Expense from hedge accounting</w:t>
            </w:r>
            <w:r>
              <w:rPr>
                <w:rFonts w:ascii="Arial" w:cs="Arial" w:eastAsia="Arial" w:hAnsi="Arial"/>
                <w:sz w:val="20"/>
                <w:szCs w:val="20"/>
                <w:color w:val="auto"/>
                <w:vertAlign w:val="superscript"/>
              </w:rPr>
              <w:t>(5)</w:t>
            </w:r>
          </w:p>
        </w:tc>
        <w:tc>
          <w:tcPr>
            <w:tcW w:w="100" w:type="dxa"/>
            <w:vAlign w:val="bottom"/>
          </w:tcPr>
          <w:p>
            <w:pPr>
              <w:spacing w:after="0"/>
              <w:rPr>
                <w:sz w:val="22"/>
                <w:szCs w:val="22"/>
                <w:color w:val="auto"/>
              </w:rPr>
            </w:pPr>
          </w:p>
        </w:tc>
        <w:tc>
          <w:tcPr>
            <w:tcW w:w="1120" w:type="dxa"/>
            <w:vAlign w:val="bottom"/>
            <w:tcBorders>
              <w:bottom w:val="single" w:sz="8" w:color="2C6937"/>
            </w:tcBorders>
          </w:tcPr>
          <w:p>
            <w:pPr>
              <w:spacing w:after="0"/>
              <w:rPr>
                <w:sz w:val="22"/>
                <w:szCs w:val="22"/>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(251)</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22"/>
                <w:szCs w:val="22"/>
                <w:color w:val="auto"/>
              </w:rPr>
            </w:pPr>
          </w:p>
        </w:tc>
        <w:tc>
          <w:tcPr>
            <w:tcW w:w="320" w:type="dxa"/>
            <w:vAlign w:val="bottom"/>
            <w:tcBorders>
              <w:bottom w:val="single" w:sz="8" w:color="2C6937"/>
            </w:tcBorders>
          </w:tcPr>
          <w:p>
            <w:pPr>
              <w:spacing w:after="0"/>
              <w:rPr>
                <w:sz w:val="22"/>
                <w:szCs w:val="22"/>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r>
      <w:tr>
        <w:trPr>
          <w:trHeight w:val="277"/>
        </w:trPr>
        <w:tc>
          <w:tcPr>
            <w:tcW w:w="600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1120" w:type="dxa"/>
            <w:vAlign w:val="bottom"/>
          </w:tcPr>
          <w:p>
            <w:pPr>
              <w:jc w:val="right"/>
              <w:ind w:right="943"/>
              <w:spacing w:after="0"/>
              <w:rPr>
                <w:sz w:val="20"/>
                <w:szCs w:val="20"/>
                <w:color w:val="auto"/>
              </w:rPr>
            </w:pPr>
            <w:r>
              <w:rPr>
                <w:rFonts w:ascii="Arial" w:cs="Arial" w:eastAsia="Arial" w:hAnsi="Arial"/>
                <w:sz w:val="15"/>
                <w:szCs w:val="15"/>
                <w:b w:val="1"/>
                <w:bCs w:val="1"/>
                <w:color w:val="auto"/>
                <w:w w:val="95"/>
              </w:rPr>
              <w:t>$</w:t>
            </w:r>
          </w:p>
        </w:tc>
        <w:tc>
          <w:tcPr>
            <w:tcW w:w="560" w:type="dxa"/>
            <w:vAlign w:val="bottom"/>
          </w:tcPr>
          <w:p>
            <w:pPr>
              <w:jc w:val="right"/>
              <w:ind w:right="3"/>
              <w:spacing w:after="0"/>
              <w:rPr>
                <w:sz w:val="20"/>
                <w:szCs w:val="20"/>
                <w:color w:val="auto"/>
              </w:rPr>
            </w:pPr>
            <w:r>
              <w:rPr>
                <w:rFonts w:ascii="Arial" w:cs="Arial" w:eastAsia="Arial" w:hAnsi="Arial"/>
                <w:sz w:val="15"/>
                <w:szCs w:val="15"/>
                <w:b w:val="1"/>
                <w:bCs w:val="1"/>
                <w:color w:val="auto"/>
              </w:rPr>
              <w:t>7,023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6,786</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20"/>
        </w:trPr>
        <w:tc>
          <w:tcPr>
            <w:tcW w:w="5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20" w:hanging="237"/>
        <w:spacing w:after="0" w:line="218"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Excludes revenues generated by the 10 basis point guaranty fee increase we implemented pursuant to the TCCA, the incremental revenue from which is paid to Treasury and not retained by us.</w:t>
      </w:r>
    </w:p>
    <w:p>
      <w:pPr>
        <w:spacing w:after="0" w:line="26" w:lineRule="exact"/>
        <w:rPr>
          <w:rFonts w:ascii="Arial" w:cs="Arial" w:eastAsia="Arial" w:hAnsi="Arial"/>
          <w:sz w:val="18"/>
          <w:szCs w:val="18"/>
          <w:color w:val="auto"/>
          <w:vertAlign w:val="superscript"/>
        </w:rPr>
      </w:pPr>
    </w:p>
    <w:p>
      <w:pPr>
        <w:ind w:left="240" w:right="80" w:hanging="237"/>
        <w:spacing w:after="0" w:line="275" w:lineRule="auto"/>
        <w:tabs>
          <w:tab w:leader="none" w:pos="233" w:val="left"/>
        </w:tabs>
        <w:numPr>
          <w:ilvl w:val="0"/>
          <w:numId w:val="9"/>
        </w:numPr>
        <w:rPr>
          <w:rFonts w:ascii="Arial" w:cs="Arial" w:eastAsia="Arial" w:hAnsi="Arial"/>
          <w:sz w:val="9"/>
          <w:szCs w:val="9"/>
          <w:color w:val="auto"/>
        </w:rPr>
      </w:pPr>
      <w:r>
        <w:rPr>
          <w:rFonts w:ascii="Arial" w:cs="Arial" w:eastAsia="Arial" w:hAnsi="Arial"/>
          <w:sz w:val="14"/>
          <w:szCs w:val="14"/>
          <w:color w:val="auto"/>
        </w:rPr>
        <w:t>Represents revenues generated by the 10 basis point guaranty fee increase we implemented pursuant to the TCCA, the incremental revenue from which is paid to Treasury and not retained by us.</w:t>
      </w:r>
    </w:p>
    <w:p>
      <w:pPr>
        <w:ind w:left="220" w:hanging="217"/>
        <w:spacing w:after="0"/>
        <w:tabs>
          <w:tab w:leader="none" w:pos="2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Excludes the amortization of cost basis adjustments resulting from hedge accounting, which is included in income (expense) from hedge accounting.</w:t>
      </w:r>
    </w:p>
    <w:p>
      <w:pPr>
        <w:spacing w:after="0" w:line="37" w:lineRule="exact"/>
        <w:rPr>
          <w:rFonts w:ascii="Arial" w:cs="Arial" w:eastAsia="Arial" w:hAnsi="Arial"/>
          <w:sz w:val="18"/>
          <w:szCs w:val="18"/>
          <w:color w:val="auto"/>
          <w:vertAlign w:val="superscript"/>
        </w:rPr>
      </w:pPr>
    </w:p>
    <w:p>
      <w:pPr>
        <w:ind w:left="240" w:right="40" w:hanging="237"/>
        <w:spacing w:after="0" w:line="219"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 including outstanding Connecticut Avenue Securities debt.</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
        </w:numPr>
        <w:rPr>
          <w:rFonts w:ascii="Arial" w:cs="Arial" w:eastAsia="Arial" w:hAnsi="Arial"/>
          <w:sz w:val="9"/>
          <w:szCs w:val="9"/>
          <w:color w:val="auto"/>
        </w:rPr>
      </w:pPr>
      <w:r>
        <w:rPr>
          <w:rFonts w:ascii="Arial" w:cs="Arial" w:eastAsia="Arial" w:hAnsi="Arial"/>
          <w:sz w:val="14"/>
          <w:szCs w:val="14"/>
          <w:color w:val="auto"/>
        </w:rPr>
        <w:t>For more information about our hedge accounting program, see “Note 9, Derivative Instruments.”</w:t>
      </w:r>
    </w:p>
    <w:p>
      <w:pPr>
        <w:spacing w:after="0" w:line="7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Net interest income increased in the first quarter of 2024 compared with the first quarter of 2023, primarily as a result of higher net interest income from portfolios and higher base guaranty fee income.</w:t>
      </w:r>
    </w:p>
    <w:p>
      <w:pPr>
        <w:spacing w:after="0" w:line="28" w:lineRule="exact"/>
        <w:rPr>
          <w:sz w:val="20"/>
          <w:szCs w:val="20"/>
          <w:color w:val="auto"/>
        </w:rPr>
      </w:pPr>
    </w:p>
    <w:p>
      <w:pPr>
        <w:jc w:val="both"/>
        <w:ind w:left="620" w:right="200" w:hanging="307"/>
        <w:spacing w:after="0" w:line="262" w:lineRule="auto"/>
        <w:tabs>
          <w:tab w:leader="none" w:pos="612"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Higher net interest income from portfolios. </w:t>
      </w:r>
      <w:r>
        <w:rPr>
          <w:rFonts w:ascii="Arial" w:cs="Arial" w:eastAsia="Arial" w:hAnsi="Arial"/>
          <w:sz w:val="16"/>
          <w:szCs w:val="16"/>
          <w:color w:val="auto"/>
        </w:rPr>
        <w:t>Higher net interest income from portfolios in the first quarter of 2024 compared with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2023 was primarily driven by slightly higher interest rates in the first quarter of 2024 than in the first quarter of 2023 on securities in our corporate liquidity portfolio, primarily securities purchased under agreements to resell. This was partially offset by higher interest expense on funding debt, also as a result of higher interest rates. See “Liquidity and Capital Management—Liquidity Management—Corporate Liquidity Portfolio” for more information about our corporate liquidity portfolio.</w:t>
      </w:r>
    </w:p>
    <w:p>
      <w:pPr>
        <w:spacing w:after="0" w:line="52" w:lineRule="exact"/>
        <w:rPr>
          <w:rFonts w:ascii="Arial" w:cs="Arial" w:eastAsia="Arial" w:hAnsi="Arial"/>
          <w:sz w:val="16"/>
          <w:szCs w:val="16"/>
          <w:i w:val="1"/>
          <w:iCs w:val="1"/>
          <w:color w:val="auto"/>
        </w:rPr>
      </w:pPr>
    </w:p>
    <w:p>
      <w:pPr>
        <w:ind w:left="620" w:right="100" w:hanging="307"/>
        <w:spacing w:after="0" w:line="293" w:lineRule="auto"/>
        <w:tabs>
          <w:tab w:leader="none" w:pos="612"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Higher base guaranty fee income</w:t>
      </w:r>
      <w:r>
        <w:rPr>
          <w:rFonts w:ascii="Arial" w:cs="Arial" w:eastAsia="Arial" w:hAnsi="Arial"/>
          <w:sz w:val="16"/>
          <w:szCs w:val="16"/>
          <w:color w:val="auto"/>
        </w:rPr>
        <w:t>. Higher average charged guaranty fees on our single-family guaranty book of business was the primary driver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base guaranty fee income in the first quarter of 2024 compared with the first quarter of 2023.</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ind w:right="240"/>
        <w:spacing w:after="0"/>
        <w:rPr>
          <w:sz w:val="20"/>
          <w:szCs w:val="20"/>
          <w:color w:val="auto"/>
        </w:rPr>
      </w:pPr>
      <w:r>
        <w:rPr>
          <w:rFonts w:ascii="Arial" w:cs="Arial" w:eastAsia="Arial" w:hAnsi="Arial"/>
          <w:sz w:val="16"/>
          <w:szCs w:val="16"/>
          <w:color w:val="auto"/>
        </w:rPr>
        <w:t>As shown in the chart below (on the left), nearly all of our single-family conventional guaranty book of business as of March 31, 2024 had an interest rate lower than the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March 28, 2024, the U.S. weekly average interest rate for a single-family 30-year fixed-rate mortgage was 6.79%. Accordingly, even if interest rates decline meaningfully, most of the borrowers whose mortgage loans are in our single-family conventional guaranty book of business still would not be incentivized to refinance.</w:t>
      </w:r>
    </w:p>
    <w:p>
      <w:pPr>
        <w:spacing w:after="0" w:line="7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2023 Form 10-K.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jc w:val="right"/>
        <w:ind w:right="12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Interest Rates of Single-Family Conventional Guaranty</w:t>
            </w:r>
          </w:p>
        </w:tc>
        <w:tc>
          <w:tcPr>
            <w:tcW w:w="4320" w:type="dxa"/>
            <w:vAlign w:val="bottom"/>
          </w:tcPr>
          <w:p>
            <w:pPr>
              <w:spacing w:after="0"/>
              <w:rPr>
                <w:sz w:val="18"/>
                <w:szCs w:val="18"/>
                <w:color w:val="auto"/>
              </w:rPr>
            </w:pPr>
          </w:p>
        </w:tc>
      </w:tr>
      <w:tr>
        <w:trPr>
          <w:trHeight w:val="232"/>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Book of Business Compared with Average 30-Year Fixed-</w:t>
            </w:r>
          </w:p>
        </w:tc>
        <w:tc>
          <w:tcPr>
            <w:tcW w:w="4320" w:type="dxa"/>
            <w:vAlign w:val="bottom"/>
          </w:tcPr>
          <w:p>
            <w:pPr>
              <w:spacing w:after="0"/>
              <w:rPr>
                <w:sz w:val="20"/>
                <w:szCs w:val="20"/>
                <w:color w:val="auto"/>
              </w:rPr>
            </w:pPr>
          </w:p>
        </w:tc>
      </w:tr>
      <w:tr>
        <w:trPr>
          <w:trHeight w:val="277"/>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Rate Mortgage Rate</w:t>
            </w:r>
          </w:p>
        </w:tc>
        <w:tc>
          <w:tcPr>
            <w:tcW w:w="4320" w:type="dxa"/>
            <w:vAlign w:val="bottom"/>
          </w:tcPr>
          <w:p>
            <w:pPr>
              <w:jc w:val="center"/>
              <w:ind w:left="386"/>
              <w:spacing w:after="0"/>
              <w:rPr>
                <w:sz w:val="20"/>
                <w:szCs w:val="20"/>
                <w:color w:val="auto"/>
              </w:rPr>
            </w:pPr>
            <w:r>
              <w:rPr>
                <w:rFonts w:ascii="Georgia" w:cs="Georgia" w:eastAsia="Georgia" w:hAnsi="Georgia"/>
                <w:sz w:val="19"/>
                <w:szCs w:val="19"/>
                <w:b w:val="1"/>
                <w:bCs w:val="1"/>
                <w:color w:val="05314D"/>
                <w:w w:val="98"/>
              </w:rPr>
              <w:t>Unamortized Deferred Guaranty Fees</w:t>
            </w:r>
            <w:r>
              <w:rPr>
                <w:rFonts w:ascii="Georgia" w:cs="Georgia" w:eastAsia="Georgia" w:hAnsi="Georgia"/>
                <w:sz w:val="24"/>
                <w:szCs w:val="24"/>
                <w:b w:val="1"/>
                <w:bCs w:val="1"/>
                <w:color w:val="05314D"/>
                <w:w w:val="98"/>
                <w:vertAlign w:val="superscript"/>
              </w:rPr>
              <w:t>(1)</w:t>
            </w:r>
          </w:p>
        </w:tc>
      </w:tr>
      <w:tr>
        <w:trPr>
          <w:trHeight w:val="213"/>
        </w:trPr>
        <w:tc>
          <w:tcPr>
            <w:tcW w:w="5980" w:type="dxa"/>
            <w:vAlign w:val="bottom"/>
          </w:tcPr>
          <w:p>
            <w:pPr>
              <w:jc w:val="center"/>
              <w:ind w:right="386"/>
              <w:spacing w:after="0" w:line="214" w:lineRule="exact"/>
              <w:rPr>
                <w:sz w:val="20"/>
                <w:szCs w:val="20"/>
                <w:color w:val="auto"/>
              </w:rPr>
            </w:pPr>
            <w:r>
              <w:rPr>
                <w:rFonts w:ascii="Georgia" w:cs="Georgia" w:eastAsia="Georgia" w:hAnsi="Georgia"/>
                <w:sz w:val="19"/>
                <w:szCs w:val="19"/>
                <w:b w:val="1"/>
                <w:bCs w:val="1"/>
                <w:color w:val="05314D"/>
                <w:w w:val="99"/>
              </w:rPr>
              <w:t>As of March 31, 2024</w:t>
            </w:r>
          </w:p>
        </w:tc>
        <w:tc>
          <w:tcPr>
            <w:tcW w:w="4320" w:type="dxa"/>
            <w:vAlign w:val="bottom"/>
          </w:tcPr>
          <w:p>
            <w:pPr>
              <w:jc w:val="center"/>
              <w:ind w:left="366"/>
              <w:spacing w:after="0" w:line="214" w:lineRule="exact"/>
              <w:rPr>
                <w:sz w:val="20"/>
                <w:szCs w:val="20"/>
                <w:color w:val="auto"/>
              </w:rPr>
            </w:pPr>
            <w:r>
              <w:rPr>
                <w:rFonts w:ascii="Georgia" w:cs="Georgia" w:eastAsia="Georgia" w:hAnsi="Georgia"/>
                <w:sz w:val="19"/>
                <w:szCs w:val="19"/>
                <w:b w:val="1"/>
                <w:bCs w:val="1"/>
                <w:color w:val="05314D"/>
                <w:w w:val="98"/>
              </w:rPr>
              <w:t>(Dollars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121920</wp:posOffset>
            </wp:positionV>
            <wp:extent cx="5403215" cy="2193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03215" cy="219392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24"/>
          <w:szCs w:val="124"/>
          <w:b w:val="1"/>
          <w:bCs w:val="1"/>
          <w:color w:val="FFB400"/>
        </w:rPr>
        <w: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4"/>
          <w:szCs w:val="124"/>
          <w:b w:val="1"/>
          <w:bCs w:val="1"/>
          <w:color w:val="05314D"/>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54" w:lineRule="auto"/>
        <w:rPr>
          <w:sz w:val="20"/>
          <w:szCs w:val="20"/>
          <w:color w:val="auto"/>
        </w:rPr>
      </w:pPr>
      <w:r>
        <w:rPr>
          <w:rFonts w:ascii="Arial" w:cs="Arial" w:eastAsia="Arial" w:hAnsi="Arial"/>
          <w:sz w:val="14"/>
          <w:szCs w:val="14"/>
          <w:color w:val="auto"/>
        </w:rPr>
        <w:t>Represents the average 30-year fixed-rate mortgage rate as of March 28, 2024, according to Freddie Mac’s Primary Mortgage Market Survey</w:t>
      </w:r>
      <w:r>
        <w:rPr>
          <w:rFonts w:ascii="Arial" w:cs="Arial" w:eastAsia="Arial" w:hAnsi="Arial"/>
          <w:sz w:val="8"/>
          <w:szCs w:val="8"/>
          <w:color w:val="auto"/>
        </w:rPr>
        <w:t>®</w:t>
      </w:r>
      <w:r>
        <w:rPr>
          <w:rFonts w:ascii="Arial" w:cs="Arial" w:eastAsia="Arial" w:hAnsi="Arial"/>
          <w:sz w:val="14"/>
          <w:szCs w:val="14"/>
          <w:color w:val="auto"/>
        </w:rPr>
        <w:t>, the last published rate for the quarter ending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Represents the percentage of single-family conventional guaranty book of business by select interest rate band based on the current interest rate of the mortgage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55" w:right="80" w:hanging="255"/>
        <w:spacing w:after="0" w:line="202" w:lineRule="auto"/>
        <w:tabs>
          <w:tab w:leader="none" w:pos="255"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Represents the net unamortized cost basis adjustments (consisting of premiums and discounts on single-family and multifamily mortgage loans and debt of consolidated trusts) that will be recognized through deferred guaranty fee income over the remaining contractual life of the mortgage loans or debt. Although we are in a net premium position for both mortgage loans and debt of consolidated trusts, we have a greater amount of premiums with respect to debt of consolidated trusts. Primarily as a result of the upfront fees we charge, the net amortization of these cost basis adjustments will result in income.</w:t>
      </w:r>
    </w:p>
    <w:p>
      <w:pPr>
        <w:spacing w:after="0" w:line="1727" w:lineRule="exact"/>
        <w:rPr>
          <w:sz w:val="20"/>
          <w:szCs w:val="20"/>
          <w:color w:val="auto"/>
        </w:rPr>
      </w:pPr>
    </w:p>
    <w:p>
      <w:pPr>
        <w:sectPr>
          <w:pgSz w:w="11900" w:h="16838" w:orient="portrait"/>
          <w:cols w:equalWidth="0" w:num="3">
            <w:col w:w="1260" w:space="180"/>
            <w:col w:w="4480" w:space="545"/>
            <w:col w:w="4775"/>
          </w:cols>
          <w:pgMar w:left="320" w:top="2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 w:name="page11"/>
    <w:bookmarkEnd w:id="10"/>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2920" w:type="dxa"/>
            <w:vAlign w:val="bottom"/>
            <w:tcBorders>
              <w:top w:val="single" w:sz="8" w:color="2C6937"/>
              <w:bottom w:val="single" w:sz="8" w:color="2C6937"/>
            </w:tcBorders>
            <w:gridSpan w:val="6"/>
          </w:tcPr>
          <w:p>
            <w:pPr>
              <w:jc w:val="center"/>
              <w:spacing w:after="0"/>
              <w:rPr>
                <w:sz w:val="20"/>
                <w:szCs w:val="20"/>
                <w:color w:val="auto"/>
              </w:rPr>
            </w:pPr>
            <w:r>
              <w:rPr>
                <w:rFonts w:ascii="Arial" w:cs="Arial" w:eastAsia="Arial" w:hAnsi="Arial"/>
                <w:sz w:val="15"/>
                <w:szCs w:val="15"/>
                <w:b w:val="1"/>
                <w:bCs w:val="1"/>
                <w:color w:val="auto"/>
              </w:rPr>
              <w:t>For the Three Months Ended March 31,</w:t>
            </w:r>
          </w:p>
        </w:tc>
        <w:tc>
          <w:tcPr>
            <w:tcW w:w="1060" w:type="dxa"/>
            <w:vAlign w:val="bottom"/>
            <w:tcBorders>
              <w:top w:val="single" w:sz="8" w:color="2C6937"/>
              <w:bottom w:val="single" w:sz="8" w:color="2C6937"/>
            </w:tcBorders>
          </w:tcPr>
          <w:p>
            <w:pPr>
              <w:spacing w:after="0"/>
              <w:rPr>
                <w:sz w:val="18"/>
                <w:szCs w:val="18"/>
                <w:color w:val="auto"/>
              </w:rPr>
            </w:pP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360" w:type="dxa"/>
            <w:vAlign w:val="bottom"/>
            <w:tcBorders>
              <w:bottom w:val="single" w:sz="8" w:color="2C6937"/>
            </w:tcBorders>
          </w:tcPr>
          <w:p>
            <w:pPr>
              <w:spacing w:after="0"/>
              <w:rPr>
                <w:sz w:val="17"/>
                <w:szCs w:val="17"/>
                <w:color w:val="auto"/>
              </w:rPr>
            </w:pPr>
          </w:p>
        </w:tc>
      </w:tr>
      <w:tr>
        <w:trPr>
          <w:trHeight w:val="275"/>
        </w:trPr>
        <w:tc>
          <w:tcPr>
            <w:tcW w:w="3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23"/>
                <w:szCs w:val="23"/>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ind w:left="200"/>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Earned/Paid</w:t>
            </w:r>
          </w:p>
        </w:tc>
      </w:tr>
      <w:tr>
        <w:trPr>
          <w:trHeight w:val="299"/>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9"/>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46,013</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621</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5.40 %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61,591</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697</w:t>
            </w:r>
          </w:p>
        </w:tc>
        <w:tc>
          <w:tcPr>
            <w:tcW w:w="1360" w:type="dxa"/>
            <w:vAlign w:val="bottom"/>
          </w:tcPr>
          <w:p>
            <w:pPr>
              <w:ind w:left="860"/>
              <w:spacing w:after="0"/>
              <w:rPr>
                <w:sz w:val="20"/>
                <w:szCs w:val="20"/>
                <w:color w:val="auto"/>
              </w:rPr>
            </w:pPr>
            <w:r>
              <w:rPr>
                <w:rFonts w:ascii="Arial" w:cs="Arial" w:eastAsia="Arial" w:hAnsi="Arial"/>
                <w:sz w:val="15"/>
                <w:szCs w:val="15"/>
                <w:color w:val="auto"/>
              </w:rPr>
              <w:t>4.53 %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45,582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622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36,748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418</w:t>
            </w:r>
          </w:p>
        </w:tc>
        <w:tc>
          <w:tcPr>
            <w:tcW w:w="1360" w:type="dxa"/>
            <w:vAlign w:val="bottom"/>
          </w:tcPr>
          <w:p>
            <w:pPr>
              <w:ind w:left="860"/>
              <w:spacing w:after="0"/>
              <w:rPr>
                <w:sz w:val="20"/>
                <w:szCs w:val="20"/>
                <w:color w:val="auto"/>
              </w:rPr>
            </w:pPr>
            <w:r>
              <w:rPr>
                <w:rFonts w:ascii="Arial" w:cs="Arial" w:eastAsia="Arial" w:hAnsi="Arial"/>
                <w:sz w:val="15"/>
                <w:szCs w:val="15"/>
                <w:color w:val="auto"/>
              </w:rPr>
              <w:t>4.55</w:t>
            </w:r>
          </w:p>
        </w:tc>
      </w:tr>
      <w:tr>
        <w:trPr>
          <w:trHeight w:val="317"/>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53,887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300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54,240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284</w:t>
            </w:r>
          </w:p>
        </w:tc>
        <w:tc>
          <w:tcPr>
            <w:tcW w:w="1360" w:type="dxa"/>
            <w:vAlign w:val="bottom"/>
          </w:tcPr>
          <w:p>
            <w:pPr>
              <w:ind w:left="860"/>
              <w:spacing w:after="0"/>
              <w:rPr>
                <w:sz w:val="20"/>
                <w:szCs w:val="20"/>
                <w:color w:val="auto"/>
              </w:rPr>
            </w:pPr>
            <w:r>
              <w:rPr>
                <w:rFonts w:ascii="Arial" w:cs="Arial" w:eastAsia="Arial" w:hAnsi="Arial"/>
                <w:sz w:val="15"/>
                <w:szCs w:val="15"/>
                <w:color w:val="auto"/>
              </w:rPr>
              <w:t>2.09</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0"/>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50,797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567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52,671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607</w:t>
            </w:r>
          </w:p>
        </w:tc>
        <w:tc>
          <w:tcPr>
            <w:tcW w:w="1360" w:type="dxa"/>
            <w:vAlign w:val="bottom"/>
          </w:tcPr>
          <w:p>
            <w:pPr>
              <w:ind w:left="860"/>
              <w:spacing w:after="0"/>
              <w:rPr>
                <w:sz w:val="20"/>
                <w:szCs w:val="20"/>
                <w:color w:val="auto"/>
              </w:rPr>
            </w:pPr>
            <w:r>
              <w:rPr>
                <w:rFonts w:ascii="Arial" w:cs="Arial" w:eastAsia="Arial" w:hAnsi="Arial"/>
                <w:sz w:val="15"/>
                <w:szCs w:val="15"/>
                <w:color w:val="auto"/>
              </w:rPr>
              <w:t>4.61</w:t>
            </w:r>
          </w:p>
        </w:tc>
      </w:tr>
      <w:tr>
        <w:trPr>
          <w:trHeight w:val="303"/>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4,094,013</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34,649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3.39</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4,072,953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31,530</w:t>
            </w:r>
          </w:p>
        </w:tc>
        <w:tc>
          <w:tcPr>
            <w:tcW w:w="1360" w:type="dxa"/>
            <w:vAlign w:val="bottom"/>
          </w:tcPr>
          <w:p>
            <w:pPr>
              <w:ind w:left="860"/>
              <w:spacing w:after="0"/>
              <w:rPr>
                <w:sz w:val="20"/>
                <w:szCs w:val="20"/>
                <w:color w:val="auto"/>
              </w:rPr>
            </w:pPr>
            <w:r>
              <w:rPr>
                <w:rFonts w:ascii="Arial" w:cs="Arial" w:eastAsia="Arial" w:hAnsi="Arial"/>
                <w:sz w:val="15"/>
                <w:szCs w:val="15"/>
                <w:color w:val="auto"/>
              </w:rPr>
              <w:t>3.10</w:t>
            </w:r>
          </w:p>
        </w:tc>
      </w:tr>
      <w:tr>
        <w:trPr>
          <w:trHeight w:val="355"/>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4,144,810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35,216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4,125,624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32,137</w:t>
            </w:r>
          </w:p>
        </w:tc>
        <w:tc>
          <w:tcPr>
            <w:tcW w:w="1360" w:type="dxa"/>
            <w:vAlign w:val="bottom"/>
          </w:tcPr>
          <w:p>
            <w:pPr>
              <w:ind w:left="860"/>
              <w:spacing w:after="0"/>
              <w:rPr>
                <w:sz w:val="20"/>
                <w:szCs w:val="20"/>
                <w:color w:val="auto"/>
              </w:rPr>
            </w:pPr>
            <w:r>
              <w:rPr>
                <w:rFonts w:ascii="Arial" w:cs="Arial" w:eastAsia="Arial" w:hAnsi="Arial"/>
                <w:sz w:val="15"/>
                <w:szCs w:val="15"/>
                <w:color w:val="auto"/>
              </w:rPr>
              <w:t>3.12</w:t>
            </w:r>
          </w:p>
        </w:tc>
      </w:tr>
      <w:tr>
        <w:trPr>
          <w:trHeight w:val="257"/>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2,354</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6.63</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2,367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34</w:t>
            </w:r>
          </w:p>
        </w:tc>
        <w:tc>
          <w:tcPr>
            <w:tcW w:w="1360" w:type="dxa"/>
            <w:vAlign w:val="bottom"/>
          </w:tcPr>
          <w:p>
            <w:pPr>
              <w:ind w:left="860"/>
              <w:spacing w:after="0"/>
              <w:rPr>
                <w:sz w:val="20"/>
                <w:szCs w:val="20"/>
                <w:color w:val="auto"/>
              </w:rPr>
            </w:pPr>
            <w:r>
              <w:rPr>
                <w:rFonts w:ascii="Arial" w:cs="Arial" w:eastAsia="Arial" w:hAnsi="Arial"/>
                <w:sz w:val="15"/>
                <w:szCs w:val="15"/>
                <w:color w:val="auto"/>
              </w:rPr>
              <w:t>5.75</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4,292,646</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36,798</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3.43 %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4,280,570</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33,570</w:t>
            </w:r>
          </w:p>
        </w:tc>
        <w:tc>
          <w:tcPr>
            <w:tcW w:w="1360" w:type="dxa"/>
            <w:vAlign w:val="bottom"/>
          </w:tcPr>
          <w:p>
            <w:pPr>
              <w:ind w:left="860"/>
              <w:spacing w:after="0"/>
              <w:rPr>
                <w:sz w:val="20"/>
                <w:szCs w:val="20"/>
                <w:color w:val="auto"/>
              </w:rPr>
            </w:pPr>
            <w:r>
              <w:rPr>
                <w:rFonts w:ascii="Arial" w:cs="Arial" w:eastAsia="Arial" w:hAnsi="Arial"/>
                <w:sz w:val="15"/>
                <w:szCs w:val="15"/>
                <w:color w:val="auto"/>
              </w:rPr>
              <w:t>3.14 %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14,717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(195)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5.30 %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10,601</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(119)</w:t>
            </w:r>
          </w:p>
        </w:tc>
        <w:tc>
          <w:tcPr>
            <w:tcW w:w="1360" w:type="dxa"/>
            <w:vAlign w:val="bottom"/>
          </w:tcPr>
          <w:p>
            <w:pPr>
              <w:ind w:left="860"/>
              <w:spacing w:after="0"/>
              <w:rPr>
                <w:sz w:val="20"/>
                <w:szCs w:val="20"/>
                <w:color w:val="auto"/>
              </w:rPr>
            </w:pPr>
            <w:r>
              <w:rPr>
                <w:rFonts w:ascii="Arial" w:cs="Arial" w:eastAsia="Arial" w:hAnsi="Arial"/>
                <w:sz w:val="15"/>
                <w:szCs w:val="15"/>
                <w:color w:val="auto"/>
              </w:rPr>
              <w:t>4.49 %</w:t>
            </w: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101,996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(919)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118,454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(808)</w:t>
            </w:r>
          </w:p>
        </w:tc>
        <w:tc>
          <w:tcPr>
            <w:tcW w:w="1360" w:type="dxa"/>
            <w:vAlign w:val="bottom"/>
          </w:tcPr>
          <w:p>
            <w:pPr>
              <w:ind w:left="860"/>
              <w:spacing w:after="0"/>
              <w:rPr>
                <w:sz w:val="20"/>
                <w:szCs w:val="20"/>
                <w:color w:val="auto"/>
              </w:rPr>
            </w:pPr>
            <w:r>
              <w:rPr>
                <w:rFonts w:ascii="Arial" w:cs="Arial" w:eastAsia="Arial" w:hAnsi="Arial"/>
                <w:sz w:val="15"/>
                <w:szCs w:val="15"/>
                <w:color w:val="auto"/>
              </w:rPr>
              <w:t>2.73</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2,641</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11.21</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5,139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w:t>
            </w:r>
          </w:p>
        </w:tc>
        <w:tc>
          <w:tcPr>
            <w:tcW w:w="1360" w:type="dxa"/>
            <w:vAlign w:val="bottom"/>
          </w:tcPr>
          <w:p>
            <w:pPr>
              <w:ind w:left="860"/>
              <w:spacing w:after="0"/>
              <w:rPr>
                <w:sz w:val="20"/>
                <w:szCs w:val="20"/>
                <w:color w:val="auto"/>
              </w:rPr>
            </w:pPr>
            <w:r>
              <w:rPr>
                <w:rFonts w:ascii="Arial" w:cs="Arial" w:eastAsia="Arial" w:hAnsi="Arial"/>
                <w:sz w:val="15"/>
                <w:szCs w:val="15"/>
                <w:color w:val="auto"/>
              </w:rPr>
              <w:t>9.57</w:t>
            </w:r>
          </w:p>
        </w:tc>
      </w:tr>
      <w:tr>
        <w:trPr>
          <w:trHeight w:val="309"/>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119,354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(1,188)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134,194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(1,050)</w:t>
            </w:r>
          </w:p>
        </w:tc>
        <w:tc>
          <w:tcPr>
            <w:tcW w:w="1360" w:type="dxa"/>
            <w:vAlign w:val="bottom"/>
          </w:tcPr>
          <w:p>
            <w:pPr>
              <w:ind w:left="860"/>
              <w:spacing w:after="0"/>
              <w:rPr>
                <w:sz w:val="20"/>
                <w:szCs w:val="20"/>
                <w:color w:val="auto"/>
              </w:rPr>
            </w:pPr>
            <w:r>
              <w:rPr>
                <w:rFonts w:ascii="Arial" w:cs="Arial" w:eastAsia="Arial" w:hAnsi="Arial"/>
                <w:sz w:val="15"/>
                <w:szCs w:val="15"/>
                <w:color w:val="auto"/>
              </w:rPr>
              <w:t>3.13</w:t>
            </w:r>
          </w:p>
        </w:tc>
      </w:tr>
      <w:tr>
        <w:trPr>
          <w:trHeight w:val="27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4,088,684</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(28,587)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2.80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4,077,130</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(25,734)</w:t>
            </w:r>
          </w:p>
        </w:tc>
        <w:tc>
          <w:tcPr>
            <w:tcW w:w="1360" w:type="dxa"/>
            <w:vAlign w:val="bottom"/>
          </w:tcPr>
          <w:p>
            <w:pPr>
              <w:ind w:left="860"/>
              <w:spacing w:after="0"/>
              <w:rPr>
                <w:sz w:val="20"/>
                <w:szCs w:val="20"/>
                <w:color w:val="auto"/>
              </w:rPr>
            </w:pPr>
            <w:r>
              <w:rPr>
                <w:rFonts w:ascii="Arial" w:cs="Arial" w:eastAsia="Arial" w:hAnsi="Arial"/>
                <w:sz w:val="15"/>
                <w:szCs w:val="15"/>
                <w:color w:val="auto"/>
              </w:rPr>
              <w:t>2.52</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4,208,038</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(29,775)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2.83 %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4,211,324</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(26,784)</w:t>
            </w:r>
          </w:p>
        </w:tc>
        <w:tc>
          <w:tcPr>
            <w:tcW w:w="1360" w:type="dxa"/>
            <w:vAlign w:val="bottom"/>
          </w:tcPr>
          <w:p>
            <w:pPr>
              <w:ind w:left="860"/>
              <w:spacing w:after="0"/>
              <w:rPr>
                <w:sz w:val="20"/>
                <w:szCs w:val="20"/>
                <w:color w:val="auto"/>
              </w:rPr>
            </w:pPr>
            <w:r>
              <w:rPr>
                <w:rFonts w:ascii="Arial" w:cs="Arial" w:eastAsia="Arial" w:hAnsi="Arial"/>
                <w:sz w:val="15"/>
                <w:szCs w:val="15"/>
                <w:color w:val="auto"/>
              </w:rPr>
              <w:t>2.54 %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106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25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7,023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6,786</w:t>
            </w:r>
          </w:p>
        </w:tc>
        <w:tc>
          <w:tcPr>
            <w:tcW w:w="1360" w:type="dxa"/>
            <w:vAlign w:val="bottom"/>
          </w:tcPr>
          <w:p>
            <w:pPr>
              <w:ind w:left="860"/>
              <w:spacing w:after="0"/>
              <w:rPr>
                <w:sz w:val="20"/>
                <w:szCs w:val="20"/>
                <w:color w:val="auto"/>
              </w:rPr>
            </w:pPr>
            <w:r>
              <w:rPr>
                <w:rFonts w:ascii="Arial" w:cs="Arial" w:eastAsia="Arial" w:hAnsi="Arial"/>
                <w:sz w:val="15"/>
                <w:szCs w:val="15"/>
                <w:color w:val="auto"/>
              </w:rPr>
              <w:t>0.63 %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jc w:val="both"/>
        <w:ind w:left="240" w:right="20" w:hanging="237"/>
        <w:spacing w:after="0" w:line="222" w:lineRule="auto"/>
        <w:tabs>
          <w:tab w:leader="none" w:pos="27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Prior to March 31, 2024, “Cash and cash equivalents” were previously reported within “Investments in securities.” The prior period has been updated to conform to the current period presentation. Cash equivalents are composed of overnight reverse repurchase agreements and U.S. Treasuries, if any, that have a maturity at the date of acquisition of three months or less.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Consists of: U.S. Treasuries not classified as cash equivalents; and mortgage-related securities.</w:t>
      </w:r>
    </w:p>
    <w:p>
      <w:pPr>
        <w:spacing w:after="0" w:line="37" w:lineRule="exact"/>
        <w:rPr>
          <w:rFonts w:ascii="Arial" w:cs="Arial" w:eastAsia="Arial" w:hAnsi="Arial"/>
          <w:sz w:val="18"/>
          <w:szCs w:val="18"/>
          <w:color w:val="auto"/>
          <w:vertAlign w:val="superscript"/>
        </w:rPr>
      </w:pPr>
    </w:p>
    <w:p>
      <w:pPr>
        <w:jc w:val="both"/>
        <w:ind w:left="240" w:right="40" w:hanging="237"/>
        <w:spacing w:after="0" w:line="228" w:lineRule="auto"/>
        <w:tabs>
          <w:tab w:leader="none" w:pos="216"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Average balance includes mortgage loans on nonaccrual status. Interest income includes loan fees of $669 million and $664 million, respectively, for the first quarter of 2024 and first quarter of 2023. Loan fees primarily consist of yield maintenance revenue we recognized on the prepayment of multifamily mortgage loans and the amortization of upfront cash fees exchanged when we acquire the mortgage loan.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8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Net</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80" w:type="dxa"/>
            <w:vAlign w:val="bottom"/>
            <w:tcBorders>
              <w:top w:val="single" w:sz="8" w:color="2C6937"/>
            </w:tcBorders>
          </w:tcPr>
          <w:p>
            <w:pPr>
              <w:spacing w:after="0"/>
              <w:rPr>
                <w:sz w:val="18"/>
                <w:szCs w:val="18"/>
                <w:color w:val="auto"/>
              </w:rPr>
            </w:pPr>
          </w:p>
        </w:tc>
        <w:tc>
          <w:tcPr>
            <w:tcW w:w="140" w:type="dxa"/>
            <w:vAlign w:val="bottom"/>
            <w:tcBorders>
              <w:top w:val="single" w:sz="8" w:color="2C6937"/>
            </w:tcBorders>
          </w:tcPr>
          <w:p>
            <w:pPr>
              <w:spacing w:after="0"/>
              <w:rPr>
                <w:sz w:val="18"/>
                <w:szCs w:val="18"/>
                <w:color w:val="auto"/>
              </w:rPr>
            </w:pPr>
          </w:p>
        </w:tc>
        <w:tc>
          <w:tcPr>
            <w:tcW w:w="2620" w:type="dxa"/>
            <w:vAlign w:val="bottom"/>
            <w:tcBorders>
              <w:top w:val="single" w:sz="8" w:color="2C6937"/>
              <w:bottom w:val="single" w:sz="8" w:color="2C6937"/>
            </w:tcBorders>
            <w:gridSpan w:val="5"/>
          </w:tcPr>
          <w:p>
            <w:pPr>
              <w:jc w:val="right"/>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86"/>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2C6937"/>
            </w:tcBorders>
          </w:tcPr>
          <w:p>
            <w:pPr>
              <w:spacing w:after="0"/>
              <w:rPr>
                <w:sz w:val="16"/>
                <w:szCs w:val="16"/>
                <w:color w:val="auto"/>
              </w:rPr>
            </w:pPr>
          </w:p>
        </w:tc>
      </w:tr>
      <w:tr>
        <w:trPr>
          <w:trHeight w:val="185"/>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4"/>
          </w:tcPr>
          <w:p>
            <w:pPr>
              <w:jc w:val="right"/>
              <w:ind w:right="166"/>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6"/>
                <w:szCs w:val="16"/>
                <w:color w:val="auto"/>
              </w:rPr>
            </w:pPr>
          </w:p>
        </w:tc>
      </w:tr>
      <w:tr>
        <w:trPr>
          <w:trHeight w:val="206"/>
        </w:trPr>
        <w:tc>
          <w:tcPr>
            <w:tcW w:w="862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 fair value gains (losses) attributable to:</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2"/>
        </w:trPr>
        <w:tc>
          <w:tcPr>
            <w:tcW w:w="8620" w:type="dxa"/>
            <w:vAlign w:val="bottom"/>
            <w:gridSpan w:val="2"/>
          </w:tcPr>
          <w:p>
            <w:pPr>
              <w:ind w:left="180"/>
              <w:spacing w:after="0"/>
              <w:rPr>
                <w:sz w:val="20"/>
                <w:szCs w:val="20"/>
                <w:color w:val="auto"/>
              </w:rPr>
            </w:pPr>
            <w:r>
              <w:rPr>
                <w:rFonts w:ascii="Arial" w:cs="Arial" w:eastAsia="Arial" w:hAnsi="Arial"/>
                <w:sz w:val="15"/>
                <w:szCs w:val="15"/>
                <w:color w:val="auto"/>
              </w:rPr>
              <w:t>Net contractual interest expense on interest-rate swaps</w:t>
            </w:r>
            <w:r>
              <w:rPr>
                <w:rFonts w:ascii="Arial" w:cs="Arial" w:eastAsia="Arial" w:hAnsi="Arial"/>
                <w:sz w:val="20"/>
                <w:szCs w:val="20"/>
                <w:color w:val="auto"/>
                <w:vertAlign w:val="superscript"/>
              </w:rPr>
              <w:t>(1)</w:t>
            </w:r>
          </w:p>
        </w:tc>
        <w:tc>
          <w:tcPr>
            <w:tcW w:w="820" w:type="dxa"/>
            <w:vAlign w:val="bottom"/>
          </w:tcPr>
          <w:p>
            <w:pPr>
              <w:jc w:val="right"/>
              <w:ind w:right="62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(300)</w:t>
            </w:r>
          </w:p>
        </w:tc>
        <w:tc>
          <w:tcPr>
            <w:tcW w:w="140" w:type="dxa"/>
            <w:vAlign w:val="bottom"/>
          </w:tcPr>
          <w:p>
            <w:pPr>
              <w:spacing w:after="0"/>
              <w:rPr>
                <w:sz w:val="20"/>
                <w:szCs w:val="20"/>
                <w:color w:val="auto"/>
              </w:rPr>
            </w:pPr>
          </w:p>
        </w:tc>
        <w:tc>
          <w:tcPr>
            <w:tcW w:w="8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(381)</w:t>
            </w:r>
          </w:p>
        </w:tc>
      </w:tr>
      <w:tr>
        <w:trPr>
          <w:trHeight w:val="206"/>
        </w:trPr>
        <w:tc>
          <w:tcPr>
            <w:tcW w:w="8620" w:type="dxa"/>
            <w:vAlign w:val="bottom"/>
            <w:gridSpan w:val="2"/>
          </w:tcPr>
          <w:p>
            <w:pPr>
              <w:ind w:left="180"/>
              <w:spacing w:after="0"/>
              <w:rPr>
                <w:sz w:val="20"/>
                <w:szCs w:val="20"/>
                <w:color w:val="auto"/>
              </w:rPr>
            </w:pPr>
            <w:r>
              <w:rPr>
                <w:rFonts w:ascii="Arial" w:cs="Arial" w:eastAsia="Arial" w:hAnsi="Arial"/>
                <w:sz w:val="15"/>
                <w:szCs w:val="15"/>
                <w:color w:val="auto"/>
              </w:rPr>
              <w:t>Net change in fair value during the period</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633</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208"/>
        </w:trPr>
        <w:tc>
          <w:tcPr>
            <w:tcW w:w="8480" w:type="dxa"/>
            <w:vAlign w:val="bottom"/>
            <w:tcBorders>
              <w:bottom w:val="single" w:sz="8" w:color="2C6937"/>
            </w:tcBorders>
          </w:tcPr>
          <w:p>
            <w:pPr>
              <w:ind w:left="180"/>
              <w:spacing w:after="0" w:line="207"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147</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r>
      <w:tr>
        <w:trPr>
          <w:trHeight w:val="224"/>
        </w:trPr>
        <w:tc>
          <w:tcPr>
            <w:tcW w:w="8620" w:type="dxa"/>
            <w:vAlign w:val="bottom"/>
            <w:gridSpan w:val="2"/>
          </w:tcPr>
          <w:p>
            <w:pPr>
              <w:ind w:left="320"/>
              <w:spacing w:after="0"/>
              <w:rPr>
                <w:sz w:val="20"/>
                <w:szCs w:val="20"/>
                <w:color w:val="auto"/>
              </w:rPr>
            </w:pPr>
            <w:r>
              <w:rPr>
                <w:rFonts w:ascii="Arial" w:cs="Arial" w:eastAsia="Arial" w:hAnsi="Arial"/>
                <w:sz w:val="15"/>
                <w:szCs w:val="15"/>
                <w:color w:val="auto"/>
              </w:rPr>
              <w:t>Risk management derivatives fair value gains (losses), net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480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(209)</w:t>
            </w:r>
          </w:p>
        </w:tc>
      </w:tr>
      <w:tr>
        <w:trPr>
          <w:trHeight w:val="206"/>
        </w:trPr>
        <w:tc>
          <w:tcPr>
            <w:tcW w:w="862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207</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08"/>
        </w:trPr>
        <w:tc>
          <w:tcPr>
            <w:tcW w:w="84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losses, net</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r>
      <w:tr>
        <w:trPr>
          <w:trHeight w:val="198"/>
        </w:trPr>
        <w:tc>
          <w:tcPr>
            <w:tcW w:w="862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672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(338)</w:t>
            </w:r>
          </w:p>
        </w:tc>
      </w:tr>
      <w:tr>
        <w:trPr>
          <w:trHeight w:val="206"/>
        </w:trPr>
        <w:tc>
          <w:tcPr>
            <w:tcW w:w="8620" w:type="dxa"/>
            <w:vAlign w:val="bottom"/>
            <w:gridSpan w:val="2"/>
          </w:tcPr>
          <w:p>
            <w:pPr>
              <w:ind w:left="20"/>
              <w:spacing w:after="0"/>
              <w:rPr>
                <w:sz w:val="20"/>
                <w:szCs w:val="20"/>
                <w:color w:val="auto"/>
              </w:rPr>
            </w:pPr>
            <w:r>
              <w:rPr>
                <w:rFonts w:ascii="Arial" w:cs="Arial" w:eastAsia="Arial" w:hAnsi="Arial"/>
                <w:sz w:val="15"/>
                <w:szCs w:val="15"/>
                <w:color w:val="auto"/>
              </w:rPr>
              <w:t>Trading securities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(261)</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746</w:t>
            </w:r>
          </w:p>
        </w:tc>
      </w:tr>
      <w:tr>
        <w:trPr>
          <w:trHeight w:val="206"/>
        </w:trPr>
        <w:tc>
          <w:tcPr>
            <w:tcW w:w="862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(losses), net</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111</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(269)</w:t>
            </w:r>
          </w:p>
        </w:tc>
      </w:tr>
      <w:tr>
        <w:trPr>
          <w:trHeight w:val="208"/>
        </w:trPr>
        <w:tc>
          <w:tcPr>
            <w:tcW w:w="84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(3)</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w:t>
            </w:r>
          </w:p>
        </w:tc>
        <w:tc>
          <w:tcPr>
            <w:tcW w:w="140" w:type="dxa"/>
            <w:vAlign w:val="bottom"/>
          </w:tcPr>
          <w:p>
            <w:pPr>
              <w:spacing w:after="0"/>
              <w:rPr>
                <w:sz w:val="18"/>
                <w:szCs w:val="18"/>
                <w:color w:val="auto"/>
              </w:rPr>
            </w:pPr>
          </w:p>
        </w:tc>
        <w:tc>
          <w:tcPr>
            <w:tcW w:w="82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w:t>
            </w:r>
          </w:p>
        </w:tc>
      </w:tr>
      <w:tr>
        <w:trPr>
          <w:trHeight w:val="199"/>
        </w:trPr>
        <w:tc>
          <w:tcPr>
            <w:tcW w:w="8620" w:type="dxa"/>
            <w:vAlign w:val="bottom"/>
            <w:gridSpan w:val="2"/>
          </w:tcPr>
          <w:p>
            <w:pPr>
              <w:ind w:left="180"/>
              <w:spacing w:after="0"/>
              <w:rPr>
                <w:sz w:val="20"/>
                <w:szCs w:val="20"/>
                <w:color w:val="auto"/>
              </w:rPr>
            </w:pPr>
            <w:r>
              <w:rPr>
                <w:rFonts w:ascii="Arial" w:cs="Arial" w:eastAsia="Arial" w:hAnsi="Arial"/>
                <w:sz w:val="15"/>
                <w:szCs w:val="15"/>
                <w:color w:val="auto"/>
              </w:rPr>
              <w:t>Fair value gains, net</w:t>
            </w:r>
          </w:p>
        </w:tc>
        <w:tc>
          <w:tcPr>
            <w:tcW w:w="820" w:type="dxa"/>
            <w:vAlign w:val="bottom"/>
          </w:tcPr>
          <w:p>
            <w:pPr>
              <w:jc w:val="right"/>
              <w:ind w:right="62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480</w:t>
            </w:r>
          </w:p>
        </w:tc>
        <w:tc>
          <w:tcPr>
            <w:tcW w:w="140" w:type="dxa"/>
            <w:vAlign w:val="bottom"/>
          </w:tcPr>
          <w:p>
            <w:pPr>
              <w:spacing w:after="0"/>
              <w:rPr>
                <w:sz w:val="17"/>
                <w:szCs w:val="17"/>
                <w:color w:val="auto"/>
              </w:rPr>
            </w:pPr>
          </w:p>
        </w:tc>
        <w:tc>
          <w:tcPr>
            <w:tcW w:w="820" w:type="dxa"/>
            <w:vAlign w:val="bottom"/>
          </w:tcPr>
          <w:p>
            <w:pPr>
              <w:jc w:val="right"/>
              <w:ind w:right="626"/>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204</w:t>
            </w:r>
          </w:p>
        </w:tc>
      </w:tr>
      <w:tr>
        <w:trPr>
          <w:trHeight w:val="20"/>
        </w:trPr>
        <w:tc>
          <w:tcPr>
            <w:tcW w:w="84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520" w:hanging="237"/>
        <w:spacing w:after="0" w:line="226" w:lineRule="auto"/>
        <w:tabs>
          <w:tab w:leader="none" w:pos="233"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Net contractual interest income (expense) on interest-rate swaps is primarily impacted by changes in interest rates and changes in the composition of our interest-rate swaps portfolio.</w:t>
      </w:r>
    </w:p>
    <w:p>
      <w:pPr>
        <w:spacing w:after="0" w:line="27" w:lineRule="exact"/>
        <w:rPr>
          <w:rFonts w:ascii="Arial" w:cs="Arial" w:eastAsia="Arial" w:hAnsi="Arial"/>
          <w:sz w:val="18"/>
          <w:szCs w:val="18"/>
          <w:color w:val="auto"/>
          <w:vertAlign w:val="superscript"/>
        </w:rPr>
      </w:pPr>
    </w:p>
    <w:p>
      <w:pPr>
        <w:ind w:left="240" w:right="180" w:hanging="237"/>
        <w:spacing w:after="0" w:line="218" w:lineRule="auto"/>
        <w:tabs>
          <w:tab w:leader="none" w:pos="233"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that are recognized in “Net interest income.”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3"/>
        </w:numPr>
        <w:rPr>
          <w:rFonts w:ascii="Arial" w:cs="Arial" w:eastAsia="Arial" w:hAnsi="Arial"/>
          <w:sz w:val="9"/>
          <w:szCs w:val="9"/>
          <w:color w:val="auto"/>
        </w:rPr>
      </w:pPr>
      <w:r>
        <w:rPr>
          <w:rFonts w:ascii="Arial" w:cs="Arial" w:eastAsia="Arial" w:hAnsi="Arial"/>
          <w:sz w:val="14"/>
          <w:szCs w:val="14"/>
          <w:color w:val="auto"/>
        </w:rPr>
        <w:t>Consists primarily of fair value gains and losses on mortgage loans held at fair value.</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Fair value gains, net in the first quarter of 2024 were primarily driven by gains on risk management derivatives, mortgage commitment derivatives, and long-term debt of consolidated trusts held at fair value, primarily due to increasing interest rates. These gains were partially offset by the impact of declining prices of fixed-rate trading securities, also primarily driven by increasing interest rates.</w:t>
      </w:r>
    </w:p>
    <w:p>
      <w:pPr>
        <w:spacing w:after="0" w:line="4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Fair value gains, net in the first quarter of 2023 were primarily driven by gains on fixed-rate trading securities, primarily U.S. Treasuries, held in our corporate liquidity portfolio. Declines in interest rates during the quarter, particularly medium- and longer-term rates, drove higher prices on these securities. These gains were partially offset by losses on:</w:t>
      </w:r>
    </w:p>
    <w:p>
      <w:pPr>
        <w:spacing w:after="0" w:line="32" w:lineRule="exact"/>
        <w:rPr>
          <w:sz w:val="20"/>
          <w:szCs w:val="20"/>
          <w:color w:val="auto"/>
        </w:rPr>
      </w:pPr>
    </w:p>
    <w:p>
      <w:pPr>
        <w:ind w:left="620" w:right="260" w:hanging="307"/>
        <w:spacing w:after="0" w:line="293"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long-term debt of consolidated trusts held at fair value as prices rose due to declining medium- and longer-term interest rates during the quarter; and</w:t>
      </w:r>
    </w:p>
    <w:p>
      <w:pPr>
        <w:spacing w:after="0" w:line="27" w:lineRule="exact"/>
        <w:rPr>
          <w:rFonts w:ascii="Arial" w:cs="Arial" w:eastAsia="Arial" w:hAnsi="Arial"/>
          <w:sz w:val="16"/>
          <w:szCs w:val="16"/>
          <w:color w:val="auto"/>
        </w:rPr>
      </w:pPr>
    </w:p>
    <w:p>
      <w:pPr>
        <w:ind w:left="620" w:right="560" w:hanging="307"/>
        <w:spacing w:after="0" w:line="293"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 management derivatives as interest expense accruals on our swap contracts increased due to rising short-term interest rates during the quarter.</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8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26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80" w:type="dxa"/>
            <w:vAlign w:val="bottom"/>
            <w:tcBorders>
              <w:bottom w:val="single" w:sz="8" w:color="9A9A9A"/>
            </w:tcBorders>
          </w:tcPr>
          <w:p>
            <w:pPr>
              <w:spacing w:after="0"/>
              <w:rPr>
                <w:sz w:val="17"/>
                <w:szCs w:val="17"/>
                <w:color w:val="auto"/>
              </w:rPr>
            </w:pPr>
          </w:p>
        </w:tc>
        <w:tc>
          <w:tcPr>
            <w:tcW w:w="42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Benefit (Provision) for Credit Losses</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table below provides a quantitative analysis of the drivers of our single-family and multifamily benefit or provision for credit losses and the change in expected credit enhancement recoveries. Many of the drivers that contribute to our benefit or provision for credit losses overlap or are interdependent. The components shown below are based on internal allocation estimates. The benefit or provision for credit losses includes our benefit or provision for loan losses, accrued interest receivable losses, our guaranty loss reserves, and credit losses on our available-for-sale (“AFS”) debt securities. For purposes of this attribution table, credit losses on AFS securities are excluded</w:t>
      </w:r>
      <w:r>
        <w:rPr>
          <w:rFonts w:ascii="Arial" w:cs="Arial" w:eastAsia="Arial" w:hAnsi="Arial"/>
          <w:sz w:val="13"/>
          <w:szCs w:val="13"/>
          <w:color w:val="auto"/>
        </w:rPr>
        <w: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Benefit (Provision) for Credit Losses and Change in Expected Credit Enhancement Recoveries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600" w:type="dxa"/>
            <w:vAlign w:val="bottom"/>
            <w:tcBorders>
              <w:top w:val="single" w:sz="8" w:color="2C6937"/>
            </w:tcBorders>
          </w:tcPr>
          <w:p>
            <w:pPr>
              <w:spacing w:after="0"/>
              <w:rPr>
                <w:sz w:val="21"/>
                <w:szCs w:val="21"/>
                <w:color w:val="auto"/>
              </w:rPr>
            </w:pPr>
          </w:p>
        </w:tc>
        <w:tc>
          <w:tcPr>
            <w:tcW w:w="100" w:type="dxa"/>
            <w:vAlign w:val="bottom"/>
            <w:tcBorders>
              <w:top w:val="single" w:sz="8" w:color="2C6937"/>
            </w:tcBorders>
          </w:tcPr>
          <w:p>
            <w:pPr>
              <w:spacing w:after="0"/>
              <w:rPr>
                <w:sz w:val="21"/>
                <w:szCs w:val="21"/>
                <w:color w:val="auto"/>
              </w:rPr>
            </w:pPr>
          </w:p>
        </w:tc>
        <w:tc>
          <w:tcPr>
            <w:tcW w:w="3940" w:type="dxa"/>
            <w:vAlign w:val="bottom"/>
            <w:tcBorders>
              <w:top w:val="single" w:sz="8" w:color="2C6937"/>
              <w:bottom w:val="single" w:sz="8" w:color="2C6937"/>
            </w:tcBorders>
            <w:gridSpan w:val="4"/>
          </w:tcPr>
          <w:p>
            <w:pPr>
              <w:jc w:val="right"/>
              <w:ind w:right="163"/>
              <w:spacing w:after="0"/>
              <w:rPr>
                <w:sz w:val="20"/>
                <w:szCs w:val="20"/>
                <w:color w:val="auto"/>
              </w:rPr>
            </w:pPr>
            <w:r>
              <w:rPr>
                <w:rFonts w:ascii="Arial" w:cs="Arial" w:eastAsia="Arial" w:hAnsi="Arial"/>
                <w:sz w:val="15"/>
                <w:szCs w:val="15"/>
                <w:b w:val="1"/>
                <w:bCs w:val="1"/>
                <w:color w:val="auto"/>
              </w:rPr>
              <w:t>For the Three Months Ended March 31,</w:t>
            </w:r>
          </w:p>
        </w:tc>
        <w:tc>
          <w:tcPr>
            <w:tcW w:w="600" w:type="dxa"/>
            <w:vAlign w:val="bottom"/>
            <w:tcBorders>
              <w:top w:val="single" w:sz="8" w:color="2C6937"/>
              <w:bottom w:val="single" w:sz="8" w:color="2C6937"/>
            </w:tcBorders>
          </w:tcPr>
          <w:p>
            <w:pPr>
              <w:spacing w:after="0"/>
              <w:rPr>
                <w:sz w:val="21"/>
                <w:szCs w:val="21"/>
                <w:color w:val="auto"/>
              </w:rPr>
            </w:pPr>
          </w:p>
        </w:tc>
      </w:tr>
      <w:tr>
        <w:trPr>
          <w:trHeight w:val="229"/>
        </w:trPr>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rPr>
              <w:t>2024</w:t>
            </w:r>
          </w:p>
        </w:tc>
        <w:tc>
          <w:tcPr>
            <w:tcW w:w="8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620" w:type="dxa"/>
            <w:vAlign w:val="bottom"/>
            <w:tcBorders>
              <w:bottom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2023</w:t>
            </w:r>
          </w:p>
        </w:tc>
        <w:tc>
          <w:tcPr>
            <w:tcW w:w="600" w:type="dxa"/>
            <w:vAlign w:val="bottom"/>
            <w:tcBorders>
              <w:bottom w:val="single" w:sz="8" w:color="2C6937"/>
            </w:tcBorders>
          </w:tcPr>
          <w:p>
            <w:pPr>
              <w:spacing w:after="0"/>
              <w:rPr>
                <w:sz w:val="19"/>
                <w:szCs w:val="19"/>
                <w:color w:val="auto"/>
              </w:rPr>
            </w:pPr>
          </w:p>
        </w:tc>
      </w:tr>
      <w:tr>
        <w:trPr>
          <w:trHeight w:val="299"/>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gridSpan w:val="3"/>
          </w:tcPr>
          <w:p>
            <w:pPr>
              <w:jc w:val="right"/>
              <w:ind w:right="863"/>
              <w:spacing w:after="0"/>
              <w:rPr>
                <w:sz w:val="20"/>
                <w:szCs w:val="20"/>
                <w:color w:val="auto"/>
              </w:rPr>
            </w:pPr>
            <w:r>
              <w:rPr>
                <w:rFonts w:ascii="Arial" w:cs="Arial" w:eastAsia="Arial" w:hAnsi="Arial"/>
                <w:sz w:val="15"/>
                <w:szCs w:val="15"/>
                <w:b w:val="1"/>
                <w:bCs w:val="1"/>
                <w:color w:val="auto"/>
              </w:rPr>
              <w:t>(Dollars in millions)</w:t>
            </w:r>
          </w:p>
        </w:tc>
        <w:tc>
          <w:tcPr>
            <w:tcW w:w="600" w:type="dxa"/>
            <w:vAlign w:val="bottom"/>
          </w:tcPr>
          <w:p>
            <w:pPr>
              <w:spacing w:after="0"/>
              <w:rPr>
                <w:sz w:val="24"/>
                <w:szCs w:val="24"/>
                <w:color w:val="auto"/>
              </w:rPr>
            </w:pPr>
          </w:p>
        </w:tc>
      </w:tr>
      <w:tr>
        <w:trPr>
          <w:trHeight w:val="309"/>
        </w:trPr>
        <w:tc>
          <w:tcPr>
            <w:tcW w:w="670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benefit for credit losses:</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8"/>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1420" w:type="dxa"/>
            <w:vAlign w:val="bottom"/>
          </w:tcPr>
          <w:p>
            <w:pPr>
              <w:jc w:val="right"/>
              <w:ind w:right="1223"/>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(236)</w:t>
            </w:r>
          </w:p>
        </w:tc>
        <w:tc>
          <w:tcPr>
            <w:tcW w:w="100" w:type="dxa"/>
            <w:vAlign w:val="bottom"/>
          </w:tcPr>
          <w:p>
            <w:pPr>
              <w:spacing w:after="0"/>
              <w:rPr>
                <w:sz w:val="24"/>
                <w:szCs w:val="24"/>
                <w:color w:val="auto"/>
              </w:rPr>
            </w:pPr>
          </w:p>
        </w:tc>
        <w:tc>
          <w:tcPr>
            <w:tcW w:w="1620" w:type="dxa"/>
            <w:vAlign w:val="bottom"/>
          </w:tcPr>
          <w:p>
            <w:pPr>
              <w:jc w:val="right"/>
              <w:ind w:right="144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(350)</w:t>
            </w:r>
          </w:p>
        </w:tc>
      </w:tr>
      <w:tr>
        <w:trPr>
          <w:trHeight w:val="263"/>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Redesignation of loans from held for investment (“HFI”) to held for sale (“HFS”)</w:t>
            </w:r>
          </w:p>
        </w:tc>
        <w:tc>
          <w:tcPr>
            <w:tcW w:w="14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9"/>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Actual and forecasted home prices</w:t>
            </w:r>
          </w:p>
        </w:tc>
        <w:tc>
          <w:tcPr>
            <w:tcW w:w="14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auto"/>
              </w:rPr>
              <w:t>720</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380</w:t>
            </w:r>
          </w:p>
        </w:tc>
      </w:tr>
      <w:tr>
        <w:trPr>
          <w:trHeight w:val="309"/>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1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(177)</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303"/>
        </w:trPr>
        <w:tc>
          <w:tcPr>
            <w:tcW w:w="66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142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49</w:t>
            </w:r>
          </w:p>
        </w:tc>
        <w:tc>
          <w:tcPr>
            <w:tcW w:w="100" w:type="dxa"/>
            <w:vAlign w:val="bottom"/>
          </w:tcPr>
          <w:p>
            <w:pPr>
              <w:spacing w:after="0"/>
              <w:rPr>
                <w:sz w:val="24"/>
                <w:szCs w:val="24"/>
                <w:color w:val="auto"/>
              </w:rPr>
            </w:pPr>
          </w:p>
        </w:tc>
        <w:tc>
          <w:tcPr>
            <w:tcW w:w="1620" w:type="dxa"/>
            <w:vAlign w:val="bottom"/>
            <w:tcBorders>
              <w:bottom w:val="single" w:sz="8" w:color="2C6937"/>
            </w:tcBorders>
          </w:tcPr>
          <w:p>
            <w:pPr>
              <w:spacing w:after="0"/>
              <w:rPr>
                <w:sz w:val="24"/>
                <w:szCs w:val="2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(105)</w:t>
            </w:r>
          </w:p>
        </w:tc>
      </w:tr>
      <w:tr>
        <w:trPr>
          <w:trHeight w:val="302"/>
        </w:trPr>
        <w:tc>
          <w:tcPr>
            <w:tcW w:w="66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Single-family benefit for credit losses</w:t>
            </w:r>
          </w:p>
        </w:tc>
        <w:tc>
          <w:tcPr>
            <w:tcW w:w="100" w:type="dxa"/>
            <w:vAlign w:val="bottom"/>
          </w:tcPr>
          <w:p>
            <w:pPr>
              <w:spacing w:after="0"/>
              <w:rPr>
                <w:sz w:val="24"/>
                <w:szCs w:val="24"/>
                <w:color w:val="auto"/>
              </w:rPr>
            </w:pPr>
          </w:p>
        </w:tc>
        <w:tc>
          <w:tcPr>
            <w:tcW w:w="1420" w:type="dxa"/>
            <w:vAlign w:val="bottom"/>
            <w:tcBorders>
              <w:bottom w:val="single" w:sz="8" w:color="216C2B"/>
            </w:tcBorders>
          </w:tcPr>
          <w:p>
            <w:pPr>
              <w:spacing w:after="0"/>
              <w:rPr>
                <w:sz w:val="24"/>
                <w:szCs w:val="24"/>
                <w:color w:val="auto"/>
              </w:rPr>
            </w:pPr>
          </w:p>
        </w:tc>
        <w:tc>
          <w:tcPr>
            <w:tcW w:w="80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b w:val="1"/>
                <w:bCs w:val="1"/>
                <w:color w:val="auto"/>
              </w:rPr>
              <w:t>335</w:t>
            </w:r>
          </w:p>
        </w:tc>
        <w:tc>
          <w:tcPr>
            <w:tcW w:w="100" w:type="dxa"/>
            <w:vAlign w:val="bottom"/>
          </w:tcPr>
          <w:p>
            <w:pPr>
              <w:spacing w:after="0"/>
              <w:rPr>
                <w:sz w:val="24"/>
                <w:szCs w:val="24"/>
                <w:color w:val="auto"/>
              </w:rPr>
            </w:pPr>
          </w:p>
        </w:tc>
        <w:tc>
          <w:tcPr>
            <w:tcW w:w="1620" w:type="dxa"/>
            <w:vAlign w:val="bottom"/>
            <w:tcBorders>
              <w:bottom w:val="single" w:sz="8" w:color="216C2B"/>
            </w:tcBorders>
          </w:tcPr>
          <w:p>
            <w:pPr>
              <w:spacing w:after="0"/>
              <w:rPr>
                <w:sz w:val="24"/>
                <w:szCs w:val="24"/>
                <w:color w:val="auto"/>
              </w:rPr>
            </w:pPr>
          </w:p>
        </w:tc>
        <w:tc>
          <w:tcPr>
            <w:tcW w:w="60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47</w:t>
            </w:r>
          </w:p>
        </w:tc>
      </w:tr>
      <w:tr>
        <w:trPr>
          <w:trHeight w:val="296"/>
        </w:trPr>
        <w:tc>
          <w:tcPr>
            <w:tcW w:w="6700" w:type="dxa"/>
            <w:vAlign w:val="bottom"/>
            <w:gridSpan w:val="2"/>
          </w:tcPr>
          <w:p>
            <w:pPr>
              <w:ind w:left="20"/>
              <w:spacing w:after="0"/>
              <w:rPr>
                <w:sz w:val="20"/>
                <w:szCs w:val="20"/>
                <w:color w:val="auto"/>
              </w:rPr>
            </w:pPr>
            <w:r>
              <w:rPr>
                <w:rFonts w:ascii="Arial" w:cs="Arial" w:eastAsia="Arial" w:hAnsi="Arial"/>
                <w:sz w:val="15"/>
                <w:szCs w:val="15"/>
                <w:b w:val="1"/>
                <w:bCs w:val="1"/>
                <w:color w:val="auto"/>
              </w:rPr>
              <w:t>Multifamily provision for credit losses:</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8"/>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1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(66)</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63"/>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14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(64)</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78"/>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Actual and projected economic data</w:t>
            </w:r>
            <w:r>
              <w:rPr>
                <w:rFonts w:ascii="Arial" w:cs="Arial" w:eastAsia="Arial" w:hAnsi="Arial"/>
                <w:sz w:val="20"/>
                <w:szCs w:val="20"/>
                <w:color w:val="auto"/>
                <w:vertAlign w:val="superscript"/>
              </w:rPr>
              <w:t>(3)</w:t>
            </w:r>
          </w:p>
        </w:tc>
        <w:tc>
          <w:tcPr>
            <w:tcW w:w="142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auto"/>
              </w:rPr>
              <w:t>83</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(182)</w:t>
            </w:r>
          </w:p>
        </w:tc>
      </w:tr>
      <w:tr>
        <w:trPr>
          <w:trHeight w:val="257"/>
        </w:trPr>
        <w:tc>
          <w:tcPr>
            <w:tcW w:w="66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00" w:type="dxa"/>
            <w:vAlign w:val="bottom"/>
          </w:tcPr>
          <w:p>
            <w:pPr>
              <w:spacing w:after="0"/>
              <w:rPr>
                <w:sz w:val="22"/>
                <w:szCs w:val="22"/>
                <w:color w:val="auto"/>
              </w:rPr>
            </w:pPr>
          </w:p>
        </w:tc>
        <w:tc>
          <w:tcPr>
            <w:tcW w:w="1420" w:type="dxa"/>
            <w:vAlign w:val="bottom"/>
            <w:tcBorders>
              <w:bottom w:val="single" w:sz="8" w:color="2C6937"/>
            </w:tcBorders>
          </w:tcPr>
          <w:p>
            <w:pPr>
              <w:spacing w:after="0"/>
              <w:rPr>
                <w:sz w:val="22"/>
                <w:szCs w:val="22"/>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(108)</w:t>
            </w:r>
          </w:p>
        </w:tc>
        <w:tc>
          <w:tcPr>
            <w:tcW w:w="100" w:type="dxa"/>
            <w:vAlign w:val="bottom"/>
          </w:tcPr>
          <w:p>
            <w:pPr>
              <w:spacing w:after="0"/>
              <w:rPr>
                <w:sz w:val="22"/>
                <w:szCs w:val="22"/>
                <w:color w:val="auto"/>
              </w:rPr>
            </w:pPr>
          </w:p>
        </w:tc>
        <w:tc>
          <w:tcPr>
            <w:tcW w:w="1620" w:type="dxa"/>
            <w:vAlign w:val="bottom"/>
            <w:tcBorders>
              <w:bottom w:val="single" w:sz="8" w:color="2C6937"/>
            </w:tcBorders>
          </w:tcPr>
          <w:p>
            <w:pPr>
              <w:spacing w:after="0"/>
              <w:rPr>
                <w:sz w:val="22"/>
                <w:szCs w:val="22"/>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r>
      <w:tr>
        <w:trPr>
          <w:trHeight w:val="302"/>
        </w:trPr>
        <w:tc>
          <w:tcPr>
            <w:tcW w:w="660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provision for credit losses</w:t>
            </w:r>
          </w:p>
        </w:tc>
        <w:tc>
          <w:tcPr>
            <w:tcW w:w="100" w:type="dxa"/>
            <w:vAlign w:val="bottom"/>
          </w:tcPr>
          <w:p>
            <w:pPr>
              <w:spacing w:after="0"/>
              <w:rPr>
                <w:sz w:val="24"/>
                <w:szCs w:val="24"/>
                <w:color w:val="auto"/>
              </w:rPr>
            </w:pPr>
          </w:p>
        </w:tc>
        <w:tc>
          <w:tcPr>
            <w:tcW w:w="1420" w:type="dxa"/>
            <w:vAlign w:val="bottom"/>
            <w:tcBorders>
              <w:bottom w:val="single" w:sz="8" w:color="216C2B"/>
            </w:tcBorders>
          </w:tcPr>
          <w:p>
            <w:pPr>
              <w:spacing w:after="0"/>
              <w:rPr>
                <w:sz w:val="24"/>
                <w:szCs w:val="24"/>
                <w:color w:val="auto"/>
              </w:rPr>
            </w:pPr>
          </w:p>
        </w:tc>
        <w:tc>
          <w:tcPr>
            <w:tcW w:w="80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tcPr>
          <w:p>
            <w:pPr>
              <w:spacing w:after="0"/>
              <w:rPr>
                <w:sz w:val="24"/>
                <w:szCs w:val="24"/>
                <w:color w:val="auto"/>
              </w:rPr>
            </w:pPr>
          </w:p>
        </w:tc>
        <w:tc>
          <w:tcPr>
            <w:tcW w:w="1620" w:type="dxa"/>
            <w:vAlign w:val="bottom"/>
            <w:tcBorders>
              <w:bottom w:val="single" w:sz="8" w:color="216C2B"/>
            </w:tcBorders>
          </w:tcPr>
          <w:p>
            <w:pPr>
              <w:spacing w:after="0"/>
              <w:rPr>
                <w:sz w:val="24"/>
                <w:szCs w:val="24"/>
                <w:color w:val="auto"/>
              </w:rPr>
            </w:pPr>
          </w:p>
        </w:tc>
        <w:tc>
          <w:tcPr>
            <w:tcW w:w="60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(179)</w:t>
            </w:r>
          </w:p>
        </w:tc>
      </w:tr>
      <w:tr>
        <w:trPr>
          <w:trHeight w:val="302"/>
        </w:trPr>
        <w:tc>
          <w:tcPr>
            <w:tcW w:w="66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benefit (provision) for credit losses</w:t>
            </w:r>
          </w:p>
        </w:tc>
        <w:tc>
          <w:tcPr>
            <w:tcW w:w="100" w:type="dxa"/>
            <w:vAlign w:val="bottom"/>
          </w:tcPr>
          <w:p>
            <w:pPr>
              <w:spacing w:after="0"/>
              <w:rPr>
                <w:sz w:val="24"/>
                <w:szCs w:val="24"/>
                <w:color w:val="auto"/>
              </w:rPr>
            </w:pPr>
          </w:p>
        </w:tc>
        <w:tc>
          <w:tcPr>
            <w:tcW w:w="1420" w:type="dxa"/>
            <w:vAlign w:val="bottom"/>
            <w:tcBorders>
              <w:bottom w:val="single" w:sz="8" w:color="2C6937"/>
            </w:tcBorders>
          </w:tcPr>
          <w:p>
            <w:pPr>
              <w:jc w:val="right"/>
              <w:ind w:right="1223"/>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180</w:t>
            </w:r>
          </w:p>
        </w:tc>
        <w:tc>
          <w:tcPr>
            <w:tcW w:w="100" w:type="dxa"/>
            <w:vAlign w:val="bottom"/>
          </w:tcPr>
          <w:p>
            <w:pPr>
              <w:spacing w:after="0"/>
              <w:rPr>
                <w:sz w:val="24"/>
                <w:szCs w:val="24"/>
                <w:color w:val="auto"/>
              </w:rPr>
            </w:pPr>
          </w:p>
        </w:tc>
        <w:tc>
          <w:tcPr>
            <w:tcW w:w="1620" w:type="dxa"/>
            <w:vAlign w:val="bottom"/>
            <w:tcBorders>
              <w:bottom w:val="single" w:sz="8" w:color="2C6937"/>
            </w:tcBorders>
          </w:tcPr>
          <w:p>
            <w:pPr>
              <w:jc w:val="right"/>
              <w:ind w:right="144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(132)</w:t>
            </w:r>
          </w:p>
        </w:tc>
      </w:tr>
      <w:tr>
        <w:trPr>
          <w:trHeight w:val="20"/>
        </w:trPr>
        <w:tc>
          <w:tcPr>
            <w:tcW w:w="66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2C6937"/>
            </w:tcBorders>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r>
      <w:tr>
        <w:trPr>
          <w:trHeight w:val="499"/>
        </w:trPr>
        <w:tc>
          <w:tcPr>
            <w:tcW w:w="670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(5)</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9"/>
        </w:trPr>
        <w:tc>
          <w:tcPr>
            <w:tcW w:w="670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1420" w:type="dxa"/>
            <w:vAlign w:val="bottom"/>
          </w:tcPr>
          <w:p>
            <w:pPr>
              <w:jc w:val="right"/>
              <w:ind w:right="1223"/>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100" w:type="dxa"/>
            <w:vAlign w:val="bottom"/>
          </w:tcPr>
          <w:p>
            <w:pPr>
              <w:spacing w:after="0"/>
              <w:rPr>
                <w:sz w:val="22"/>
                <w:szCs w:val="22"/>
                <w:color w:val="auto"/>
              </w:rPr>
            </w:pPr>
          </w:p>
        </w:tc>
        <w:tc>
          <w:tcPr>
            <w:tcW w:w="1620" w:type="dxa"/>
            <w:vAlign w:val="bottom"/>
          </w:tcPr>
          <w:p>
            <w:pPr>
              <w:jc w:val="right"/>
              <w:ind w:right="144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303"/>
        </w:trPr>
        <w:tc>
          <w:tcPr>
            <w:tcW w:w="66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42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105</w:t>
            </w:r>
          </w:p>
        </w:tc>
        <w:tc>
          <w:tcPr>
            <w:tcW w:w="100" w:type="dxa"/>
            <w:vAlign w:val="bottom"/>
          </w:tcPr>
          <w:p>
            <w:pPr>
              <w:spacing w:after="0"/>
              <w:rPr>
                <w:sz w:val="24"/>
                <w:szCs w:val="24"/>
                <w:color w:val="auto"/>
              </w:rPr>
            </w:pPr>
          </w:p>
        </w:tc>
        <w:tc>
          <w:tcPr>
            <w:tcW w:w="1620" w:type="dxa"/>
            <w:vAlign w:val="bottom"/>
            <w:tcBorders>
              <w:bottom w:val="single" w:sz="8" w:color="2C6937"/>
            </w:tcBorders>
          </w:tcPr>
          <w:p>
            <w:pPr>
              <w:spacing w:after="0"/>
              <w:rPr>
                <w:sz w:val="24"/>
                <w:szCs w:val="2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r>
      <w:tr>
        <w:trPr>
          <w:trHeight w:val="302"/>
        </w:trPr>
        <w:tc>
          <w:tcPr>
            <w:tcW w:w="670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p>
        </w:tc>
        <w:tc>
          <w:tcPr>
            <w:tcW w:w="1420" w:type="dxa"/>
            <w:vAlign w:val="bottom"/>
          </w:tcPr>
          <w:p>
            <w:pPr>
              <w:jc w:val="right"/>
              <w:ind w:right="1223"/>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auto"/>
              </w:rPr>
              <w:t>63</w:t>
            </w:r>
          </w:p>
        </w:tc>
        <w:tc>
          <w:tcPr>
            <w:tcW w:w="100" w:type="dxa"/>
            <w:vAlign w:val="bottom"/>
          </w:tcPr>
          <w:p>
            <w:pPr>
              <w:spacing w:after="0"/>
              <w:rPr>
                <w:sz w:val="24"/>
                <w:szCs w:val="24"/>
                <w:color w:val="auto"/>
              </w:rPr>
            </w:pPr>
          </w:p>
        </w:tc>
        <w:tc>
          <w:tcPr>
            <w:tcW w:w="1620" w:type="dxa"/>
            <w:vAlign w:val="bottom"/>
          </w:tcPr>
          <w:p>
            <w:pPr>
              <w:jc w:val="right"/>
              <w:ind w:right="144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0"/>
        </w:trPr>
        <w:tc>
          <w:tcPr>
            <w:tcW w:w="660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226600"/>
              <w:bottom w:val="single" w:sz="8" w:color="226600"/>
            </w:tcBorders>
          </w:tcPr>
          <w:p>
            <w:pPr>
              <w:spacing w:after="0" w:line="20" w:lineRule="exact"/>
              <w:rPr>
                <w:sz w:val="1"/>
                <w:szCs w:val="1"/>
                <w:color w:val="auto"/>
              </w:rPr>
            </w:pPr>
          </w:p>
        </w:tc>
        <w:tc>
          <w:tcPr>
            <w:tcW w:w="80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226600"/>
              <w:bottom w:val="single" w:sz="8" w:color="226600"/>
            </w:tcBorders>
          </w:tcPr>
          <w:p>
            <w:pPr>
              <w:spacing w:after="0" w:line="20" w:lineRule="exact"/>
              <w:rPr>
                <w:sz w:val="1"/>
                <w:szCs w:val="1"/>
                <w:color w:val="auto"/>
              </w:rPr>
            </w:pPr>
          </w:p>
        </w:tc>
        <w:tc>
          <w:tcPr>
            <w:tcW w:w="600" w:type="dxa"/>
            <w:vAlign w:val="bottom"/>
            <w:tcBorders>
              <w:top w:val="single" w:sz="8" w:color="226600"/>
              <w:bottom w:val="single" w:sz="8" w:color="226600"/>
            </w:tcBorders>
          </w:tcPr>
          <w:p>
            <w:pPr>
              <w:spacing w:after="0" w:line="20" w:lineRule="exact"/>
              <w:rPr>
                <w:sz w:val="1"/>
                <w:szCs w:val="1"/>
                <w:color w:val="auto"/>
              </w:rPr>
            </w:pPr>
          </w:p>
        </w:tc>
      </w:tr>
    </w:tbl>
    <w:p>
      <w:pPr>
        <w:spacing w:after="0" w:line="96" w:lineRule="exact"/>
        <w:rPr>
          <w:sz w:val="20"/>
          <w:szCs w:val="20"/>
          <w:color w:val="auto"/>
        </w:rPr>
      </w:pPr>
    </w:p>
    <w:p>
      <w:pPr>
        <w:ind w:left="240" w:right="40" w:hanging="237"/>
        <w:spacing w:after="0" w:line="228"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Primarily consists of loan acquisitions, liquidations, changes in loan delinquencies and write-offs of amounts determined to be uncollectible. For multifamily, “Changes in loan activity” also includes changes in the allowance due to loan delinquencies and the impact of changes in debt service coverage ratios (“DSCRs”) based on updated property financial information, which is used to assess loan credit quality.</w:t>
      </w:r>
    </w:p>
    <w:p>
      <w:pPr>
        <w:spacing w:after="0" w:line="26" w:lineRule="exact"/>
        <w:rPr>
          <w:rFonts w:ascii="Arial" w:cs="Arial" w:eastAsia="Arial" w:hAnsi="Arial"/>
          <w:sz w:val="18"/>
          <w:szCs w:val="18"/>
          <w:color w:val="auto"/>
          <w:vertAlign w:val="superscript"/>
        </w:rPr>
      </w:pPr>
    </w:p>
    <w:p>
      <w:pPr>
        <w:ind w:left="240" w:right="40" w:hanging="237"/>
        <w:spacing w:after="0" w:line="259" w:lineRule="auto"/>
        <w:tabs>
          <w:tab w:leader="none" w:pos="233" w:val="left"/>
        </w:tabs>
        <w:numPr>
          <w:ilvl w:val="0"/>
          <w:numId w:val="15"/>
        </w:numPr>
        <w:rPr>
          <w:rFonts w:ascii="Arial" w:cs="Arial" w:eastAsia="Arial" w:hAnsi="Arial"/>
          <w:sz w:val="9"/>
          <w:szCs w:val="9"/>
          <w:color w:val="auto"/>
        </w:rPr>
      </w:pPr>
      <w:r>
        <w:rPr>
          <w:rFonts w:ascii="Arial" w:cs="Arial" w:eastAsia="Arial" w:hAnsi="Arial"/>
          <w:sz w:val="14"/>
          <w:szCs w:val="14"/>
          <w:color w:val="auto"/>
        </w:rPr>
        <w:t>Includes provision for allowance on accrued interest receivable and impacts of model enhancements. Also includes any benefit or provision for our guaranty loss reserves that are not separately included in the other components. Beginning with the period ended March 31, 2024, also includes the release of economic concessions related to loans previously designated as troubled debt restructurings (“TDRs”) that received loss mitigation arrangements during the period. The prior period has been updated to conform to the current period presentation.</w:t>
      </w:r>
    </w:p>
    <w:p>
      <w:pPr>
        <w:ind w:left="220" w:hanging="217"/>
        <w:spacing w:after="0"/>
        <w:tabs>
          <w:tab w:leader="none" w:pos="2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changes attributed to projected property net operating income, actual and projected property values, and labor market forecasts.</w:t>
      </w:r>
    </w:p>
    <w:p>
      <w:pPr>
        <w:spacing w:after="0" w:line="2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5"/>
        </w:numPr>
        <w:rPr>
          <w:rFonts w:ascii="Arial" w:cs="Arial" w:eastAsia="Arial" w:hAnsi="Arial"/>
          <w:sz w:val="9"/>
          <w:szCs w:val="9"/>
          <w:color w:val="auto"/>
        </w:rPr>
      </w:pPr>
      <w:r>
        <w:rPr>
          <w:rFonts w:ascii="Arial" w:cs="Arial" w:eastAsia="Arial" w:hAnsi="Arial"/>
          <w:sz w:val="14"/>
          <w:szCs w:val="14"/>
          <w:color w:val="auto"/>
        </w:rPr>
        <w:t>For the three months ended March 31, 2024, includes an adjustment of $150 million in provision to supplement model results relating to property value uncertainty.</w:t>
      </w:r>
    </w:p>
    <w:p>
      <w:pPr>
        <w:spacing w:after="0" w:line="33" w:lineRule="exact"/>
        <w:rPr>
          <w:rFonts w:ascii="Arial" w:cs="Arial" w:eastAsia="Arial" w:hAnsi="Arial"/>
          <w:sz w:val="9"/>
          <w:szCs w:val="9"/>
          <w:color w:val="auto"/>
        </w:rPr>
      </w:pPr>
    </w:p>
    <w:p>
      <w:pPr>
        <w:ind w:left="240" w:right="260" w:hanging="237"/>
        <w:spacing w:after="0" w:line="226"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Beginning with the period ended December 31, 2023, “Change in expected credit enhancement recoveries” as presented in this table includes activity associated with both active and inactive loans. Previously, this presentation only included active loans. The prior period has been updated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Benefit for Credit Losses</w:t>
      </w:r>
    </w:p>
    <w:p>
      <w:pPr>
        <w:spacing w:after="0" w:line="8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single-family benefit for credit losses in the first quarter of 2024 was primarily driven by a benefit from forecasted home price growth, partially offset by a provision from changes in loan activity and a provision from actual and projected interest rates, as described below:</w:t>
      </w:r>
    </w:p>
    <w:p>
      <w:pPr>
        <w:spacing w:after="0" w:line="15" w:lineRule="exact"/>
        <w:rPr>
          <w:sz w:val="20"/>
          <w:szCs w:val="20"/>
          <w:color w:val="auto"/>
        </w:rPr>
      </w:pPr>
    </w:p>
    <w:p>
      <w:pPr>
        <w:ind w:left="620" w:hanging="307"/>
        <w:spacing w:after="0" w:line="263"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first quarter of 2024, we observed stronger-than-expected forecasted home price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Higher home prices decrease the likelihood that loans will default and reduce the amount of losses on loans that do default, which impacts our estimate of losses and ultimately reduces our loss reserves and provision for credit losses. See “Key Market Economic Indicators” in our 2023 Form 10-K for additional information about how home prices affect our credit loss estimates. See “Key Market Economic Indicators” in this report for a discussion of home price growth and our home price forecast. Also see “Critical Accounting Estimates” in this report for more information about our home price forecast.</w:t>
      </w:r>
    </w:p>
    <w:p>
      <w:pPr>
        <w:spacing w:after="0" w:line="40" w:lineRule="exact"/>
        <w:rPr>
          <w:rFonts w:ascii="Arial" w:cs="Arial" w:eastAsia="Arial" w:hAnsi="Arial"/>
          <w:sz w:val="16"/>
          <w:szCs w:val="16"/>
          <w:color w:val="auto"/>
        </w:rPr>
      </w:pPr>
    </w:p>
    <w:p>
      <w:pPr>
        <w:jc w:val="both"/>
        <w:ind w:left="620" w:right="80" w:hanging="307"/>
        <w:spacing w:after="0" w:line="271"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which includes provision on newly acquired loans. </w:t>
      </w:r>
      <w:r>
        <w:rPr>
          <w:rFonts w:ascii="Arial" w:cs="Arial" w:eastAsia="Arial" w:hAnsi="Arial"/>
          <w:sz w:val="16"/>
          <w:szCs w:val="16"/>
          <w:color w:val="auto"/>
        </w:rPr>
        <w:t>This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2024 single-family acquisitions, which primarily consisted of purchase loans. Purchase loans generally have higher origination loan-to-value (“LTV”) ratios than refinance loans; therefore, purchase loans have a higher estimated risk of default and loss severity in the allowance than refinance loans and a correspondingly higher credit loss provision at the time of acquisition.</w:t>
      </w:r>
    </w:p>
    <w:p>
      <w:pPr>
        <w:spacing w:after="0" w:line="32" w:lineRule="exact"/>
        <w:rPr>
          <w:rFonts w:ascii="Arial" w:cs="Arial" w:eastAsia="Arial" w:hAnsi="Arial"/>
          <w:sz w:val="16"/>
          <w:szCs w:val="16"/>
          <w:color w:val="auto"/>
        </w:rPr>
      </w:pPr>
    </w:p>
    <w:p>
      <w:pPr>
        <w:ind w:left="620" w:hanging="307"/>
        <w:spacing w:after="0" w:line="266"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actual and projected interest rates. </w:t>
      </w:r>
      <w:r>
        <w:rPr>
          <w:rFonts w:ascii="Arial" w:cs="Arial" w:eastAsia="Arial" w:hAnsi="Arial"/>
          <w:sz w:val="16"/>
          <w:szCs w:val="16"/>
          <w:color w:val="auto"/>
        </w:rPr>
        <w:t>Actual and projected interest rates increased in the first quarter of 2024 compared with our prior</w:t>
      </w:r>
      <w:r>
        <w:rPr>
          <w:rFonts w:ascii="Arial" w:cs="Arial" w:eastAsia="Arial" w:hAnsi="Arial"/>
          <w:sz w:val="16"/>
          <w:szCs w:val="16"/>
          <w:i w:val="1"/>
          <w:iCs w:val="1"/>
          <w:color w:val="auto"/>
        </w:rPr>
        <w:t xml:space="preserve"> </w:t>
      </w:r>
      <w:r>
        <w:rPr>
          <w:rFonts w:ascii="Arial" w:cs="Arial" w:eastAsia="Arial" w:hAnsi="Arial"/>
          <w:sz w:val="16"/>
          <w:szCs w:val="16"/>
          <w:color w:val="auto"/>
        </w:rPr>
        <w:t>forecast. As mortgage rates increase, we expect a decrease in future prepayments on single-family loans. Lower expected prepayments extend the expected life of the loan, which increases our expectation of credit losses. See “Key Market Economic Indicators” in our 2023 Form 10-K for additional information about how interest rates affect our credit loss estimates. Also see “Critical Accounting Estimates” in this report for more information about our interest rate forecast.</w:t>
      </w:r>
    </w:p>
    <w:p>
      <w:pPr>
        <w:spacing w:after="0" w:line="63"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We recognized a modest single-family benefit for credit losses in the first quarter of 2023, primarily driven by a benefit from actual and forecasted home price growth, substantially offset by a provision from changes in loan activity, as described in more detail below:</w:t>
      </w:r>
    </w:p>
    <w:p>
      <w:pPr>
        <w:spacing w:after="0" w:line="41" w:lineRule="exact"/>
        <w:rPr>
          <w:sz w:val="20"/>
          <w:szCs w:val="20"/>
          <w:color w:val="auto"/>
        </w:rPr>
      </w:pPr>
    </w:p>
    <w:p>
      <w:pPr>
        <w:ind w:left="620" w:right="140" w:hanging="307"/>
        <w:spacing w:after="0" w:line="293" w:lineRule="auto"/>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Benefit from actual and forecasted home price growth</w:t>
      </w:r>
      <w:r>
        <w:rPr>
          <w:rFonts w:ascii="Arial" w:cs="Arial" w:eastAsia="Arial" w:hAnsi="Arial"/>
          <w:sz w:val="16"/>
          <w:szCs w:val="16"/>
          <w:color w:val="auto"/>
        </w:rPr>
        <w:t>. During the first quarter of 2023, we observed modest actual home price appreciation.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our updated 2023 home price forecast changed from our prior estimate, resulting in a lower estimate of home price declines for the year.</w:t>
      </w:r>
    </w:p>
    <w:p>
      <w:pPr>
        <w:spacing w:after="0" w:line="53"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Provision from changes in loan activity, which includes provision on newly acquired loan</w:t>
      </w:r>
      <w:r>
        <w:rPr>
          <w:rFonts w:ascii="Arial" w:cs="Arial" w:eastAsia="Arial" w:hAnsi="Arial"/>
          <w:sz w:val="16"/>
          <w:szCs w:val="16"/>
          <w:color w:val="auto"/>
        </w:rPr>
        <w:t>s. This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2023 single-family acquisitions, as described in our quarterly report on Form 10-Q for the quarter ended March 31, 2023.</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Provision for Credit Losses</w:t>
      </w:r>
    </w:p>
    <w:p>
      <w:pPr>
        <w:spacing w:after="0" w:line="10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multifamily provision for credit losses in the first quarter of 2024 was primarily driven by continued declines in actual and projected multifamily property values, which includes an adjustment of $150 million to supplement model results relating to property value uncertainty, as well as increases in actual and projected interest rates compared to our prior forecast. Actual multifamily property valuations decreased in the first quarter of 2024 driven by recent elevated interest rates and higher investor yield requirements. Our forecast of multifamily property value estimates further declines in the near term offset by a long-term improvement. In addition, reduced multifamily market transactions in the first quarter of 2024 have increased uncertainty around multifamily property valuations. These and other offsetting factors are included in “actual and projected interest rates,” “actual and projected economic data” and “other” in the table above. See “Multifamily Business—Multifamily Mortgage Market” for additional information about multifamily property valuations.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primary factors that contributed to our multifamily provision for credit losses for the first quarter of 2023 were:</w:t>
      </w:r>
    </w:p>
    <w:p>
      <w:pPr>
        <w:spacing w:after="0" w:line="87" w:lineRule="exact"/>
        <w:rPr>
          <w:sz w:val="20"/>
          <w:szCs w:val="20"/>
          <w:color w:val="auto"/>
        </w:rPr>
      </w:pPr>
    </w:p>
    <w:p>
      <w:pPr>
        <w:ind w:left="620" w:right="20" w:hanging="307"/>
        <w:spacing w:after="0" w:line="293"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Provision for actual and projected economic dat</w:t>
      </w:r>
      <w:r>
        <w:rPr>
          <w:rFonts w:ascii="Arial" w:cs="Arial" w:eastAsia="Arial" w:hAnsi="Arial"/>
          <w:sz w:val="16"/>
          <w:szCs w:val="16"/>
          <w:color w:val="auto"/>
        </w:rPr>
        <w:t>a, which was primarily driven by decreases in actual and projected multifamily property values. This</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in higher estimated LTV ratios, which increased our estimate of expected credit losses.</w:t>
      </w:r>
    </w:p>
    <w:p>
      <w:pPr>
        <w:spacing w:after="0" w:line="14" w:lineRule="exact"/>
        <w:rPr>
          <w:rFonts w:ascii="Arial" w:cs="Arial" w:eastAsia="Arial" w:hAnsi="Arial"/>
          <w:sz w:val="16"/>
          <w:szCs w:val="16"/>
          <w:color w:val="auto"/>
        </w:rPr>
      </w:pPr>
    </w:p>
    <w:p>
      <w:pPr>
        <w:ind w:left="620" w:right="160" w:hanging="307"/>
        <w:spacing w:after="0" w:line="310"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other, </w:t>
      </w:r>
      <w:r>
        <w:rPr>
          <w:rFonts w:ascii="Arial" w:cs="Arial" w:eastAsia="Arial" w:hAnsi="Arial"/>
          <w:sz w:val="16"/>
          <w:szCs w:val="16"/>
          <w:color w:val="auto"/>
        </w:rPr>
        <w:t>which primarily consisted of a provision relating to seniors housing loans in our multifamily guaranty book of business.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2023, uncertainty related to our seniors housing loans remained elevated, including uncertainty related to adjustable-rate loans.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these factors was partially offset by the following, which reduced our multifamily provision for credit losses for the first quarter of 2023:</w:t>
      </w:r>
    </w:p>
    <w:p>
      <w:pPr>
        <w:spacing w:after="0" w:line="87" w:lineRule="exact"/>
        <w:rPr>
          <w:sz w:val="20"/>
          <w:szCs w:val="20"/>
          <w:color w:val="auto"/>
        </w:rPr>
      </w:pPr>
    </w:p>
    <w:p>
      <w:pPr>
        <w:ind w:left="620" w:right="540" w:hanging="307"/>
        <w:spacing w:after="0" w:line="293"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projected interest rates. </w:t>
      </w:r>
      <w:r>
        <w:rPr>
          <w:rFonts w:ascii="Arial" w:cs="Arial" w:eastAsia="Arial" w:hAnsi="Arial"/>
          <w:sz w:val="16"/>
          <w:szCs w:val="16"/>
          <w:color w:val="auto"/>
        </w:rPr>
        <w:t>Actual and projected interest rates decreased in the first quarter of 2023, which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probability of default resulting in a benefit for credit losses.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740" w:type="dxa"/>
            <w:vAlign w:val="bottom"/>
            <w:tcBorders>
              <w:top w:val="single" w:sz="8" w:color="2C6937"/>
              <w:bottom w:val="single" w:sz="8" w:color="2C6937"/>
            </w:tcBorders>
            <w:gridSpan w:val="3"/>
          </w:tcPr>
          <w:p>
            <w:pPr>
              <w:jc w:val="right"/>
              <w:ind w:right="186"/>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March 31, 2024</w:t>
            </w:r>
          </w:p>
        </w:tc>
        <w:tc>
          <w:tcPr>
            <w:tcW w:w="150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34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12,524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35,817</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(23,293)</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Restricted cash and cash equivalents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20,730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32,889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(12,159)</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(1)</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73,725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30,700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43,025</w:t>
            </w:r>
          </w:p>
        </w:tc>
        <w:tc>
          <w:tcPr>
            <w:tcW w:w="0" w:type="dxa"/>
            <w:vAlign w:val="bottom"/>
          </w:tcPr>
          <w:p>
            <w:pPr>
              <w:spacing w:after="0"/>
              <w:rPr>
                <w:sz w:val="1"/>
                <w:szCs w:val="1"/>
                <w:color w:val="auto"/>
              </w:rPr>
            </w:pPr>
          </w:p>
        </w:tc>
      </w:tr>
      <w:tr>
        <w:trPr>
          <w:trHeight w:val="208"/>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49,896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53,116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(3,220)</w:t>
            </w: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48,473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50,325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(1,852)</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4,089,024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4,094,036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(5,012)</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(8,379)</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(8,730)</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351</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4,129,118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4,135,631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(6,513)</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11,525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11,681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26,301</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25,603</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698</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4,323,819</w:t>
            </w:r>
          </w:p>
        </w:tc>
        <w:tc>
          <w:tcPr>
            <w:tcW w:w="120" w:type="dxa"/>
            <w:vAlign w:val="bottom"/>
          </w:tcPr>
          <w:p>
            <w:pPr>
              <w:spacing w:after="0"/>
              <w:rPr>
                <w:sz w:val="17"/>
                <w:szCs w:val="17"/>
                <w:color w:val="auto"/>
              </w:rPr>
            </w:pPr>
          </w:p>
        </w:tc>
        <w:tc>
          <w:tcPr>
            <w:tcW w:w="380" w:type="dxa"/>
            <w:vAlign w:val="bottom"/>
            <w:tcBorders>
              <w:bottom w:val="single" w:sz="8" w:color="2C6937"/>
            </w:tcBorders>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4,325,437</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(1,618)</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2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24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118,401</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124,065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(5,664)</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4,098,173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4,098,653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(480)</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25,239</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25,037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0"/>
        </w:trPr>
        <w:tc>
          <w:tcPr>
            <w:tcW w:w="682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4,241,813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4,247,755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(5,942)</w:t>
            </w: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Fannie Mae stockholders’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Senior preferred stock</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120,836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 net deficit</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(38,830)</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(43,154)</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4,324</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equity</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82,006</w:t>
            </w:r>
          </w:p>
        </w:tc>
        <w:tc>
          <w:tcPr>
            <w:tcW w:w="12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77,682</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4,324</w:t>
            </w:r>
          </w:p>
        </w:tc>
        <w:tc>
          <w:tcPr>
            <w:tcW w:w="0" w:type="dxa"/>
            <w:vAlign w:val="bottom"/>
          </w:tcPr>
          <w:p>
            <w:pPr>
              <w:spacing w:after="0"/>
              <w:rPr>
                <w:sz w:val="1"/>
                <w:szCs w:val="1"/>
                <w:color w:val="auto"/>
              </w:rPr>
            </w:pPr>
          </w:p>
        </w:tc>
      </w:tr>
      <w:tr>
        <w:trPr>
          <w:trHeight w:val="199"/>
        </w:trPr>
        <w:tc>
          <w:tcPr>
            <w:tcW w:w="6820" w:type="dxa"/>
            <w:vAlign w:val="bottom"/>
            <w:gridSpan w:val="2"/>
          </w:tcPr>
          <w:p>
            <w:pPr>
              <w:ind w:left="320"/>
              <w:spacing w:after="0"/>
              <w:rPr>
                <w:sz w:val="20"/>
                <w:szCs w:val="20"/>
                <w:color w:val="auto"/>
              </w:rPr>
            </w:pPr>
            <w:r>
              <w:rPr>
                <w:rFonts w:ascii="Arial" w:cs="Arial" w:eastAsia="Arial" w:hAnsi="Arial"/>
                <w:sz w:val="15"/>
                <w:szCs w:val="15"/>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4,323,819</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4,325,437</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(1,618)</w:t>
            </w:r>
          </w:p>
        </w:tc>
        <w:tc>
          <w:tcPr>
            <w:tcW w:w="0" w:type="dxa"/>
            <w:vAlign w:val="bottom"/>
          </w:tcPr>
          <w:p>
            <w:pPr>
              <w:spacing w:after="0"/>
              <w:rPr>
                <w:sz w:val="1"/>
                <w:szCs w:val="1"/>
                <w:color w:val="auto"/>
              </w:rPr>
            </w:pPr>
          </w:p>
        </w:tc>
      </w:tr>
      <w:tr>
        <w:trPr>
          <w:trHeight w:val="20"/>
        </w:trPr>
        <w:tc>
          <w:tcPr>
            <w:tcW w:w="6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20" w:hanging="217"/>
        <w:spacing w:after="0"/>
        <w:tabs>
          <w:tab w:leader="none" w:pos="220"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Securities purchased under agreements to resell includes $13,650 million and $0 million as of March 31, 2024 and December 31, 2023, respectively, related to consolidated trusts.</w:t>
      </w:r>
    </w:p>
    <w:p>
      <w:pPr>
        <w:spacing w:after="0" w:line="9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Cash and Cash Equivalents and Restricted Cash and Cash Equivalents</w:t>
      </w:r>
    </w:p>
    <w:p>
      <w:pPr>
        <w:spacing w:after="0" w:line="89"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Cash and cash equivalents and restricted cash and cash equivalents decreased from December 31, 2023 to March 31, 2024, primarily driven by funds being invested in securities purchased under agreements to resell rather than funds being invested in cash and cash equivalents and restricted cash and cash equivalents as of March 31, 2024. See “Liquidity and Capital Management—Liquidity Management—Cash Flows” for additional information on our cash activity in the first quarter of 2024.</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Securities Purchased Under Agreements to Resell</w:t>
      </w:r>
    </w:p>
    <w:p>
      <w:pPr>
        <w:spacing w:after="0" w:line="8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Securities purchased under agreements to resell increased from December 31, 2023 to March 31, 2024, primarily driven by funds being invested in securities purchased under agreements to resell rather than funds being invested in cash and cash equivalents and restricted cash and cash equivalents as of March 31, 2024.</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w:t>
      </w:r>
    </w:p>
    <w:p>
      <w:pPr>
        <w:spacing w:after="0" w:line="6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HFS or HFI and include loans owned by Fannie Mae and loans held in consolidated trusts.</w:t>
      </w:r>
    </w:p>
    <w:p>
      <w:pPr>
        <w:spacing w:after="0" w:line="1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Mortgage loans, net of allowance for loan losses decreased from December 31, 2023 to March 31, 2024, driven primarily by loan paydowns, liquidations and sales outpacing acquisitions during the first quarter of 2024.</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Loan Losses.”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7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decrease in debt of Fannie Mae from December 31, 2023 to March 31, 2024 was due to redemptions outpacing new issuances. The decrease in debt of consolidated trusts from December 31, 2023 to March 31, 2024 was primarily driven by liquidations of Fannie Mae MBS outpacing issuances. See “Liquidity and Capital Management—Liquidity Management—Debt Funding” for a summary of activity in debt of Fannie Mae and information on our outstanding short-term and long-term debt. Also see “Note 8, Short-Term and Long-Term Debt” for additional information on our total outstanding debt.</w:t>
      </w:r>
    </w:p>
    <w:p>
      <w:pPr>
        <w:spacing w:after="0" w:line="8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Stockholders’ Equity</w:t>
      </w:r>
    </w:p>
    <w:p>
      <w:pPr>
        <w:spacing w:after="0" w:line="1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stockholders’ equity (also referred to as our net worth) increased to $82.0 billion as of March 31, 2024, compared with $77.7 billion as of December 31, 2023, due to the $4.3 billion in comprehensive income recognized during the first quarter of 2024.</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portfolio securitization transactions and to support our loss mitigation activities.</w:t>
      </w:r>
    </w:p>
    <w:p>
      <w:pPr>
        <w:spacing w:after="0" w:line="1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We separate the instruments within our retained mortgage portfolio into three categories based on each instrument’s use:</w:t>
      </w:r>
    </w:p>
    <w:p>
      <w:pPr>
        <w:spacing w:after="0" w:line="61" w:lineRule="exact"/>
        <w:rPr>
          <w:sz w:val="20"/>
          <w:szCs w:val="20"/>
          <w:color w:val="auto"/>
        </w:rPr>
      </w:pPr>
    </w:p>
    <w:p>
      <w:pPr>
        <w:ind w:left="620" w:right="260" w:hanging="307"/>
        <w:spacing w:after="0" w:line="285" w:lineRule="auto"/>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Lender liquidity</w:t>
      </w:r>
      <w:r>
        <w:rPr>
          <w:rFonts w:ascii="Arial" w:cs="Arial" w:eastAsia="Arial" w:hAnsi="Arial"/>
          <w:sz w:val="16"/>
          <w:szCs w:val="16"/>
          <w:color w:val="auto"/>
        </w:rPr>
        <w:t>, which includes balances related to our portfolio securitization activity, supports our efforts to provide liquidity to the single-family</w:t>
      </w:r>
      <w:r>
        <w:rPr>
          <w:rFonts w:ascii="Arial" w:cs="Arial" w:eastAsia="Arial" w:hAnsi="Arial"/>
          <w:sz w:val="16"/>
          <w:szCs w:val="16"/>
          <w:i w:val="1"/>
          <w:iCs w:val="1"/>
          <w:color w:val="auto"/>
        </w:rPr>
        <w:t xml:space="preserve"> </w:t>
      </w:r>
      <w:r>
        <w:rPr>
          <w:rFonts w:ascii="Arial" w:cs="Arial" w:eastAsia="Arial" w:hAnsi="Arial"/>
          <w:sz w:val="16"/>
          <w:szCs w:val="16"/>
          <w:color w:val="auto"/>
        </w:rPr>
        <w:t>and 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supports our loss mitigation efforts through the purchase of delinquent loans from our MBS trusts.</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represents assets that were previously purchased for investment purposes.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ind w:left="902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24130</wp:posOffset>
            </wp:positionV>
            <wp:extent cx="7122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right="20"/>
        <w:spacing w:after="0" w:line="272" w:lineRule="auto"/>
        <w:rPr>
          <w:sz w:val="20"/>
          <w:szCs w:val="20"/>
          <w:color w:val="auto"/>
        </w:rPr>
      </w:pPr>
      <w:r>
        <w:rPr>
          <w:rFonts w:ascii="Arial" w:cs="Arial" w:eastAsia="Arial" w:hAnsi="Arial"/>
          <w:sz w:val="16"/>
          <w:szCs w:val="16"/>
          <w:color w:val="auto"/>
        </w:rPr>
        <w:t>The table below displays the components of our retained mortgage portfolio. Based on the nature of the asset, these balances are included in either “Investments in securities, at fair value” or “Mortgage loans, net of allowance for loan losses” in our “Summary of Condensed Consolidated Balance Sheets”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001543"/>
        </w:rPr>
        <w:t>Retained Mortgage Portfolio</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100" w:type="dxa"/>
            <w:vAlign w:val="bottom"/>
            <w:tcBorders>
              <w:top w:val="single" w:sz="8" w:color="2C6937"/>
            </w:tcBorders>
          </w:tcPr>
          <w:p>
            <w:pPr>
              <w:spacing w:after="0"/>
              <w:rPr>
                <w:sz w:val="20"/>
                <w:szCs w:val="20"/>
                <w:color w:val="auto"/>
              </w:rPr>
            </w:pPr>
          </w:p>
        </w:tc>
        <w:tc>
          <w:tcPr>
            <w:tcW w:w="160" w:type="dxa"/>
            <w:vAlign w:val="bottom"/>
            <w:tcBorders>
              <w:top w:val="single" w:sz="8" w:color="2C6937"/>
              <w:bottom w:val="single" w:sz="8" w:color="2C6937"/>
            </w:tcBorders>
          </w:tcPr>
          <w:p>
            <w:pPr>
              <w:spacing w:after="0"/>
              <w:rPr>
                <w:sz w:val="20"/>
                <w:szCs w:val="20"/>
                <w:color w:val="auto"/>
              </w:rPr>
            </w:pPr>
          </w:p>
        </w:tc>
        <w:tc>
          <w:tcPr>
            <w:tcW w:w="220" w:type="dxa"/>
            <w:vAlign w:val="bottom"/>
            <w:tcBorders>
              <w:top w:val="single" w:sz="8" w:color="2C6937"/>
              <w:bottom w:val="single" w:sz="8" w:color="2C6937"/>
            </w:tcBorders>
          </w:tcPr>
          <w:p>
            <w:pPr>
              <w:spacing w:after="0"/>
              <w:rPr>
                <w:sz w:val="20"/>
                <w:szCs w:val="20"/>
                <w:color w:val="auto"/>
              </w:rPr>
            </w:pPr>
          </w:p>
        </w:tc>
        <w:tc>
          <w:tcPr>
            <w:tcW w:w="2020" w:type="dxa"/>
            <w:vAlign w:val="bottom"/>
            <w:tcBorders>
              <w:top w:val="single" w:sz="8" w:color="2C6937"/>
              <w:bottom w:val="single" w:sz="8" w:color="2C6937"/>
            </w:tcBorders>
            <w:gridSpan w:val="3"/>
          </w:tcPr>
          <w:p>
            <w:pPr>
              <w:jc w:val="right"/>
              <w:ind w:right="63"/>
              <w:spacing w:after="0"/>
              <w:rPr>
                <w:sz w:val="20"/>
                <w:szCs w:val="20"/>
                <w:color w:val="auto"/>
              </w:rPr>
            </w:pPr>
            <w:r>
              <w:rPr>
                <w:rFonts w:ascii="Arial" w:cs="Arial" w:eastAsia="Arial" w:hAnsi="Arial"/>
                <w:sz w:val="15"/>
                <w:szCs w:val="15"/>
                <w:b w:val="1"/>
                <w:bCs w:val="1"/>
                <w:color w:val="auto"/>
              </w:rPr>
              <w:t>As of</w:t>
            </w:r>
          </w:p>
        </w:tc>
        <w:tc>
          <w:tcPr>
            <w:tcW w:w="174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March 31, 2024</w:t>
            </w:r>
          </w:p>
        </w:tc>
        <w:tc>
          <w:tcPr>
            <w:tcW w:w="16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07"/>
        </w:trPr>
        <w:tc>
          <w:tcPr>
            <w:tcW w:w="72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Lender liquidity:</w:t>
            </w:r>
          </w:p>
        </w:tc>
        <w:tc>
          <w:tcPr>
            <w:tcW w:w="220" w:type="dxa"/>
            <w:vAlign w:val="bottom"/>
          </w:tcPr>
          <w:p>
            <w:pPr>
              <w:spacing w:after="0"/>
              <w:rPr>
                <w:sz w:val="17"/>
                <w:szCs w:val="17"/>
                <w:color w:val="auto"/>
              </w:rPr>
            </w:pPr>
          </w:p>
        </w:tc>
        <w:tc>
          <w:tcPr>
            <w:tcW w:w="3760" w:type="dxa"/>
            <w:vAlign w:val="bottom"/>
            <w:gridSpan w:val="4"/>
          </w:tcPr>
          <w:p>
            <w:pPr>
              <w:jc w:val="right"/>
              <w:ind w:right="126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188"/>
        </w:trPr>
        <w:tc>
          <w:tcPr>
            <w:tcW w:w="7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280"/>
              <w:spacing w:after="0" w:line="216"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b w:val="1"/>
                <w:bCs w:val="1"/>
                <w:color w:val="auto"/>
              </w:rPr>
              <w:t>22,484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27,823</w:t>
            </w:r>
          </w:p>
        </w:tc>
        <w:tc>
          <w:tcPr>
            <w:tcW w:w="0" w:type="dxa"/>
            <w:vAlign w:val="bottom"/>
          </w:tcPr>
          <w:p>
            <w:pPr>
              <w:spacing w:after="0"/>
              <w:rPr>
                <w:sz w:val="1"/>
                <w:szCs w:val="1"/>
                <w:color w:val="auto"/>
              </w:rPr>
            </w:pPr>
          </w:p>
        </w:tc>
      </w:tr>
      <w:tr>
        <w:trPr>
          <w:trHeight w:val="208"/>
        </w:trPr>
        <w:tc>
          <w:tcPr>
            <w:tcW w:w="71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w:t>
            </w:r>
          </w:p>
        </w:tc>
        <w:tc>
          <w:tcPr>
            <w:tcW w:w="16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6,087</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7,101</w:t>
            </w:r>
          </w:p>
        </w:tc>
        <w:tc>
          <w:tcPr>
            <w:tcW w:w="0" w:type="dxa"/>
            <w:vAlign w:val="bottom"/>
          </w:tcPr>
          <w:p>
            <w:pPr>
              <w:spacing w:after="0"/>
              <w:rPr>
                <w:sz w:val="1"/>
                <w:szCs w:val="1"/>
                <w:color w:val="auto"/>
              </w:rPr>
            </w:pPr>
          </w:p>
        </w:tc>
      </w:tr>
      <w:tr>
        <w:trPr>
          <w:trHeight w:val="188"/>
        </w:trPr>
        <w:tc>
          <w:tcPr>
            <w:tcW w:w="7260" w:type="dxa"/>
            <w:vAlign w:val="bottom"/>
            <w:gridSpan w:val="2"/>
          </w:tcPr>
          <w:p>
            <w:pPr>
              <w:ind w:left="120"/>
              <w:spacing w:after="0"/>
              <w:rPr>
                <w:sz w:val="20"/>
                <w:szCs w:val="20"/>
                <w:color w:val="auto"/>
              </w:rPr>
            </w:pPr>
            <w:r>
              <w:rPr>
                <w:rFonts w:ascii="Arial" w:cs="Arial" w:eastAsia="Arial" w:hAnsi="Arial"/>
                <w:sz w:val="15"/>
                <w:szCs w:val="15"/>
                <w:color w:val="auto"/>
              </w:rPr>
              <w:t>Total lender liquidity</w:t>
            </w:r>
          </w:p>
        </w:tc>
        <w:tc>
          <w:tcPr>
            <w:tcW w:w="220" w:type="dxa"/>
            <w:vAlign w:val="bottom"/>
          </w:tcPr>
          <w:p>
            <w:pPr>
              <w:spacing w:after="0"/>
              <w:rPr>
                <w:sz w:val="16"/>
                <w:szCs w:val="16"/>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b w:val="1"/>
                <w:bCs w:val="1"/>
                <w:color w:val="auto"/>
              </w:rPr>
              <w:t>28,571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34,924</w:t>
            </w:r>
          </w:p>
        </w:tc>
        <w:tc>
          <w:tcPr>
            <w:tcW w:w="0" w:type="dxa"/>
            <w:vAlign w:val="bottom"/>
          </w:tcPr>
          <w:p>
            <w:pPr>
              <w:spacing w:after="0"/>
              <w:rPr>
                <w:sz w:val="1"/>
                <w:szCs w:val="1"/>
                <w:color w:val="auto"/>
              </w:rPr>
            </w:pPr>
          </w:p>
        </w:tc>
      </w:tr>
      <w:tr>
        <w:trPr>
          <w:trHeight w:val="216"/>
        </w:trPr>
        <w:tc>
          <w:tcPr>
            <w:tcW w:w="7260" w:type="dxa"/>
            <w:vAlign w:val="bottom"/>
            <w:gridSpan w:val="2"/>
          </w:tcPr>
          <w:p>
            <w:pPr>
              <w:ind w:left="20"/>
              <w:spacing w:after="0" w:line="216"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220" w:type="dxa"/>
            <w:vAlign w:val="bottom"/>
          </w:tcPr>
          <w:p>
            <w:pPr>
              <w:spacing w:after="0"/>
              <w:rPr>
                <w:sz w:val="18"/>
                <w:szCs w:val="18"/>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b w:val="1"/>
                <w:bCs w:val="1"/>
                <w:color w:val="auto"/>
              </w:rPr>
              <w:t>39,193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38,634</w:t>
            </w:r>
          </w:p>
        </w:tc>
        <w:tc>
          <w:tcPr>
            <w:tcW w:w="0" w:type="dxa"/>
            <w:vAlign w:val="bottom"/>
          </w:tcPr>
          <w:p>
            <w:pPr>
              <w:spacing w:after="0"/>
              <w:rPr>
                <w:sz w:val="1"/>
                <w:szCs w:val="1"/>
                <w:color w:val="auto"/>
              </w:rPr>
            </w:pPr>
          </w:p>
        </w:tc>
      </w:tr>
      <w:tr>
        <w:trPr>
          <w:trHeight w:val="197"/>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ind w:left="280"/>
              <w:spacing w:after="0" w:line="207"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22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b w:val="1"/>
                <w:bCs w:val="1"/>
                <w:color w:val="auto"/>
              </w:rPr>
              <w:t>5,056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5,953</w:t>
            </w:r>
          </w:p>
        </w:tc>
        <w:tc>
          <w:tcPr>
            <w:tcW w:w="0" w:type="dxa"/>
            <w:vAlign w:val="bottom"/>
          </w:tcPr>
          <w:p>
            <w:pPr>
              <w:spacing w:after="0"/>
              <w:rPr>
                <w:sz w:val="1"/>
                <w:szCs w:val="1"/>
                <w:color w:val="auto"/>
              </w:rPr>
            </w:pPr>
          </w:p>
        </w:tc>
      </w:tr>
      <w:tr>
        <w:trPr>
          <w:trHeight w:val="217"/>
        </w:trPr>
        <w:tc>
          <w:tcPr>
            <w:tcW w:w="7100" w:type="dxa"/>
            <w:vAlign w:val="bottom"/>
            <w:tcBorders>
              <w:bottom w:val="single" w:sz="8" w:color="2C6937"/>
            </w:tcBorders>
          </w:tcPr>
          <w:p>
            <w:pPr>
              <w:ind w:left="280"/>
              <w:spacing w:after="0" w:line="21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6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2,774</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3,683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6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7,830</w:t>
            </w:r>
          </w:p>
        </w:tc>
        <w:tc>
          <w:tcPr>
            <w:tcW w:w="18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9,636</w:t>
            </w:r>
          </w:p>
        </w:tc>
        <w:tc>
          <w:tcPr>
            <w:tcW w:w="0" w:type="dxa"/>
            <w:vAlign w:val="bottom"/>
          </w:tcPr>
          <w:p>
            <w:pPr>
              <w:spacing w:after="0"/>
              <w:rPr>
                <w:sz w:val="1"/>
                <w:szCs w:val="1"/>
                <w:color w:val="auto"/>
              </w:rPr>
            </w:pPr>
          </w:p>
        </w:tc>
      </w:tr>
      <w:tr>
        <w:trPr>
          <w:trHeight w:val="199"/>
        </w:trPr>
        <w:tc>
          <w:tcPr>
            <w:tcW w:w="7260" w:type="dxa"/>
            <w:vAlign w:val="bottom"/>
            <w:gridSpan w:val="2"/>
          </w:tcPr>
          <w:p>
            <w:pPr>
              <w:ind w:left="80"/>
              <w:spacing w:after="0"/>
              <w:rPr>
                <w:sz w:val="20"/>
                <w:szCs w:val="20"/>
                <w:color w:val="auto"/>
              </w:rPr>
            </w:pPr>
            <w:r>
              <w:rPr>
                <w:rFonts w:ascii="Arial" w:cs="Arial" w:eastAsia="Arial" w:hAnsi="Arial"/>
                <w:sz w:val="15"/>
                <w:szCs w:val="15"/>
                <w:color w:val="auto"/>
              </w:rPr>
              <w:t>Total retained mortgage portfolio</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b w:val="1"/>
                <w:bCs w:val="1"/>
                <w:color w:val="auto"/>
              </w:rPr>
              <w:t>75,594</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83,194</w:t>
            </w:r>
          </w:p>
        </w:tc>
        <w:tc>
          <w:tcPr>
            <w:tcW w:w="0" w:type="dxa"/>
            <w:vAlign w:val="bottom"/>
          </w:tcPr>
          <w:p>
            <w:pPr>
              <w:spacing w:after="0"/>
              <w:rPr>
                <w:sz w:val="1"/>
                <w:szCs w:val="1"/>
                <w:color w:val="auto"/>
              </w:rPr>
            </w:pPr>
          </w:p>
        </w:tc>
      </w:tr>
      <w:tr>
        <w:trPr>
          <w:trHeight w:val="20"/>
        </w:trPr>
        <w:tc>
          <w:tcPr>
            <w:tcW w:w="71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8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6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69,973</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260" w:type="dxa"/>
            <w:vAlign w:val="bottom"/>
            <w:gridSpan w:val="2"/>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22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77,357</w:t>
            </w:r>
          </w:p>
        </w:tc>
        <w:tc>
          <w:tcPr>
            <w:tcW w:w="0" w:type="dxa"/>
            <w:vAlign w:val="bottom"/>
          </w:tcPr>
          <w:p>
            <w:pPr>
              <w:spacing w:after="0"/>
              <w:rPr>
                <w:sz w:val="1"/>
                <w:szCs w:val="1"/>
                <w:color w:val="auto"/>
              </w:rPr>
            </w:pPr>
          </w:p>
        </w:tc>
      </w:tr>
      <w:tr>
        <w:trPr>
          <w:trHeight w:val="214"/>
        </w:trPr>
        <w:tc>
          <w:tcPr>
            <w:tcW w:w="7260" w:type="dxa"/>
            <w:vAlign w:val="bottom"/>
            <w:gridSpan w:val="2"/>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680" w:type="dxa"/>
            <w:vAlign w:val="bottom"/>
          </w:tcPr>
          <w:p>
            <w:pPr>
              <w:jc w:val="right"/>
              <w:ind w:right="3"/>
              <w:spacing w:after="0"/>
              <w:rPr>
                <w:sz w:val="20"/>
                <w:szCs w:val="20"/>
                <w:color w:val="auto"/>
              </w:rPr>
            </w:pPr>
            <w:r>
              <w:rPr>
                <w:rFonts w:ascii="Arial" w:cs="Arial" w:eastAsia="Arial" w:hAnsi="Arial"/>
                <w:sz w:val="15"/>
                <w:szCs w:val="15"/>
                <w:b w:val="1"/>
                <w:bCs w:val="1"/>
                <w:color w:val="auto"/>
              </w:rPr>
              <w:t>5,621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5,837</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60" w:right="200" w:hanging="237"/>
        <w:spacing w:after="0" w:line="275" w:lineRule="auto"/>
        <w:tabs>
          <w:tab w:leader="none" w:pos="253" w:val="left"/>
        </w:tabs>
        <w:numPr>
          <w:ilvl w:val="0"/>
          <w:numId w:val="22"/>
        </w:numPr>
        <w:rPr>
          <w:rFonts w:ascii="Arial" w:cs="Arial" w:eastAsia="Arial" w:hAnsi="Arial"/>
          <w:sz w:val="9"/>
          <w:szCs w:val="9"/>
          <w:color w:val="auto"/>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4" w:lineRule="exact"/>
        <w:rPr>
          <w:rFonts w:ascii="Arial" w:cs="Arial" w:eastAsia="Arial" w:hAnsi="Arial"/>
          <w:sz w:val="9"/>
          <w:szCs w:val="9"/>
          <w:color w:val="auto"/>
        </w:rPr>
      </w:pPr>
    </w:p>
    <w:p>
      <w:pPr>
        <w:ind w:left="260" w:right="460" w:hanging="237"/>
        <w:spacing w:after="0" w:line="226" w:lineRule="auto"/>
        <w:tabs>
          <w:tab w:leader="none" w:pos="25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$8.6 billion and $8.1 billion as of March 31, 2024 and December 31, 2023, respectively. Also includes multifamily loans on nonaccrual status of $2.2 billion and $2.0 billion as of March 31, 2024 and December 31, 2023, respectively.</w:t>
      </w:r>
    </w:p>
    <w:p>
      <w:pPr>
        <w:spacing w:after="0" w:line="1" w:lineRule="exact"/>
        <w:rPr>
          <w:rFonts w:ascii="Arial" w:cs="Arial" w:eastAsia="Arial" w:hAnsi="Arial"/>
          <w:sz w:val="18"/>
          <w:szCs w:val="18"/>
          <w:color w:val="auto"/>
          <w:vertAlign w:val="superscript"/>
        </w:rPr>
      </w:pPr>
    </w:p>
    <w:p>
      <w:pPr>
        <w:ind w:left="240" w:hanging="217"/>
        <w:spacing w:after="0"/>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 We stopped acquiring newly originated reverse mortgage loans in 2010.</w:t>
      </w:r>
    </w:p>
    <w:p>
      <w:pPr>
        <w:spacing w:after="0" w:line="24" w:lineRule="exact"/>
        <w:rPr>
          <w:rFonts w:ascii="Arial" w:cs="Arial" w:eastAsia="Arial" w:hAnsi="Arial"/>
          <w:sz w:val="18"/>
          <w:szCs w:val="18"/>
          <w:color w:val="auto"/>
          <w:vertAlign w:val="superscript"/>
        </w:rPr>
      </w:pPr>
    </w:p>
    <w:p>
      <w:pPr>
        <w:ind w:left="260" w:right="360" w:hanging="237"/>
        <w:spacing w:after="0" w:line="260" w:lineRule="auto"/>
        <w:tabs>
          <w:tab w:leader="none" w:pos="236" w:val="left"/>
        </w:tabs>
        <w:numPr>
          <w:ilvl w:val="0"/>
          <w:numId w:val="22"/>
        </w:numPr>
        <w:rPr>
          <w:rFonts w:ascii="Arial" w:cs="Arial" w:eastAsia="Arial" w:hAnsi="Arial"/>
          <w:sz w:val="9"/>
          <w:szCs w:val="9"/>
          <w:color w:val="auto"/>
        </w:rPr>
      </w:pPr>
      <w:r>
        <w:rPr>
          <w:rFonts w:ascii="Arial" w:cs="Arial" w:eastAsia="Arial" w:hAnsi="Arial"/>
          <w:sz w:val="14"/>
          <w:szCs w:val="14"/>
          <w:color w:val="auto"/>
        </w:rPr>
        <w:t>Other mortgage loans primarily include multifamily loans on accrual status and single-family loans that are not included in the loss mitigation or lender liquidity categories. Other mortgage securities primarily include private-label securities and mortgage revenue bonds.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we are currently required to cap our mortgage assets at $202.5 billion per instructions from FHFA.</w:t>
      </w:r>
    </w:p>
    <w:p>
      <w:pPr>
        <w:spacing w:after="0" w:line="71" w:lineRule="exact"/>
        <w:rPr>
          <w:sz w:val="20"/>
          <w:szCs w:val="20"/>
          <w:color w:val="auto"/>
        </w:rPr>
      </w:pPr>
    </w:p>
    <w:p>
      <w:pPr>
        <w:ind w:left="20" w:right="20"/>
        <w:spacing w:after="0" w:line="281" w:lineRule="auto"/>
        <w:rPr>
          <w:sz w:val="20"/>
          <w:szCs w:val="20"/>
          <w:color w:val="auto"/>
        </w:rPr>
      </w:pPr>
      <w:r>
        <w:rPr>
          <w:rFonts w:ascii="Arial" w:cs="Arial" w:eastAsia="Arial" w:hAnsi="Arial"/>
          <w:sz w:val="16"/>
          <w:szCs w:val="16"/>
          <w:color w:val="auto"/>
        </w:rPr>
        <w:t>We include 10% of the notional value of the interest-only securities we hold in calculating the size of the retained mortgage portfolio for the purpose of determining compliance with the senior preferred stock purchase agreement mortgage assets cap and associated FHFA instructions. As of March 31, 2024, 10% of the notional value of our interest-only securities was $1.6 billion, which is not included in the table above.</w:t>
      </w:r>
    </w:p>
    <w:p>
      <w:pPr>
        <w:spacing w:after="0" w:line="24" w:lineRule="exact"/>
        <w:rPr>
          <w:sz w:val="20"/>
          <w:szCs w:val="20"/>
          <w:color w:val="auto"/>
        </w:rPr>
      </w:pPr>
    </w:p>
    <w:p>
      <w:pPr>
        <w:ind w:left="20" w:right="80"/>
        <w:spacing w:after="0" w:line="266"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The purchase price for these loans is the unpaid principal balance of the loan plus accrued interest. If a delinquent loan remains in a single-family MBS trust, the servicer is responsible for advancing the borrower’s missed scheduled principal and interest payments to the MBS holders for up to four months, after which time we must make these missed payments. In addition, we must reimburse servicers for advanced principal and interest payments.</w:t>
      </w:r>
    </w:p>
    <w:p>
      <w:pPr>
        <w:spacing w:after="0" w:line="63" w:lineRule="exact"/>
        <w:rPr>
          <w:sz w:val="20"/>
          <w:szCs w:val="20"/>
          <w:color w:val="auto"/>
        </w:rPr>
      </w:pPr>
    </w:p>
    <w:p>
      <w:pPr>
        <w:ind w:left="20" w:right="180"/>
        <w:spacing w:after="0" w:line="293" w:lineRule="auto"/>
        <w:rPr>
          <w:sz w:val="20"/>
          <w:szCs w:val="20"/>
          <w:color w:val="auto"/>
        </w:rPr>
      </w:pPr>
      <w:r>
        <w:rPr>
          <w:rFonts w:ascii="Arial" w:cs="Arial" w:eastAsia="Arial" w:hAnsi="Arial"/>
          <w:sz w:val="16"/>
          <w:szCs w:val="16"/>
          <w:color w:val="auto"/>
        </w:rPr>
        <w:t>In support of our loss mitigation strategies, we purchased $2.9 billion of loans from our single-family MBS trusts in the first quarter of 2024, the substantial majority of which were delinquent, compared with $2.1 billion of loans purchased from single-family MBS trusts in the first quarter of 2023.</w:t>
      </w:r>
    </w:p>
    <w:p>
      <w:pPr>
        <w:spacing w:after="0" w:line="61" w:lineRule="exact"/>
        <w:rPr>
          <w:sz w:val="20"/>
          <w:szCs w:val="20"/>
          <w:color w:val="auto"/>
        </w:rPr>
      </w:pPr>
    </w:p>
    <w:p>
      <w:pPr>
        <w:ind w:left="20"/>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32385</wp:posOffset>
            </wp:positionV>
            <wp:extent cx="71386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Our “guaranty book of business” consists of:</w:t>
      </w:r>
    </w:p>
    <w:p>
      <w:pPr>
        <w:spacing w:after="0" w:line="61" w:lineRule="exact"/>
        <w:rPr>
          <w:sz w:val="20"/>
          <w:szCs w:val="20"/>
          <w:color w:val="auto"/>
        </w:rPr>
      </w:pPr>
    </w:p>
    <w:p>
      <w:pPr>
        <w:ind w:left="640" w:hanging="307"/>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Fannie Mae MBS outstanding, excluding the portions of any structured securities we issue that are backed by Freddie Mac securities;</w:t>
      </w:r>
    </w:p>
    <w:p>
      <w:pPr>
        <w:spacing w:after="0" w:line="73" w:lineRule="exact"/>
        <w:rPr>
          <w:rFonts w:ascii="Arial" w:cs="Arial" w:eastAsia="Arial" w:hAnsi="Arial"/>
          <w:sz w:val="16"/>
          <w:szCs w:val="16"/>
          <w:color w:val="auto"/>
        </w:rPr>
      </w:pPr>
    </w:p>
    <w:p>
      <w:pPr>
        <w:ind w:left="640" w:hanging="307"/>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mortgage loans of Fannie Mae held in our retained mortgage portfolio;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17" w:name="page18"/>
    <w:bookmarkEnd w:id="17"/>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20" w:firstLine="313"/>
        <w:spacing w:after="0" w:line="336" w:lineRule="auto"/>
        <w:tabs>
          <w:tab w:leader="none" w:pos="6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credit enhancements that we provide on mortgage assets. “Total Fannie Mae guarantees” consists of:</w:t>
      </w: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guaranty book of business; and</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portions of any structured securities we issue that are backed by Freddie Mac securities.</w:t>
      </w:r>
    </w:p>
    <w:p>
      <w:pPr>
        <w:spacing w:after="0" w:line="87"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We and Freddie Mac issue single-family uniform mortgage-backed securities, or “UMBS.” We use the term “Fannie Mae MBS” or “our MBS” to refer to any type of mortgage-backed security that we issue, including UMBS</w:t>
      </w:r>
      <w:r>
        <w:rPr>
          <w:rFonts w:ascii="Arial" w:cs="Arial" w:eastAsia="Arial" w:hAnsi="Arial"/>
          <w:sz w:val="21"/>
          <w:szCs w:val="21"/>
          <w:color w:val="auto"/>
          <w:vertAlign w:val="superscript"/>
        </w:rPr>
        <w:t>®</w:t>
      </w:r>
      <w:r>
        <w:rPr>
          <w:rFonts w:ascii="Arial" w:cs="Arial" w:eastAsia="Arial" w:hAnsi="Arial"/>
          <w:sz w:val="16"/>
          <w:szCs w:val="16"/>
          <w:color w:val="auto"/>
        </w:rPr>
        <w:t>, Supers</w:t>
      </w:r>
      <w:r>
        <w:rPr>
          <w:rFonts w:ascii="Arial" w:cs="Arial" w:eastAsia="Arial" w:hAnsi="Arial"/>
          <w:sz w:val="21"/>
          <w:szCs w:val="21"/>
          <w:color w:val="auto"/>
          <w:vertAlign w:val="superscript"/>
        </w:rPr>
        <w:t>®</w:t>
      </w:r>
      <w:r>
        <w:rPr>
          <w:rFonts w:ascii="Arial" w:cs="Arial" w:eastAsia="Arial" w:hAnsi="Arial"/>
          <w:sz w:val="16"/>
          <w:szCs w:val="16"/>
          <w:color w:val="auto"/>
        </w:rPr>
        <w:t>, Real Estate Mortgage Investment Conduit securities (“REMICs”) and other types of single-family or multifamily mortgage-backed securities.</w:t>
      </w:r>
    </w:p>
    <w:p>
      <w:pPr>
        <w:spacing w:after="0" w:line="5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Some Fannie Mae MBS that we issue are backed in whole or in part by Freddie Mac securities. When we resecuritize Freddie Mac securities into Fannie Mae-issued structured securities, such as Supers and REMICs, our guaranty of principal and interest extends to the underlying Freddie Mac securities. However, Freddie Mac continues to guarantee the payment of principal and interest on the underlying Freddie Mac securities that we have resecuritized. References to our single-family guaranty book of business exclude Freddie Mac-acquired mortgage loans underlying Freddie Mac securities that we have resecuritized.</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Our issuance of structured securities backed in whole or in part by Freddie Mac securities creates additional off-balance sheet exposure. Our guaranty extends to the underlying Freddie Mac security included in the structured security, but we do not have control over the Freddie Mac mortgage loan securitizations.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7, Financial Guarantees” for information regarding our maximum exposure to loss on unconsolidated Fannie Mae MBS and Freddie Mac securities.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based on unpaid principal balance.</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4"/>
          </w:tcPr>
          <w:p>
            <w:pPr>
              <w:ind w:left="8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w w:val="96"/>
              </w:rPr>
              <w:t>Single-Family</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3,638,737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477,795</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4,116,532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3,647,344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471,812</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4,119,156</w:t>
            </w:r>
          </w:p>
        </w:tc>
      </w:tr>
      <w:tr>
        <w:trPr>
          <w:trHeight w:val="192"/>
        </w:trPr>
        <w:tc>
          <w:tcPr>
            <w:tcW w:w="4240" w:type="dxa"/>
            <w:vAlign w:val="bottom"/>
            <w:tcBorders>
              <w:bottom w:val="single" w:sz="8" w:color="2C6937"/>
            </w:tcBorders>
          </w:tcPr>
          <w:p>
            <w:pPr>
              <w:ind w:left="20"/>
              <w:spacing w:after="0" w:line="192" w:lineRule="exact"/>
              <w:rPr>
                <w:sz w:val="20"/>
                <w:szCs w:val="20"/>
                <w:color w:val="auto"/>
              </w:rPr>
            </w:pPr>
            <w:r>
              <w:rPr>
                <w:rFonts w:ascii="Arial" w:cs="Arial" w:eastAsia="Arial" w:hAnsi="Arial"/>
                <w:sz w:val="14"/>
                <w:szCs w:val="14"/>
                <w:color w:val="auto"/>
              </w:rPr>
              <w:t>Government guaranty book of business</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7,124</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515</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7,639</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7,901</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8,421</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3,645,861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478,310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4,124,171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3,655,245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472,332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4,127,577</w:t>
            </w:r>
          </w:p>
        </w:tc>
      </w:tr>
      <w:tr>
        <w:trPr>
          <w:trHeight w:val="195"/>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212,233</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212,233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215,605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215,605</w:t>
            </w:r>
          </w:p>
        </w:tc>
      </w:tr>
      <w:tr>
        <w:trPr>
          <w:trHeight w:val="185"/>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3,858,094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478,310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4,336,404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3,870,850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472,332</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4,343,182</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25"/>
        </w:numPr>
        <w:rPr>
          <w:rFonts w:ascii="Arial" w:cs="Arial" w:eastAsia="Arial" w:hAnsi="Arial"/>
          <w:sz w:val="9"/>
          <w:szCs w:val="9"/>
          <w:color w:val="auto"/>
        </w:rPr>
      </w:pPr>
      <w:r>
        <w:rPr>
          <w:rFonts w:ascii="Arial" w:cs="Arial" w:eastAsia="Arial" w:hAnsi="Arial"/>
          <w:sz w:val="14"/>
          <w:szCs w:val="14"/>
          <w:color w:val="auto"/>
        </w:rPr>
        <w:t>Refers to mortgage loans and mortgage-related securities that are not guaranteed or insured, in whole or in part, by the U.S. government.</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guaranteed or insured, in whole or in part, by the U.S. government.</w:t>
      </w:r>
    </w:p>
    <w:p>
      <w:pPr>
        <w:spacing w:after="0" w:line="37" w:lineRule="exact"/>
        <w:rPr>
          <w:rFonts w:ascii="Arial" w:cs="Arial" w:eastAsia="Arial" w:hAnsi="Arial"/>
          <w:sz w:val="18"/>
          <w:szCs w:val="18"/>
          <w:color w:val="auto"/>
          <w:vertAlign w:val="superscript"/>
        </w:rPr>
      </w:pPr>
    </w:p>
    <w:p>
      <w:pPr>
        <w:ind w:left="240" w:right="360" w:hanging="237"/>
        <w:spacing w:after="0" w:line="228" w:lineRule="auto"/>
        <w:tabs>
          <w:tab w:leader="none" w:pos="23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Consists of off-balance sheet arrangements of approximately (i) $176.8 billion and $179.6 billion in unpaid principal balance of Freddie Mac-issued UMBS backing Fannie Mae-issued Supers as of March 31, 2024 and December 31, 2023, respectively; and (ii) $35.4 billion and $36.0 billion in unpaid principal balance of Freddie Mac securities backing Fannie Mae-issued REMICs as of March 31, 2024 and December 31, 2023, respectively. See “Liquidity and Capital Management—Liquidity Management—Off-Balance Sheet Arrangements” for more information regarding our maximum exposure to loss on consolidated Fannie Mae MBS and Freddie Mac securities.</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Federal Housing Enterprises Financial Safety and Soundness Act of 1992, as amended (the “GSE Act”), requires us to set aside each year an amount equal to 4.2 basis points of the unpaid principal balance of our new business purchases and to pay this amount to specified U.S. Department of Housing and Urban Development (“HUD”) and Treasury funds in support of affordable housing. In March 2024, we paid $155 million to the funds based on our new business purchases in 2023. For the first quarter of 2024, we recognized an expense of $30 million related to this obligation based on $72.4 billion in new business purchases during the period. We expect to pay this amount to the funds in 2025, plus additional amounts to be accrued based on our new business purchases in the remaining nine months of 2024.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8" w:name="page19"/>
    <w:bookmarkEnd w:id="18"/>
    <w:p>
      <w:pPr>
        <w:ind w:left="9400"/>
        <w:spacing w:after="0"/>
        <w:rPr>
          <w:sz w:val="20"/>
          <w:szCs w:val="20"/>
          <w:color w:val="auto"/>
        </w:rPr>
      </w:pPr>
      <w:r>
        <w:rPr>
          <w:rFonts w:ascii="Arial" w:cs="Arial" w:eastAsia="Arial" w:hAnsi="Arial"/>
          <w:sz w:val="14"/>
          <w:szCs w:val="14"/>
          <w:color w:val="05314D"/>
        </w:rPr>
        <w:t>MD&amp;A |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wp:posOffset>
            </wp:positionV>
            <wp:extent cx="71139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two reportable business segments: Single-Family and Multifamily. The chart below displays net revenues and net income for each of our business segments for the first quarter of 2024 compared with the first quarter of 2023. Net revenues consist of net interest income and fee and other income.</w:t>
      </w:r>
    </w:p>
    <w:p>
      <w:pPr>
        <w:spacing w:after="0" w:line="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63C5E"/>
        </w:rPr>
        <w:t>Business Segment Net Revenues and Net Income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81280</wp:posOffset>
            </wp:positionV>
            <wp:extent cx="5321300" cy="1637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213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sections, we describe each segment’s business metrics, financial results and credit performance.</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1"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2023 Form 10-K. See “MD&amp;A—Single-Family Business” in our 2023 Form 10-K for additional information regarding the primary business activities, lenders, investors and competition of our Single-Family business.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63"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Housing activity increased in the first quarter of 2024 compared with the fourth quarter of 2023. Total existing home sales averaged 4.19 million units annualized in the first quarter of 2024, compared with 3.88 million units in the fourth quarter of 2023,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U.S. Census Bureau, new single-family home sales averaged an annualized rate of approximately 667,000 units in the first quarter of 2024, compared with approximately 644,000 units in the fourth quarter of 2023.</w:t>
      </w:r>
    </w:p>
    <w:p>
      <w:pPr>
        <w:spacing w:after="0" w:line="50"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The average 30-year fixed mortgage rate was 6.79% as of March 28, 2024, compared with 6.61% as of December 28, 2023, and averaged 6.75% in the first quarter of 2024, compared with 7.30% in the fourth quarter of 2023,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Single-family mortgage market originations increased modestly from an estimated $323 billion in the first quarter of 2023 to an estimated $330 billion in the first quarter of 2024. According to the April forecast from our Economic and Strategic Research Group, total originations in the U.S. single-family mortgage market in 2024 are forecasted to increase from 2023 levels by approximately 23%, from an estimated $1.47 trillion in 2023 to $1.81 trillion in 2024, and the amount of refinance originations in the U.S. single-family mortgage market are forecasted to increase from an estimated $248 billion in 2023 to $415 billion in 2024. Our Economic and Strategic Research Group’s April forecast is based on data available as of April 11, 2024. See “Key Market Economic Indicators” in our 2023 Form 10-K for additional discussion of how housing activity can affect our financial results and the uncertainties that may affect our forecasts and expectations.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4"/>
          <w:szCs w:val="14"/>
          <w:color w:val="05314D"/>
        </w:rPr>
        <w:t>MD&amp;A | Single-Family Business | 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single-family Fannie Mae MBS issuances were $65.1 billion for the first quarter of 2024, compared with $68.2 billion for the first quarter of 2023.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154940</wp:posOffset>
            </wp:positionV>
            <wp:extent cx="4715510" cy="2521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1551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16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6"/>
                <w:szCs w:val="16"/>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220" w:type="dxa"/>
            <w:vAlign w:val="bottom"/>
            <w:shd w:val="clear" w:color="auto" w:fill="5587A6"/>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-121920</wp:posOffset>
            </wp:positionV>
            <wp:extent cx="139065" cy="1225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9065" cy="122555"/>
                    </a:xfrm>
                    <a:prstGeom prst="rect">
                      <a:avLst/>
                    </a:prstGeom>
                    <a:noFill/>
                  </pic:spPr>
                </pic:pic>
              </a:graphicData>
            </a:graphic>
          </wp:anchor>
        </w:drawing>
      </w:r>
    </w:p>
    <w:p>
      <w:pPr>
        <w:spacing w:after="0" w:line="20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For several quarters, we have faced increased competition for the acquisition of single-family mortgage assets in a market environment of low overall single-family loan origination volumes. As discussed in our 2023 Form 10-K in “MD&amp;A—Single-Family Business—Single-Family Competition,” competition in the secondary mortgage market impacts our acquisitions of single-family mortgage assets.</w:t>
      </w:r>
    </w:p>
    <w:p>
      <w:pPr>
        <w:spacing w:after="0" w:line="58"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Decisions regarding the pricing and acquisition of single-family loans incorporate several different, and sometimes competing, factors, including regulatory requirements relating to capital, UMBS prepayment rates, and single-family housing goals. We must consider these requirements, as well as the competitive market environment described above, when pricing and acquiring single-family mortgage loans. For a discussion of factors that affect or could affect our business, our competitive environment, demand for our MBS, or the liquidity and market value of our MBS, as well as the risks associated with our conservatorship, our capital requirements relative to that of our primary competitor, our housing goals, the UMBS market and the performance of our MBS, see “Business—Conservatorship and Treasury Agreements,” “Business—Legislation and Regulation,” “Risk Factors” and “MD&amp;A—Single-Family Business—Single-Family Competition” in our 2023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0" w:name="page21"/>
    <w:bookmarkEnd w:id="20"/>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5591175" cy="18503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91175" cy="185039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37465</wp:posOffset>
            </wp:positionV>
            <wp:extent cx="147320" cy="984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201295</wp:posOffset>
            </wp:positionV>
            <wp:extent cx="155575" cy="984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48" w:right="339" w:bottom="1440" w:gutter="0" w:footer="0" w:header="0"/>
          <w:type w:val="continuous"/>
        </w:sectPr>
      </w:pPr>
    </w:p>
    <w:p>
      <w:pPr>
        <w:ind w:left="240" w:right="100" w:hanging="236"/>
        <w:spacing w:after="0"/>
        <w:tabs>
          <w:tab w:leader="none" w:pos="27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unpaid principal balance of our mortgage loans underlying Fannie Mae MBS outstanding. By contrast, the single-family conventional guaranty book of business presented in the “Composition of Fannie Mae Guaranty Book of Business” table in the “Guaranty Book of Business” section is based on the unpaid principal balance of the Fannie Mae MBS outstanding, rather than the unpaid principal balance of the underlying mortgage loans. These amounts differ primarily as a result of payments we receive on underlying loans that have not yet been paid to the MBS holders or instances where we have advanced missed borrower payments on mortgage loans to make required distributions to related MBS holders. As measured for purposes of the information reported in this section, our single-family conventional guaranty book of business was $3,625.6 billion as of March 31, 2024 and $3,636.7 billion as of December 31, 2023.</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6"/>
        </w:numPr>
        <w:rPr>
          <w:rFonts w:ascii="Arial" w:cs="Arial" w:eastAsia="Arial" w:hAnsi="Arial"/>
          <w:sz w:val="9"/>
          <w:szCs w:val="9"/>
          <w:color w:val="auto"/>
        </w:rPr>
      </w:pPr>
      <w:r>
        <w:rPr>
          <w:rFonts w:ascii="Arial" w:cs="Arial" w:eastAsia="Arial" w:hAnsi="Arial"/>
          <w:sz w:val="14"/>
          <w:szCs w:val="14"/>
          <w:color w:val="auto"/>
        </w:rPr>
        <w:t>Excludes the impact of a 10 basis point guaranty fee increase implemented pursuant to the TCCA, the incremental revenue from which is paid to Treasury and not retained by us.</w:t>
      </w:r>
    </w:p>
    <w:p>
      <w:pPr>
        <w:spacing w:after="0" w:line="45" w:lineRule="exact"/>
        <w:rPr>
          <w:rFonts w:ascii="Arial" w:cs="Arial" w:eastAsia="Arial" w:hAnsi="Arial"/>
          <w:sz w:val="9"/>
          <w:szCs w:val="9"/>
          <w:color w:val="auto"/>
        </w:rPr>
      </w:pPr>
    </w:p>
    <w:p>
      <w:pPr>
        <w:ind w:left="240" w:right="60" w:hanging="237"/>
        <w:spacing w:after="0" w:line="275" w:lineRule="auto"/>
        <w:tabs>
          <w:tab w:leader="none" w:pos="270" w:val="left"/>
        </w:tabs>
        <w:numPr>
          <w:ilvl w:val="0"/>
          <w:numId w:val="26"/>
        </w:numPr>
        <w:rPr>
          <w:rFonts w:ascii="Arial" w:cs="Arial" w:eastAsia="Arial" w:hAnsi="Arial"/>
          <w:sz w:val="8"/>
          <w:szCs w:val="8"/>
          <w:color w:val="auto"/>
        </w:rPr>
      </w:pPr>
      <w:r>
        <w:rPr>
          <w:rFonts w:ascii="Arial" w:cs="Arial" w:eastAsia="Arial" w:hAnsi="Arial"/>
          <w:sz w:val="13"/>
          <w:szCs w:val="13"/>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w:t>
      </w:r>
    </w:p>
    <w:p>
      <w:pPr>
        <w:ind w:left="240" w:right="100"/>
        <w:spacing w:after="0" w:line="299" w:lineRule="auto"/>
        <w:rPr>
          <w:rFonts w:ascii="Arial" w:cs="Arial" w:eastAsia="Arial" w:hAnsi="Arial"/>
          <w:sz w:val="8"/>
          <w:szCs w:val="8"/>
          <w:color w:val="auto"/>
        </w:rPr>
      </w:pPr>
      <w:r>
        <w:rPr>
          <w:rFonts w:ascii="Arial" w:cs="Arial" w:eastAsia="Arial" w:hAnsi="Arial"/>
          <w:sz w:val="13"/>
          <w:szCs w:val="13"/>
          <w:color w:val="auto"/>
        </w:rPr>
        <w:t>(b)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quarter-end balances.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single-family conventional loan acquisition volumes remained near historically low levels in the first quarter of 2024. Due to continued high interest rates in the first quarter of 2024, few borrowers could benefit from refinancing, resulting in low refinance volumes. In addition, housing affordability constraints and limited supply continued to put downward pressure on the volume of purchase loans we acquired.</w:t>
      </w:r>
    </w:p>
    <w:p>
      <w:pPr>
        <w:spacing w:after="0" w:line="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w:t>
      </w:r>
    </w:p>
    <w:p>
      <w:pPr>
        <w:spacing w:after="0" w:line="4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increased in the first quarter of 2024 compared with the first quarter of 2023, primarily as a result of higher base guaranty fees charged on new acquisitions.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1" w:name="page22"/>
    <w:bookmarkEnd w:id="21"/>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Financial Results</w:t>
      </w:r>
    </w:p>
    <w:p>
      <w:pPr>
        <w:spacing w:after="0" w:line="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This section provides a discussion of the primary components of net income for our Single-Family Business. This information complements the discussion of financial results in “Consolidated Results of Operations.”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Business Financial Results</w:t>
      </w:r>
      <w:r>
        <w:rPr>
          <w:rFonts w:ascii="Arial" w:cs="Arial" w:eastAsia="Arial" w:hAnsi="Arial"/>
          <w:sz w:val="24"/>
          <w:szCs w:val="24"/>
          <w:b w:val="1"/>
          <w:bCs w:val="1"/>
          <w:color w:val="05314D"/>
          <w:vertAlign w:val="superscript"/>
        </w:rPr>
        <w:t>(1)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8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900" w:type="dxa"/>
            <w:vAlign w:val="bottom"/>
            <w:tcBorders>
              <w:top w:val="single" w:sz="8" w:color="2C6937"/>
            </w:tcBorders>
            <w:gridSpan w:val="6"/>
          </w:tcPr>
          <w:p>
            <w:pPr>
              <w:ind w:left="140"/>
              <w:spacing w:after="0"/>
              <w:rPr>
                <w:sz w:val="20"/>
                <w:szCs w:val="20"/>
                <w:color w:val="auto"/>
              </w:rPr>
            </w:pPr>
            <w:r>
              <w:rPr>
                <w:rFonts w:ascii="Arial" w:cs="Arial" w:eastAsia="Arial" w:hAnsi="Arial"/>
                <w:sz w:val="14"/>
                <w:szCs w:val="14"/>
                <w:b w:val="1"/>
                <w:bCs w:val="1"/>
                <w:color w:val="auto"/>
              </w:rPr>
              <w:t>For the Three Months Ended March 31,</w:t>
            </w:r>
          </w:p>
        </w:tc>
        <w:tc>
          <w:tcPr>
            <w:tcW w:w="2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top w:val="single" w:sz="8" w:color="2C6937"/>
              <w:bottom w:val="single" w:sz="8" w:color="2C6937"/>
            </w:tcBorders>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1020" w:type="dxa"/>
            <w:vAlign w:val="bottom"/>
            <w:tcBorders>
              <w:top w:val="single" w:sz="8" w:color="2C6937"/>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980" w:type="dxa"/>
            <w:vAlign w:val="bottom"/>
            <w:gridSpan w:val="2"/>
            <w:vMerge w:val="restart"/>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(2)</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80" w:type="dxa"/>
            <w:vAlign w:val="bottom"/>
            <w:gridSpan w:val="2"/>
            <w:vMerge w:val="continue"/>
          </w:tcPr>
          <w:p>
            <w:pPr>
              <w:spacing w:after="0"/>
              <w:rPr>
                <w:sz w:val="17"/>
                <w:szCs w:val="17"/>
                <w:color w:val="auto"/>
              </w:rPr>
            </w:pPr>
          </w:p>
        </w:tc>
        <w:tc>
          <w:tcPr>
            <w:tcW w:w="840" w:type="dxa"/>
            <w:vAlign w:val="bottom"/>
          </w:tcPr>
          <w:p>
            <w:pPr>
              <w:jc w:val="right"/>
              <w:ind w:right="667"/>
              <w:spacing w:after="0"/>
              <w:rPr>
                <w:sz w:val="20"/>
                <w:szCs w:val="20"/>
                <w:color w:val="auto"/>
              </w:rPr>
            </w:pPr>
            <w:r>
              <w:rPr>
                <w:rFonts w:ascii="Arial" w:cs="Arial" w:eastAsia="Arial" w:hAnsi="Arial"/>
                <w:sz w:val="15"/>
                <w:szCs w:val="15"/>
                <w:b w:val="1"/>
                <w:bCs w:val="1"/>
                <w:color w:val="auto"/>
                <w:w w:val="95"/>
              </w:rPr>
              <w:t>$</w:t>
            </w: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5,874</w:t>
            </w: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5,672</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8"/>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55</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8"/>
        </w:trPr>
        <w:tc>
          <w:tcPr>
            <w:tcW w:w="6980" w:type="dxa"/>
            <w:vAlign w:val="bottom"/>
            <w:gridSpan w:val="2"/>
          </w:tcPr>
          <w:p>
            <w:pPr>
              <w:ind w:left="160"/>
              <w:spacing w:after="0"/>
              <w:rPr>
                <w:sz w:val="20"/>
                <w:szCs w:val="20"/>
                <w:color w:val="auto"/>
              </w:rPr>
            </w:pPr>
            <w:r>
              <w:rPr>
                <w:rFonts w:ascii="Arial" w:cs="Arial" w:eastAsia="Arial" w:hAnsi="Arial"/>
                <w:sz w:val="15"/>
                <w:szCs w:val="15"/>
                <w:color w:val="auto"/>
              </w:rPr>
              <w:t>Net revenues</w:t>
            </w:r>
          </w:p>
        </w:tc>
        <w:tc>
          <w:tcPr>
            <w:tcW w:w="8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5,929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5,720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206"/>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8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6"/>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Fair value gains, net</w:t>
            </w:r>
          </w:p>
        </w:tc>
        <w:tc>
          <w:tcPr>
            <w:tcW w:w="8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484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206"/>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(777)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7"/>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Benefit for credit losses</w:t>
            </w:r>
          </w:p>
        </w:tc>
        <w:tc>
          <w:tcPr>
            <w:tcW w:w="8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335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line="216"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0"/>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(353)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19"/>
        </w:trPr>
        <w:tc>
          <w:tcPr>
            <w:tcW w:w="698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17"/>
        </w:trPr>
        <w:tc>
          <w:tcPr>
            <w:tcW w:w="6880" w:type="dxa"/>
            <w:vAlign w:val="bottom"/>
            <w:tcBorders>
              <w:bottom w:val="single" w:sz="8" w:color="2C6937"/>
            </w:tcBorders>
          </w:tcPr>
          <w:p>
            <w:pPr>
              <w:ind w:left="20"/>
              <w:spacing w:after="0" w:line="21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(176)</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98"/>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8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4,553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3,979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08"/>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(946)</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(847)</w:t>
            </w:r>
          </w:p>
        </w:tc>
        <w:tc>
          <w:tcPr>
            <w:tcW w:w="8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99"/>
        </w:trPr>
        <w:tc>
          <w:tcPr>
            <w:tcW w:w="6980" w:type="dxa"/>
            <w:vAlign w:val="bottom"/>
            <w:gridSpan w:val="2"/>
          </w:tcPr>
          <w:p>
            <w:pPr>
              <w:ind w:left="160"/>
              <w:spacing w:after="0"/>
              <w:rPr>
                <w:sz w:val="20"/>
                <w:szCs w:val="20"/>
                <w:color w:val="auto"/>
              </w:rPr>
            </w:pPr>
            <w:r>
              <w:rPr>
                <w:rFonts w:ascii="Arial" w:cs="Arial" w:eastAsia="Arial" w:hAnsi="Arial"/>
                <w:sz w:val="15"/>
                <w:szCs w:val="15"/>
                <w:color w:val="auto"/>
              </w:rPr>
              <w:t>Net income</w:t>
            </w:r>
          </w:p>
        </w:tc>
        <w:tc>
          <w:tcPr>
            <w:tcW w:w="840" w:type="dxa"/>
            <w:vAlign w:val="bottom"/>
          </w:tcPr>
          <w:p>
            <w:pPr>
              <w:jc w:val="right"/>
              <w:ind w:right="667"/>
              <w:spacing w:after="0"/>
              <w:rPr>
                <w:sz w:val="20"/>
                <w:szCs w:val="20"/>
                <w:color w:val="auto"/>
              </w:rPr>
            </w:pPr>
            <w:r>
              <w:rPr>
                <w:rFonts w:ascii="Arial" w:cs="Arial" w:eastAsia="Arial" w:hAnsi="Arial"/>
                <w:sz w:val="15"/>
                <w:szCs w:val="15"/>
                <w:b w:val="1"/>
                <w:bCs w:val="1"/>
                <w:color w:val="auto"/>
                <w:w w:val="95"/>
              </w:rPr>
              <w:t>$</w:t>
            </w: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3,607</w:t>
            </w: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3,132</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20"/>
        </w:trPr>
        <w:tc>
          <w:tcPr>
            <w:tcW w:w="6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9"/>
          <w:szCs w:val="9"/>
          <w:color w:val="auto"/>
        </w:rPr>
      </w:pPr>
      <w:r>
        <w:rPr>
          <w:rFonts w:ascii="Arial" w:cs="Arial" w:eastAsia="Arial" w:hAnsi="Arial"/>
          <w:sz w:val="14"/>
          <w:szCs w:val="14"/>
          <w:color w:val="auto"/>
        </w:rPr>
        <w:t>See “Note 10, Segment Reporting” for information about our segment allocation methodology.</w:t>
      </w:r>
    </w:p>
    <w:p>
      <w:pPr>
        <w:spacing w:after="0" w:line="45" w:lineRule="exact"/>
        <w:rPr>
          <w:rFonts w:ascii="Arial" w:cs="Arial" w:eastAsia="Arial" w:hAnsi="Arial"/>
          <w:sz w:val="9"/>
          <w:szCs w:val="9"/>
          <w:color w:val="auto"/>
        </w:rPr>
      </w:pPr>
    </w:p>
    <w:p>
      <w:pPr>
        <w:ind w:left="240" w:right="200" w:hanging="237"/>
        <w:spacing w:after="0" w:line="226"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Reflects the impact of a 10 basis point guaranty fee increase implemented pursuant to the TCCA, the incremental revenue from which is paid to Treasury. The resulting revenue is included in “Net interest income” and the expense is recognized as “TCCA fees.”</w:t>
      </w:r>
    </w:p>
    <w:p>
      <w:pPr>
        <w:spacing w:after="0" w:line="27" w:lineRule="exact"/>
        <w:rPr>
          <w:rFonts w:ascii="Arial" w:cs="Arial" w:eastAsia="Arial" w:hAnsi="Arial"/>
          <w:sz w:val="18"/>
          <w:szCs w:val="18"/>
          <w:color w:val="auto"/>
          <w:vertAlign w:val="superscript"/>
        </w:rPr>
      </w:pPr>
    </w:p>
    <w:p>
      <w:pPr>
        <w:ind w:left="240" w:right="420" w:hanging="237"/>
        <w:spacing w:after="0" w:line="226"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single-family freestanding credit enhancements, which primarily relate to our CAS and CIRT programs.</w:t>
      </w:r>
    </w:p>
    <w:p>
      <w:pPr>
        <w:spacing w:after="0" w:line="14" w:lineRule="exact"/>
        <w:rPr>
          <w:rFonts w:ascii="Arial" w:cs="Arial" w:eastAsia="Arial" w:hAnsi="Arial"/>
          <w:sz w:val="18"/>
          <w:szCs w:val="18"/>
          <w:color w:val="auto"/>
          <w:vertAlign w:val="superscript"/>
        </w:rPr>
      </w:pPr>
    </w:p>
    <w:p>
      <w:pPr>
        <w:ind w:left="240" w:right="280" w:hanging="237"/>
        <w:spacing w:after="0" w:line="278" w:lineRule="auto"/>
        <w:tabs>
          <w:tab w:leader="none" w:pos="233" w:val="left"/>
        </w:tabs>
        <w:numPr>
          <w:ilvl w:val="0"/>
          <w:numId w:val="27"/>
        </w:numPr>
        <w:rPr>
          <w:rFonts w:ascii="Arial" w:cs="Arial" w:eastAsia="Arial" w:hAnsi="Arial"/>
          <w:sz w:val="9"/>
          <w:szCs w:val="9"/>
          <w:color w:val="auto"/>
        </w:rPr>
      </w:pPr>
      <w:r>
        <w:rPr>
          <w:rFonts w:ascii="Arial" w:cs="Arial" w:eastAsia="Arial" w:hAnsi="Arial"/>
          <w:sz w:val="14"/>
          <w:szCs w:val="14"/>
          <w:color w:val="auto"/>
        </w:rPr>
        <w:t>Consists of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Net Interest Income</w:t>
      </w:r>
    </w:p>
    <w:p>
      <w:pPr>
        <w:spacing w:after="0" w:line="10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increase in single-family net interest income for the first quarter of 2024 compared with the first quarter of 2023 was primarily as a result of higher net interest income from portfolios and higher base guaranty fee income.</w:t>
      </w:r>
    </w:p>
    <w:p>
      <w:pPr>
        <w:spacing w:after="0" w:line="15"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drivers of net interest income for the Single-Family segment are consistent with the drivers of net interest income in our condensed consolidated statements of operations and comprehensive income. See “Consolidated Results of Operations—Net Interest Income” for more information on the factors that impact our single-family net interest income.</w:t>
      </w:r>
    </w:p>
    <w:p>
      <w:pPr>
        <w:spacing w:after="0" w:line="8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Fair Value Gains, Net</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Fair value gains, net in the first quarter of 2024 were primarily driven by gains on risk management derivatives, mortgage commitment derivatives, and long-term debt of consolidated trusts held at fair value, primarily due to increasing interest rates. These gains were partially offset by the impact of declining prices of fixed-rate trading securities, also primarily driven by increasing interest rates.</w:t>
      </w:r>
    </w:p>
    <w:p>
      <w:pPr>
        <w:spacing w:after="0" w:line="71"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Fair value gains, net in the first quarter of 2023 were primarily driven by gains on fixed-rate trading securities, primarily U.S. Treasuries, held in our corporate liquidity portfolio. These gains were partially offset by losses in the fair value of long-term debt of consolidated trusts held at fair value and risk management derivatives.</w:t>
      </w:r>
    </w:p>
    <w:p>
      <w:pPr>
        <w:spacing w:after="0" w:line="32"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The drivers of fair value gains, net for the Single-Family segment are consistent with the drivers of fair value gains, net in our condensed consolidated statements of operations and comprehensive income, which we discuss in “Consolidated Results of Operations—Fair Value Gains, Net.”</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2" w:name="page23"/>
    <w:bookmarkEnd w:id="22"/>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Benefit for Credit Losses</w:t>
      </w:r>
    </w:p>
    <w:p>
      <w:pPr>
        <w:spacing w:after="0" w:line="6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single-family benefit for credit losses in the first quarter of 2024 was primarily driven by a benefit from forecasted home price growth, partially offset by a provision from changes in loan activity and a provision from actual and projected interest rates.</w:t>
      </w:r>
    </w:p>
    <w:p>
      <w:pPr>
        <w:spacing w:after="0" w:line="15"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We recognized a modest single-family benefit for credit losses in the first quarter of 2023, primarily driven by a benefit from improvements in actual and forecasted home prices, substantially offset by a provision on newly acquired loans.</w:t>
      </w:r>
    </w:p>
    <w:p>
      <w:pPr>
        <w:spacing w:after="0" w:line="2"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See “Consolidated Results of Operations—Benefit (Provision) for Credit Losses” for more information on the primary factors that contributed to our single-family benefit for credit losses.</w:t>
      </w:r>
    </w:p>
    <w:p>
      <w:pPr>
        <w:spacing w:after="0" w:line="4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63"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This section updates our discussion of single-family mortgage credit risk management in our 2023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2023 Form 10-K.</w:t>
      </w:r>
    </w:p>
    <w:p>
      <w:pPr>
        <w:spacing w:after="0" w:line="74" w:lineRule="exact"/>
        <w:rPr>
          <w:sz w:val="20"/>
          <w:szCs w:val="20"/>
          <w:color w:val="auto"/>
        </w:rPr>
      </w:pPr>
    </w:p>
    <w:p>
      <w:pPr>
        <w:ind w:right="2100"/>
        <w:spacing w:after="0" w:line="345" w:lineRule="auto"/>
        <w:rPr>
          <w:sz w:val="20"/>
          <w:szCs w:val="20"/>
          <w:color w:val="auto"/>
        </w:rPr>
      </w:pPr>
      <w:r>
        <w:rPr>
          <w:rFonts w:ascii="Georgia" w:cs="Georgia" w:eastAsia="Georgia" w:hAnsi="Georgia"/>
          <w:sz w:val="19"/>
          <w:szCs w:val="19"/>
          <w:b w:val="1"/>
          <w:bCs w:val="1"/>
          <w:i w:val="1"/>
          <w:iCs w:val="1"/>
          <w:color w:val="05314D"/>
        </w:rPr>
        <w:t xml:space="preserve">Single-Family Acquisition and Servicing Policies and Underwriting and Servicing Standards </w:t>
      </w:r>
      <w:r>
        <w:rPr>
          <w:rFonts w:ascii="Georgia" w:cs="Georgia" w:eastAsia="Georgia" w:hAnsi="Georgia"/>
          <w:sz w:val="19"/>
          <w:szCs w:val="19"/>
          <w:i w:val="1"/>
          <w:iCs w:val="1"/>
          <w:color w:val="05314D"/>
        </w:rPr>
        <w:t>Desktop Underwriter Update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As part of our comprehensive risk management approach, we periodically update our proprietary automated underwriting system, Desktop Underwriter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(“DU</w:t>
      </w:r>
      <w:r>
        <w:rPr>
          <w:rFonts w:ascii="Arial" w:cs="Arial" w:eastAsia="Arial" w:hAnsi="Arial"/>
          <w:sz w:val="21"/>
          <w:szCs w:val="21"/>
          <w:color w:val="auto"/>
          <w:vertAlign w:val="superscript"/>
        </w:rPr>
        <w:t>®</w:t>
      </w:r>
      <w:r>
        <w:rPr>
          <w:rFonts w:ascii="Arial" w:cs="Arial" w:eastAsia="Arial" w:hAnsi="Arial"/>
          <w:sz w:val="16"/>
          <w:szCs w:val="16"/>
          <w:color w:val="auto"/>
        </w:rPr>
        <w:t>”), to reflect changes to our underwriting and eligibility guidelines. In March 2024, we implemented updates to DU to allow lenders to use a single 12-month asset verification report in the DU validation service to identify recurring deposits in the applicant’s digital bank statement data to automatically validate income and employment, as well as assets, in one step. The same report also can be used to identify and consider the applicant’s positive rent payment and cash flow history. We believe this update may help lenders improve operational efficiency and lower costs, as well as potentially increase the number of borrowers that receive an approve/eligible recommendation in DU by assessing eligibility through rent payment identification and cash flow assessment. We will continue to closely monitor loan acquisitions and market conditions and, as appropriate, make changes to DU, including its eligibility criteria, so that the loans we acquire are consistent with our risk appetite and mission.</w:t>
      </w:r>
    </w:p>
    <w:p>
      <w:pPr>
        <w:spacing w:after="0" w:line="9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New Credit Score Models and Credit Report Requirements</w:t>
      </w:r>
    </w:p>
    <w:p>
      <w:pPr>
        <w:spacing w:after="0" w:line="80"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Fannie Mae uses credit scores to establish a minimum credit threshold for mortgage lending, provide a foundation for risk-based pricing, and support disclosures to investors. We currently use the “classic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from Fair Isaac Corporation as our credit score model, which FHFA has approved.</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In October 2022, FHFA announced the validation and approval of two new credit score models for use by Fannie Mae and Freddie Mac: the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10 T credit score model and the VantageScore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4.0 credit score model. Once implemented, lenders will be required to deliver both FICO Score 10 T and VantageScore 4.0 credit scores with each loan sold to us when available, replacing the classic FICO Score model. FHFA also announced in October 2022 that Fannie Mae and Freddie Mac will work toward changing the requirement that lenders provide credit reports from all three nationwide consumer reporting agencies. Instead, we will require lenders to provide credit reports from at least two of the three nationwide consumer reporting agencies (referred to as the new bi-merge credit reporting requirements).</w:t>
      </w:r>
    </w:p>
    <w:p>
      <w:pPr>
        <w:spacing w:after="0" w:line="5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February 2024, FHFA announced updates regarding the implementation of the new credit score requirements for loans acquired by Fannie Mae and Freddie Mac, as well as the new bi-merge credit reporting requirements. FHFA announced that the implementation dates for both new requirements would be aligned and expected to occur in the fourth quarter of 2025. FHFA also announced that, to better support market participants with this transition, Fannie Mae and Freddie Mac will accelerate the publication of VantageScore 4.0 historical data to early in the third quarter of 2024. The FHFA Director stated that synchronizing bi-merge credit reporting with the implementation of the new credit score model requirements will reduce complexity for market participants.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3" w:name="page24"/>
    <w:bookmarkEnd w:id="23"/>
    <w:p>
      <w:pPr>
        <w:jc w:val="right"/>
        <w:ind w:right="12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10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2023 Form 10-K.</w:t>
      </w:r>
    </w:p>
    <w:p>
      <w:pPr>
        <w:spacing w:after="0" w:line="35" w:lineRule="exact"/>
        <w:rPr>
          <w:sz w:val="20"/>
          <w:szCs w:val="20"/>
          <w:color w:val="auto"/>
        </w:rPr>
      </w:pPr>
    </w:p>
    <w:p>
      <w:pPr>
        <w:jc w:val="both"/>
        <w:ind w:right="620"/>
        <w:spacing w:after="0" w:line="281" w:lineRule="auto"/>
        <w:rPr>
          <w:sz w:val="20"/>
          <w:szCs w:val="20"/>
          <w:color w:val="auto"/>
        </w:rPr>
      </w:pPr>
      <w:r>
        <w:rPr>
          <w:rFonts w:ascii="Arial" w:cs="Arial" w:eastAsia="Arial" w:hAnsi="Arial"/>
          <w:sz w:val="16"/>
          <w:szCs w:val="16"/>
          <w:color w:val="auto"/>
        </w:rPr>
        <w:t>We provide additional information on the credit characteristics of our single-family loans in quarterly financial supplements, which we furnish to the Securities and Exchange Commission (the “SEC”) with current reports on Form 8-K and make available on our website. Information in our quarterly financial supplements is not incorporated by reference into this report.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Percent of Single-Family Conventional Business Volume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Percent of Single-Family Conventional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80" w:type="dxa"/>
            <w:vAlign w:val="bottom"/>
            <w:gridSpan w:val="3"/>
          </w:tcPr>
          <w:p>
            <w:pPr>
              <w:jc w:val="center"/>
              <w:ind w:right="540"/>
              <w:spacing w:after="0" w:line="141" w:lineRule="exact"/>
              <w:rPr>
                <w:sz w:val="20"/>
                <w:szCs w:val="20"/>
                <w:color w:val="auto"/>
              </w:rPr>
            </w:pPr>
            <w:r>
              <w:rPr>
                <w:rFonts w:ascii="Arial" w:cs="Arial" w:eastAsia="Arial" w:hAnsi="Arial"/>
                <w:sz w:val="13"/>
                <w:szCs w:val="13"/>
                <w:b w:val="1"/>
                <w:bCs w:val="1"/>
                <w:color w:val="auto"/>
              </w:rPr>
              <w:t>at Acquisition</w:t>
            </w:r>
            <w:r>
              <w:rPr>
                <w:rFonts w:ascii="Arial" w:cs="Arial" w:eastAsia="Arial" w:hAnsi="Arial"/>
                <w:sz w:val="16"/>
                <w:szCs w:val="16"/>
                <w:b w:val="1"/>
                <w:bCs w:val="1"/>
                <w:color w:val="auto"/>
                <w:vertAlign w:val="superscript"/>
              </w:rPr>
              <w:t>(2)</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3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Borders>
              <w:bottom w:val="single" w:sz="8" w:color="2C6937"/>
            </w:tcBorders>
          </w:tcPr>
          <w:p>
            <w:pPr>
              <w:spacing w:after="0"/>
              <w:rPr>
                <w:sz w:val="5"/>
                <w:szCs w:val="5"/>
                <w:color w:val="auto"/>
              </w:rPr>
            </w:pPr>
          </w:p>
        </w:tc>
        <w:tc>
          <w:tcPr>
            <w:tcW w:w="660" w:type="dxa"/>
            <w:vAlign w:val="bottom"/>
            <w:tcBorders>
              <w:bottom w:val="single" w:sz="8" w:color="2C6937"/>
            </w:tcBorders>
          </w:tcPr>
          <w:p>
            <w:pPr>
              <w:spacing w:after="0"/>
              <w:rPr>
                <w:sz w:val="5"/>
                <w:szCs w:val="5"/>
                <w:color w:val="auto"/>
              </w:rPr>
            </w:pPr>
          </w:p>
        </w:tc>
        <w:tc>
          <w:tcPr>
            <w:tcW w:w="240" w:type="dxa"/>
            <w:vAlign w:val="bottom"/>
            <w:tcBorders>
              <w:bottom w:val="single" w:sz="8" w:color="2C6937"/>
            </w:tcBorders>
          </w:tcPr>
          <w:p>
            <w:pPr>
              <w:spacing w:after="0"/>
              <w:rPr>
                <w:sz w:val="5"/>
                <w:szCs w:val="5"/>
                <w:color w:val="auto"/>
              </w:rPr>
            </w:pPr>
          </w:p>
        </w:tc>
        <w:tc>
          <w:tcPr>
            <w:tcW w:w="1180" w:type="dxa"/>
            <w:vAlign w:val="bottom"/>
            <w:tcBorders>
              <w:bottom w:val="single" w:sz="8" w:color="2C6937"/>
            </w:tcBorders>
          </w:tcPr>
          <w:p>
            <w:pPr>
              <w:spacing w:after="0"/>
              <w:rPr>
                <w:sz w:val="5"/>
                <w:szCs w:val="5"/>
                <w:color w:val="auto"/>
              </w:rPr>
            </w:pPr>
          </w:p>
        </w:tc>
        <w:tc>
          <w:tcPr>
            <w:tcW w:w="580" w:type="dxa"/>
            <w:vAlign w:val="bottom"/>
            <w:tcBorders>
              <w:bottom w:val="single" w:sz="8" w:color="2C6937"/>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500" w:type="dxa"/>
            <w:vAlign w:val="bottom"/>
            <w:gridSpan w:val="4"/>
            <w:vMerge w:val="restart"/>
          </w:tcPr>
          <w:p>
            <w:pPr>
              <w:jc w:val="center"/>
              <w:spacing w:after="0" w:line="133" w:lineRule="exact"/>
              <w:rPr>
                <w:sz w:val="20"/>
                <w:szCs w:val="20"/>
                <w:color w:val="auto"/>
              </w:rPr>
            </w:pPr>
            <w:r>
              <w:rPr>
                <w:rFonts w:ascii="Arial" w:cs="Arial" w:eastAsia="Arial" w:hAnsi="Arial"/>
                <w:sz w:val="12"/>
                <w:szCs w:val="12"/>
                <w:b w:val="1"/>
                <w:bCs w:val="1"/>
                <w:color w:val="auto"/>
              </w:rPr>
              <w:t>Guaranty Book of Business</w:t>
            </w:r>
            <w:r>
              <w:rPr>
                <w:rFonts w:ascii="Arial" w:cs="Arial" w:eastAsia="Arial" w:hAnsi="Arial"/>
                <w:sz w:val="15"/>
                <w:szCs w:val="15"/>
                <w:b w:val="1"/>
                <w:bCs w:val="1"/>
                <w:color w:val="auto"/>
                <w:vertAlign w:val="superscript"/>
              </w:rPr>
              <w:t>(3)</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0" w:type="dxa"/>
            <w:vAlign w:val="bottom"/>
            <w:gridSpan w:val="4"/>
            <w:vMerge w:val="restart"/>
          </w:tcPr>
          <w:p>
            <w:pPr>
              <w:jc w:val="center"/>
              <w:ind w:left="511"/>
              <w:spacing w:after="0"/>
              <w:rPr>
                <w:sz w:val="20"/>
                <w:szCs w:val="20"/>
                <w:color w:val="auto"/>
              </w:rPr>
            </w:pPr>
            <w:r>
              <w:rPr>
                <w:rFonts w:ascii="Arial" w:cs="Arial" w:eastAsia="Arial" w:hAnsi="Arial"/>
                <w:sz w:val="14"/>
                <w:szCs w:val="14"/>
                <w:b w:val="1"/>
                <w:bCs w:val="1"/>
                <w:color w:val="auto"/>
                <w:w w:val="98"/>
              </w:rPr>
              <w:t>For the Three Months Ended March 31,</w:t>
            </w: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tcBorders>
              <w:bottom w:val="single" w:sz="8" w:color="2C6937"/>
            </w:tcBorders>
            <w:gridSpan w:val="4"/>
            <w:vMerge w:val="continue"/>
          </w:tcPr>
          <w:p>
            <w:pPr>
              <w:spacing w:after="0"/>
              <w:rPr>
                <w:sz w:val="15"/>
                <w:szCs w:val="15"/>
                <w:color w:val="auto"/>
              </w:rPr>
            </w:pPr>
          </w:p>
        </w:tc>
        <w:tc>
          <w:tcPr>
            <w:tcW w:w="580" w:type="dxa"/>
            <w:vAlign w:val="bottom"/>
            <w:tcBorders>
              <w:bottom w:val="single" w:sz="8" w:color="2C6937"/>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tcPr>
          <w:p>
            <w:pPr>
              <w:spacing w:after="0"/>
              <w:rPr>
                <w:sz w:val="15"/>
                <w:szCs w:val="15"/>
                <w:color w:val="auto"/>
              </w:rPr>
            </w:pPr>
          </w:p>
        </w:tc>
        <w:tc>
          <w:tcPr>
            <w:tcW w:w="46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52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9"/>
              </w:rPr>
              <w:t>December 31, 2023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120" w:type="dxa"/>
            <w:vAlign w:val="bottom"/>
            <w:tcBorders>
              <w:top w:val="single" w:sz="8" w:color="2C6937"/>
            </w:tcBorders>
          </w:tcPr>
          <w:p>
            <w:pPr>
              <w:spacing w:after="0"/>
              <w:rPr>
                <w:sz w:val="19"/>
                <w:szCs w:val="19"/>
                <w:color w:val="auto"/>
              </w:rPr>
            </w:pPr>
          </w:p>
        </w:tc>
        <w:tc>
          <w:tcPr>
            <w:tcW w:w="660" w:type="dxa"/>
            <w:vAlign w:val="bottom"/>
            <w:tcBorders>
              <w:top w:val="single" w:sz="8" w:color="2C6937"/>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top w:val="single" w:sz="8" w:color="2C6937"/>
            </w:tcBorders>
          </w:tcPr>
          <w:p>
            <w:pPr>
              <w:spacing w:after="0"/>
              <w:rPr>
                <w:sz w:val="19"/>
                <w:szCs w:val="19"/>
                <w:color w:val="auto"/>
              </w:rPr>
            </w:pPr>
          </w:p>
        </w:tc>
        <w:tc>
          <w:tcPr>
            <w:tcW w:w="580" w:type="dxa"/>
            <w:vAlign w:val="bottom"/>
            <w:tcBorders>
              <w:top w:val="single" w:sz="8" w:color="2C6937"/>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2C6937"/>
            </w:tcBorders>
          </w:tcPr>
          <w:p>
            <w:pPr>
              <w:spacing w:after="0"/>
              <w:rPr>
                <w:sz w:val="19"/>
                <w:szCs w:val="19"/>
                <w:color w:val="auto"/>
              </w:rPr>
            </w:pPr>
          </w:p>
        </w:tc>
        <w:tc>
          <w:tcPr>
            <w:tcW w:w="1520" w:type="dxa"/>
            <w:vAlign w:val="bottom"/>
            <w:tcBorders>
              <w:top w:val="single" w:sz="8" w:color="2C6937"/>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2C6937"/>
            </w:tcBorders>
          </w:tcPr>
          <w:p>
            <w:pPr>
              <w:spacing w:after="0"/>
              <w:rPr>
                <w:sz w:val="19"/>
                <w:szCs w:val="19"/>
                <w:color w:val="auto"/>
              </w:rPr>
            </w:pPr>
          </w:p>
        </w:tc>
        <w:tc>
          <w:tcPr>
            <w:tcW w:w="1520" w:type="dxa"/>
            <w:vAlign w:val="bottom"/>
            <w:tcBorders>
              <w:top w:val="single" w:sz="8" w:color="2C6937"/>
            </w:tcBorders>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8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0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6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78</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1180" w:type="dxa"/>
            <w:vAlign w:val="bottom"/>
            <w:shd w:val="clear" w:color="auto" w:fill="CBC8C3"/>
          </w:tcPr>
          <w:p>
            <w:pPr>
              <w:spacing w:after="0"/>
              <w:rPr>
                <w:sz w:val="18"/>
                <w:szCs w:val="18"/>
                <w:color w:val="auto"/>
              </w:rPr>
            </w:pPr>
          </w:p>
        </w:tc>
        <w:tc>
          <w:tcPr>
            <w:tcW w:w="5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79</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26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73</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73</w:t>
            </w:r>
          </w:p>
        </w:tc>
        <w:tc>
          <w:tcPr>
            <w:tcW w:w="18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8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120" w:type="dxa"/>
            <w:vAlign w:val="bottom"/>
          </w:tcPr>
          <w:p>
            <w:pPr>
              <w:jc w:val="right"/>
              <w:ind w:right="951"/>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325,938</w:t>
            </w:r>
          </w:p>
        </w:tc>
        <w:tc>
          <w:tcPr>
            <w:tcW w:w="1420" w:type="dxa"/>
            <w:vAlign w:val="bottom"/>
            <w:gridSpan w:val="2"/>
          </w:tcPr>
          <w:p>
            <w:pPr>
              <w:jc w:val="right"/>
              <w:ind w:right="10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313,986</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207,933</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207,883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17,437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17,494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6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1120" w:type="dxa"/>
            <w:vAlign w:val="bottom"/>
            <w:tcBorders>
              <w:bottom w:val="single" w:sz="8" w:color="CBC8C3"/>
            </w:tcBorders>
          </w:tcPr>
          <w:p>
            <w:pPr>
              <w:spacing w:after="0" w:line="20" w:lineRule="exact"/>
              <w:rPr>
                <w:sz w:val="1"/>
                <w:szCs w:val="1"/>
                <w:color w:val="auto"/>
              </w:rPr>
            </w:pPr>
          </w:p>
        </w:tc>
        <w:tc>
          <w:tcPr>
            <w:tcW w:w="66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180" w:type="dxa"/>
            <w:vAlign w:val="bottom"/>
            <w:tcBorders>
              <w:bottom w:val="single" w:sz="8" w:color="CBC8C3"/>
            </w:tcBorders>
          </w:tcPr>
          <w:p>
            <w:pPr>
              <w:spacing w:after="0" w:line="20" w:lineRule="exact"/>
              <w:rPr>
                <w:sz w:val="1"/>
                <w:szCs w:val="1"/>
                <w:color w:val="auto"/>
              </w:rPr>
            </w:pPr>
          </w:p>
        </w:tc>
        <w:tc>
          <w:tcPr>
            <w:tcW w:w="58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0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6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180" w:type="dxa"/>
            <w:vAlign w:val="bottom"/>
            <w:shd w:val="clear" w:color="auto" w:fill="CBC8C3"/>
          </w:tcPr>
          <w:p>
            <w:pPr>
              <w:spacing w:after="0"/>
              <w:rPr>
                <w:sz w:val="18"/>
                <w:szCs w:val="18"/>
                <w:color w:val="auto"/>
              </w:rPr>
            </w:pPr>
          </w:p>
        </w:tc>
        <w:tc>
          <w:tcPr>
            <w:tcW w:w="58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51</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51</w:t>
            </w:r>
          </w:p>
        </w:tc>
        <w:tc>
          <w:tcPr>
            <w:tcW w:w="18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08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 %</w:t>
            </w:r>
          </w:p>
        </w:tc>
        <w:tc>
          <w:tcPr>
            <w:tcW w:w="1180" w:type="dxa"/>
            <w:vAlign w:val="bottom"/>
          </w:tcPr>
          <w:p>
            <w:pPr>
              <w:spacing w:after="0"/>
              <w:rPr>
                <w:sz w:val="17"/>
                <w:szCs w:val="17"/>
                <w:color w:val="auto"/>
              </w:rPr>
            </w:pPr>
          </w:p>
        </w:tc>
        <w:tc>
          <w:tcPr>
            <w:tcW w:w="820" w:type="dxa"/>
            <w:vAlign w:val="bottom"/>
            <w:gridSpan w:val="2"/>
          </w:tcPr>
          <w:p>
            <w:pPr>
              <w:jc w:val="right"/>
              <w:ind w:right="31"/>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7"/>
                <w:szCs w:val="17"/>
                <w:color w:val="auto"/>
              </w:rPr>
            </w:pPr>
          </w:p>
        </w:tc>
        <w:tc>
          <w:tcPr>
            <w:tcW w:w="17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0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8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71</w:t>
            </w:r>
          </w:p>
        </w:tc>
        <w:tc>
          <w:tcPr>
            <w:tcW w:w="24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66</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0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6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757</w:t>
            </w:r>
          </w:p>
        </w:tc>
        <w:tc>
          <w:tcPr>
            <w:tcW w:w="240" w:type="dxa"/>
            <w:vAlign w:val="bottom"/>
            <w:shd w:val="clear" w:color="auto" w:fill="CBC8C3"/>
          </w:tcPr>
          <w:p>
            <w:pPr>
              <w:spacing w:after="0"/>
              <w:rPr>
                <w:sz w:val="18"/>
                <w:szCs w:val="18"/>
                <w:color w:val="auto"/>
              </w:rPr>
            </w:pPr>
          </w:p>
        </w:tc>
        <w:tc>
          <w:tcPr>
            <w:tcW w:w="1180" w:type="dxa"/>
            <w:vAlign w:val="bottom"/>
            <w:shd w:val="clear" w:color="auto" w:fill="CBC8C3"/>
          </w:tcPr>
          <w:p>
            <w:pPr>
              <w:spacing w:after="0"/>
              <w:rPr>
                <w:sz w:val="18"/>
                <w:szCs w:val="18"/>
                <w:color w:val="auto"/>
              </w:rPr>
            </w:pPr>
          </w:p>
        </w:tc>
        <w:tc>
          <w:tcPr>
            <w:tcW w:w="5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751</w:t>
            </w:r>
          </w:p>
        </w:tc>
        <w:tc>
          <w:tcPr>
            <w:tcW w:w="24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 origination:</w:t>
            </w:r>
            <w:r>
              <w:rPr>
                <w:rFonts w:ascii="Arial" w:cs="Arial" w:eastAsia="Arial" w:hAnsi="Arial"/>
                <w:sz w:val="17"/>
                <w:szCs w:val="17"/>
                <w:b w:val="1"/>
                <w:bCs w:val="1"/>
                <w:color w:val="auto"/>
                <w:vertAlign w:val="superscript"/>
              </w:rPr>
              <w:t>(7)</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12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300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80" w:type="dxa"/>
            <w:vAlign w:val="bottom"/>
          </w:tcPr>
          <w:p>
            <w:pPr>
              <w:spacing w:after="0"/>
              <w:rPr>
                <w:sz w:val="19"/>
                <w:szCs w:val="19"/>
                <w:color w:val="auto"/>
              </w:rPr>
            </w:pPr>
          </w:p>
        </w:tc>
        <w:tc>
          <w:tcPr>
            <w:tcW w:w="1120" w:type="dxa"/>
            <w:vAlign w:val="bottom"/>
            <w:tcBorders>
              <w:bottom w:val="single" w:sz="8" w:color="2C6937"/>
            </w:tcBorders>
          </w:tcPr>
          <w:p>
            <w:pPr>
              <w:spacing w:after="0"/>
              <w:rPr>
                <w:sz w:val="19"/>
                <w:szCs w:val="19"/>
                <w:color w:val="auto"/>
              </w:rPr>
            </w:pPr>
          </w:p>
        </w:tc>
        <w:tc>
          <w:tcPr>
            <w:tcW w:w="6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1180" w:type="dxa"/>
            <w:vAlign w:val="bottom"/>
            <w:tcBorders>
              <w:bottom w:val="single" w:sz="8" w:color="2C6937"/>
            </w:tcBorders>
          </w:tcPr>
          <w:p>
            <w:pPr>
              <w:spacing w:after="0"/>
              <w:rPr>
                <w:sz w:val="19"/>
                <w:szCs w:val="19"/>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30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bottom w:val="single" w:sz="8" w:color="CBC8C3"/>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308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120" w:type="dxa"/>
            <w:vAlign w:val="bottom"/>
            <w:shd w:val="clear" w:color="auto" w:fill="CBC8C3"/>
          </w:tcPr>
          <w:p>
            <w:pPr>
              <w:spacing w:after="0"/>
              <w:rPr>
                <w:sz w:val="18"/>
                <w:szCs w:val="18"/>
                <w:color w:val="auto"/>
              </w:rPr>
            </w:pPr>
          </w:p>
        </w:tc>
        <w:tc>
          <w:tcPr>
            <w:tcW w:w="66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b w:val="1"/>
                <w:bCs w:val="1"/>
                <w:i w:val="1"/>
                <w:iCs w:val="1"/>
                <w:color w:val="auto"/>
                <w:w w:val="96"/>
              </w:rPr>
              <w:t>%</w:t>
            </w:r>
          </w:p>
        </w:tc>
        <w:tc>
          <w:tcPr>
            <w:tcW w:w="1180" w:type="dxa"/>
            <w:vAlign w:val="bottom"/>
            <w:shd w:val="clear" w:color="auto" w:fill="CBC8C3"/>
          </w:tcPr>
          <w:p>
            <w:pPr>
              <w:spacing w:after="0"/>
              <w:rPr>
                <w:sz w:val="18"/>
                <w:szCs w:val="18"/>
                <w:color w:val="auto"/>
              </w:rPr>
            </w:pPr>
          </w:p>
        </w:tc>
        <w:tc>
          <w:tcPr>
            <w:tcW w:w="58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26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35</w:t>
            </w:r>
          </w:p>
        </w:tc>
        <w:tc>
          <w:tcPr>
            <w:tcW w:w="240" w:type="dxa"/>
            <w:vAlign w:val="bottom"/>
            <w:shd w:val="clear" w:color="auto" w:fill="CBC8C3"/>
          </w:tcPr>
          <w:p>
            <w:pPr>
              <w:jc w:val="right"/>
              <w:ind w:right="31"/>
              <w:spacing w:after="0"/>
              <w:rPr>
                <w:sz w:val="20"/>
                <w:szCs w:val="20"/>
                <w:color w:val="auto"/>
              </w:rPr>
            </w:pPr>
            <w:r>
              <w:rPr>
                <w:rFonts w:ascii="Arial" w:cs="Arial" w:eastAsia="Arial" w:hAnsi="Arial"/>
                <w:sz w:val="14"/>
                <w:szCs w:val="14"/>
                <w:i w:val="1"/>
                <w:iCs w:val="1"/>
                <w:color w:val="auto"/>
                <w:w w:val="96"/>
              </w:rPr>
              <w:t>%</w:t>
            </w:r>
          </w:p>
        </w:tc>
        <w:tc>
          <w:tcPr>
            <w:tcW w:w="220" w:type="dxa"/>
            <w:vAlign w:val="bottom"/>
            <w:shd w:val="clear" w:color="auto" w:fill="CBC8C3"/>
          </w:tcPr>
          <w:p>
            <w:pPr>
              <w:spacing w:after="0"/>
              <w:rPr>
                <w:sz w:val="18"/>
                <w:szCs w:val="18"/>
                <w:color w:val="auto"/>
              </w:rPr>
            </w:pPr>
          </w:p>
        </w:tc>
        <w:tc>
          <w:tcPr>
            <w:tcW w:w="15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180" w:type="dxa"/>
            <w:vAlign w:val="bottom"/>
            <w:gridSpan w:val="2"/>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3080" w:type="dxa"/>
            <w:vAlign w:val="bottom"/>
            <w:tcBorders>
              <w:bottom w:val="single" w:sz="8" w:color="CBC8C3"/>
            </w:tcBorders>
            <w:gridSpan w:val="2"/>
          </w:tcPr>
          <w:p>
            <w:pPr>
              <w:spacing w:after="0"/>
              <w:rPr>
                <w:sz w:val="24"/>
                <w:szCs w:val="24"/>
                <w:color w:val="auto"/>
              </w:rPr>
            </w:pPr>
          </w:p>
        </w:tc>
        <w:tc>
          <w:tcPr>
            <w:tcW w:w="1120" w:type="dxa"/>
            <w:vAlign w:val="bottom"/>
            <w:tcBorders>
              <w:bottom w:val="single" w:sz="8" w:color="CBC8C3"/>
            </w:tcBorders>
          </w:tcPr>
          <w:p>
            <w:pPr>
              <w:spacing w:after="0"/>
              <w:rPr>
                <w:sz w:val="24"/>
                <w:szCs w:val="24"/>
                <w:color w:val="auto"/>
              </w:rPr>
            </w:pPr>
          </w:p>
        </w:tc>
        <w:tc>
          <w:tcPr>
            <w:tcW w:w="66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180" w:type="dxa"/>
            <w:vAlign w:val="bottom"/>
            <w:tcBorders>
              <w:bottom w:val="single" w:sz="8" w:color="CBC8C3"/>
            </w:tcBorders>
          </w:tcPr>
          <w:p>
            <w:pPr>
              <w:spacing w:after="0"/>
              <w:rPr>
                <w:sz w:val="24"/>
                <w:szCs w:val="24"/>
                <w:color w:val="auto"/>
              </w:rPr>
            </w:pPr>
          </w:p>
        </w:tc>
        <w:tc>
          <w:tcPr>
            <w:tcW w:w="58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152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152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3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5" w:name="page26"/>
    <w:bookmarkEnd w:id="25"/>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Percent of Single-Family Conventional Business Volume</w:t>
            </w:r>
          </w:p>
        </w:tc>
        <w:tc>
          <w:tcPr>
            <w:tcW w:w="260" w:type="dxa"/>
            <w:vAlign w:val="bottom"/>
          </w:tcPr>
          <w:p>
            <w:pPr>
              <w:spacing w:after="0"/>
              <w:rPr>
                <w:sz w:val="14"/>
                <w:szCs w:val="14"/>
                <w:color w:val="auto"/>
              </w:rPr>
            </w:pPr>
          </w:p>
        </w:tc>
        <w:tc>
          <w:tcPr>
            <w:tcW w:w="3720" w:type="dxa"/>
            <w:vAlign w:val="bottom"/>
            <w:gridSpan w:val="4"/>
            <w:vMerge w:val="restart"/>
          </w:tcPr>
          <w:p>
            <w:pPr>
              <w:jc w:val="center"/>
              <w:ind w:left="171"/>
              <w:spacing w:after="0"/>
              <w:rPr>
                <w:sz w:val="20"/>
                <w:szCs w:val="20"/>
                <w:color w:val="auto"/>
              </w:rPr>
            </w:pPr>
            <w:r>
              <w:rPr>
                <w:rFonts w:ascii="Arial" w:cs="Arial" w:eastAsia="Arial" w:hAnsi="Arial"/>
                <w:sz w:val="14"/>
                <w:szCs w:val="14"/>
                <w:b w:val="1"/>
                <w:bCs w:val="1"/>
                <w:color w:val="auto"/>
                <w:w w:val="98"/>
              </w:rPr>
              <w:t>Percent of Single-Family Conventional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120" w:type="dxa"/>
            <w:vAlign w:val="bottom"/>
            <w:gridSpan w:val="3"/>
          </w:tcPr>
          <w:p>
            <w:pPr>
              <w:jc w:val="center"/>
              <w:ind w:right="691"/>
              <w:spacing w:after="0" w:line="141" w:lineRule="exact"/>
              <w:rPr>
                <w:sz w:val="20"/>
                <w:szCs w:val="20"/>
                <w:color w:val="auto"/>
              </w:rPr>
            </w:pPr>
            <w:r>
              <w:rPr>
                <w:rFonts w:ascii="Arial" w:cs="Arial" w:eastAsia="Arial" w:hAnsi="Arial"/>
                <w:sz w:val="13"/>
                <w:szCs w:val="13"/>
                <w:b w:val="1"/>
                <w:bCs w:val="1"/>
                <w:color w:val="auto"/>
              </w:rPr>
              <w:t>at Acquisition</w:t>
            </w:r>
            <w:r>
              <w:rPr>
                <w:rFonts w:ascii="Arial" w:cs="Arial" w:eastAsia="Arial" w:hAnsi="Arial"/>
                <w:sz w:val="16"/>
                <w:szCs w:val="16"/>
                <w:b w:val="1"/>
                <w:bCs w:val="1"/>
                <w:color w:val="auto"/>
                <w:vertAlign w:val="superscript"/>
              </w:rPr>
              <w:t>(2)</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2C6937"/>
            </w:tcBorders>
          </w:tcPr>
          <w:p>
            <w:pPr>
              <w:spacing w:after="0"/>
              <w:rPr>
                <w:sz w:val="5"/>
                <w:szCs w:val="5"/>
                <w:color w:val="auto"/>
              </w:rPr>
            </w:pPr>
          </w:p>
        </w:tc>
        <w:tc>
          <w:tcPr>
            <w:tcW w:w="560" w:type="dxa"/>
            <w:vAlign w:val="bottom"/>
            <w:tcBorders>
              <w:bottom w:val="single" w:sz="8" w:color="2C6937"/>
            </w:tcBorders>
          </w:tcPr>
          <w:p>
            <w:pPr>
              <w:spacing w:after="0"/>
              <w:rPr>
                <w:sz w:val="5"/>
                <w:szCs w:val="5"/>
                <w:color w:val="auto"/>
              </w:rPr>
            </w:pPr>
          </w:p>
        </w:tc>
        <w:tc>
          <w:tcPr>
            <w:tcW w:w="240" w:type="dxa"/>
            <w:vAlign w:val="bottom"/>
            <w:tcBorders>
              <w:bottom w:val="single" w:sz="8" w:color="2C6937"/>
            </w:tcBorders>
          </w:tcPr>
          <w:p>
            <w:pPr>
              <w:spacing w:after="0"/>
              <w:rPr>
                <w:sz w:val="5"/>
                <w:szCs w:val="5"/>
                <w:color w:val="auto"/>
              </w:rPr>
            </w:pPr>
          </w:p>
        </w:tc>
        <w:tc>
          <w:tcPr>
            <w:tcW w:w="1320" w:type="dxa"/>
            <w:vAlign w:val="bottom"/>
            <w:tcBorders>
              <w:bottom w:val="single" w:sz="8" w:color="2C6937"/>
            </w:tcBorders>
          </w:tcPr>
          <w:p>
            <w:pPr>
              <w:spacing w:after="0"/>
              <w:rPr>
                <w:sz w:val="5"/>
                <w:szCs w:val="5"/>
                <w:color w:val="auto"/>
              </w:rPr>
            </w:pPr>
          </w:p>
        </w:tc>
        <w:tc>
          <w:tcPr>
            <w:tcW w:w="440" w:type="dxa"/>
            <w:vAlign w:val="bottom"/>
            <w:tcBorders>
              <w:bottom w:val="single" w:sz="8" w:color="2C6937"/>
            </w:tcBorders>
          </w:tcPr>
          <w:p>
            <w:pPr>
              <w:spacing w:after="0"/>
              <w:rPr>
                <w:sz w:val="5"/>
                <w:szCs w:val="5"/>
                <w:color w:val="auto"/>
              </w:rPr>
            </w:pPr>
          </w:p>
        </w:tc>
        <w:tc>
          <w:tcPr>
            <w:tcW w:w="260" w:type="dxa"/>
            <w:vAlign w:val="bottom"/>
          </w:tcPr>
          <w:p>
            <w:pPr>
              <w:spacing w:after="0"/>
              <w:rPr>
                <w:sz w:val="5"/>
                <w:szCs w:val="5"/>
                <w:color w:val="auto"/>
              </w:rPr>
            </w:pPr>
          </w:p>
        </w:tc>
        <w:tc>
          <w:tcPr>
            <w:tcW w:w="3720" w:type="dxa"/>
            <w:vAlign w:val="bottom"/>
            <w:gridSpan w:val="4"/>
            <w:vMerge w:val="restart"/>
          </w:tcPr>
          <w:p>
            <w:pPr>
              <w:jc w:val="center"/>
              <w:ind w:left="171"/>
              <w:spacing w:after="0" w:line="133" w:lineRule="exact"/>
              <w:rPr>
                <w:sz w:val="20"/>
                <w:szCs w:val="20"/>
                <w:color w:val="auto"/>
              </w:rPr>
            </w:pPr>
            <w:r>
              <w:rPr>
                <w:rFonts w:ascii="Arial" w:cs="Arial" w:eastAsia="Arial" w:hAnsi="Arial"/>
                <w:sz w:val="12"/>
                <w:szCs w:val="12"/>
                <w:b w:val="1"/>
                <w:bCs w:val="1"/>
                <w:color w:val="auto"/>
              </w:rPr>
              <w:t>Guaranty Book of Business</w:t>
            </w:r>
            <w:r>
              <w:rPr>
                <w:rFonts w:ascii="Arial" w:cs="Arial" w:eastAsia="Arial" w:hAnsi="Arial"/>
                <w:sz w:val="15"/>
                <w:szCs w:val="15"/>
                <w:b w:val="1"/>
                <w:bCs w:val="1"/>
                <w:color w:val="auto"/>
                <w:vertAlign w:val="superscript"/>
              </w:rPr>
              <w:t>(3)</w:t>
            </w: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320" w:type="dxa"/>
            <w:vAlign w:val="bottom"/>
            <w:gridSpan w:val="4"/>
            <w:vMerge w:val="restart"/>
          </w:tcPr>
          <w:p>
            <w:pPr>
              <w:jc w:val="center"/>
              <w:ind w:left="371"/>
              <w:spacing w:after="0"/>
              <w:rPr>
                <w:sz w:val="20"/>
                <w:szCs w:val="20"/>
                <w:color w:val="auto"/>
              </w:rPr>
            </w:pPr>
            <w:r>
              <w:rPr>
                <w:rFonts w:ascii="Arial" w:cs="Arial" w:eastAsia="Arial" w:hAnsi="Arial"/>
                <w:sz w:val="14"/>
                <w:szCs w:val="14"/>
                <w:b w:val="1"/>
                <w:bCs w:val="1"/>
                <w:color w:val="auto"/>
                <w:w w:val="97"/>
              </w:rPr>
              <w:t>For the Three Months Ended March 31,</w:t>
            </w: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72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Borders>
              <w:bottom w:val="single" w:sz="8" w:color="2C6937"/>
            </w:tcBorders>
            <w:gridSpan w:val="4"/>
            <w:vMerge w:val="continue"/>
          </w:tcPr>
          <w:p>
            <w:pPr>
              <w:spacing w:after="0"/>
              <w:rPr>
                <w:sz w:val="15"/>
                <w:szCs w:val="15"/>
                <w:color w:val="auto"/>
              </w:rPr>
            </w:pPr>
          </w:p>
        </w:tc>
        <w:tc>
          <w:tcPr>
            <w:tcW w:w="440" w:type="dxa"/>
            <w:vAlign w:val="bottom"/>
            <w:tcBorders>
              <w:bottom w:val="single" w:sz="8" w:color="2C6937"/>
            </w:tcBorders>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2C6937"/>
            </w:tcBorders>
          </w:tcPr>
          <w:p>
            <w:pPr>
              <w:spacing w:after="0"/>
              <w:rPr>
                <w:sz w:val="15"/>
                <w:szCs w:val="15"/>
                <w:color w:val="auto"/>
              </w:rPr>
            </w:pPr>
          </w:p>
        </w:tc>
        <w:tc>
          <w:tcPr>
            <w:tcW w:w="24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60" w:type="dxa"/>
            <w:vAlign w:val="bottom"/>
            <w:gridSpan w:val="2"/>
          </w:tcPr>
          <w:p>
            <w:pPr>
              <w:spacing w:after="0"/>
              <w:rPr>
                <w:sz w:val="16"/>
                <w:szCs w:val="16"/>
                <w:color w:val="auto"/>
              </w:rPr>
            </w:pPr>
          </w:p>
        </w:tc>
        <w:tc>
          <w:tcPr>
            <w:tcW w:w="120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w w:val="99"/>
              </w:rPr>
              <w:t>December 31, 2023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46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94</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87</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8"/>
                <w:szCs w:val="18"/>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84</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20" w:type="dxa"/>
            <w:vAlign w:val="bottom"/>
          </w:tcPr>
          <w:p>
            <w:pPr>
              <w:spacing w:after="0"/>
              <w:rPr>
                <w:sz w:val="19"/>
                <w:szCs w:val="19"/>
                <w:color w:val="auto"/>
              </w:rPr>
            </w:pPr>
          </w:p>
        </w:tc>
        <w:tc>
          <w:tcPr>
            <w:tcW w:w="1200" w:type="dxa"/>
            <w:vAlign w:val="bottom"/>
            <w:tcBorders>
              <w:bottom w:val="single" w:sz="8" w:color="2C6937"/>
            </w:tcBorders>
          </w:tcPr>
          <w:p>
            <w:pPr>
              <w:spacing w:after="0"/>
              <w:rPr>
                <w:sz w:val="19"/>
                <w:szCs w:val="19"/>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1320" w:type="dxa"/>
            <w:vAlign w:val="bottom"/>
            <w:tcBorders>
              <w:bottom w:val="single" w:sz="8" w:color="2C6937"/>
            </w:tcBorders>
          </w:tcPr>
          <w:p>
            <w:pPr>
              <w:spacing w:after="0"/>
              <w:rPr>
                <w:sz w:val="19"/>
                <w:szCs w:val="19"/>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8"/>
                <w:szCs w:val="18"/>
                <w:color w:val="auto"/>
              </w:rPr>
            </w:pPr>
          </w:p>
        </w:tc>
        <w:tc>
          <w:tcPr>
            <w:tcW w:w="120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Borders>
              <w:bottom w:val="single" w:sz="8" w:color="2C6937"/>
            </w:tcBorders>
          </w:tcPr>
          <w:p>
            <w:pPr>
              <w:spacing w:after="0"/>
              <w:rPr>
                <w:sz w:val="18"/>
                <w:szCs w:val="18"/>
                <w:color w:val="auto"/>
              </w:rPr>
            </w:pPr>
          </w:p>
        </w:tc>
        <w:tc>
          <w:tcPr>
            <w:tcW w:w="4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Borders>
              <w:bottom w:val="single" w:sz="8" w:color="2C6937"/>
            </w:tcBorders>
          </w:tcPr>
          <w:p>
            <w:pPr>
              <w:spacing w:after="0"/>
              <w:rPr>
                <w:sz w:val="18"/>
                <w:szCs w:val="18"/>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2C6937"/>
            </w:tcBorders>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5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60" w:type="dxa"/>
            <w:vAlign w:val="bottom"/>
            <w:gridSpan w:val="3"/>
          </w:tcPr>
          <w:p>
            <w:pPr>
              <w:ind w:left="120"/>
              <w:spacing w:after="0"/>
              <w:rPr>
                <w:sz w:val="20"/>
                <w:szCs w:val="20"/>
                <w:color w:val="auto"/>
              </w:rPr>
            </w:pPr>
            <w:r>
              <w:rPr>
                <w:rFonts w:ascii="Arial" w:cs="Arial" w:eastAsia="Arial" w:hAnsi="Arial"/>
                <w:sz w:val="14"/>
                <w:szCs w:val="14"/>
                <w:color w:val="auto"/>
              </w:rPr>
              <w:t>2018 and prior</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9"/>
        </w:trPr>
        <w:tc>
          <w:tcPr>
            <w:tcW w:w="3140" w:type="dxa"/>
            <w:vAlign w:val="bottom"/>
          </w:tcPr>
          <w:p>
            <w:pPr>
              <w:ind w:left="1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1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1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1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1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19"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37" w:lineRule="exact"/>
        <w:rPr>
          <w:rFonts w:ascii="Arial" w:cs="Arial" w:eastAsia="Arial" w:hAnsi="Arial"/>
          <w:sz w:val="18"/>
          <w:szCs w:val="18"/>
          <w:color w:val="auto"/>
          <w:vertAlign w:val="superscript"/>
        </w:rPr>
      </w:pPr>
    </w:p>
    <w:p>
      <w:pPr>
        <w:ind w:left="240" w:right="160" w:hanging="237"/>
        <w:spacing w:after="0" w:line="219"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26" w:lineRule="exact"/>
        <w:rPr>
          <w:rFonts w:ascii="Arial" w:cs="Arial" w:eastAsia="Arial" w:hAnsi="Arial"/>
          <w:sz w:val="18"/>
          <w:szCs w:val="18"/>
          <w:color w:val="auto"/>
          <w:vertAlign w:val="superscript"/>
        </w:rPr>
      </w:pPr>
    </w:p>
    <w:p>
      <w:pPr>
        <w:ind w:left="240" w:right="240" w:hanging="237"/>
        <w:spacing w:after="0" w:line="218"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26" w:lineRule="exact"/>
        <w:rPr>
          <w:rFonts w:ascii="Arial" w:cs="Arial" w:eastAsia="Arial" w:hAnsi="Arial"/>
          <w:sz w:val="18"/>
          <w:szCs w:val="18"/>
          <w:color w:val="auto"/>
          <w:vertAlign w:val="superscript"/>
        </w:rPr>
      </w:pPr>
    </w:p>
    <w:p>
      <w:pPr>
        <w:ind w:left="240" w:right="20" w:hanging="237"/>
        <w:spacing w:after="0" w:line="244" w:lineRule="auto"/>
        <w:tabs>
          <w:tab w:leader="none" w:pos="233"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23" w:lineRule="exact"/>
        <w:rPr>
          <w:rFonts w:ascii="Arial" w:cs="Arial" w:eastAsia="Arial" w:hAnsi="Arial"/>
          <w:sz w:val="17"/>
          <w:szCs w:val="17"/>
          <w:color w:val="auto"/>
          <w:vertAlign w:val="superscript"/>
        </w:rPr>
      </w:pPr>
    </w:p>
    <w:p>
      <w:pPr>
        <w:ind w:left="240" w:right="240" w:hanging="237"/>
        <w:spacing w:after="0" w:line="226"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0"/>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30"/>
        </w:numPr>
        <w:rPr>
          <w:rFonts w:ascii="Arial" w:cs="Arial" w:eastAsia="Arial" w:hAnsi="Arial"/>
          <w:sz w:val="9"/>
          <w:szCs w:val="9"/>
          <w:color w:val="auto"/>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45" w:lineRule="exact"/>
        <w:rPr>
          <w:rFonts w:ascii="Arial" w:cs="Arial" w:eastAsia="Arial" w:hAnsi="Arial"/>
          <w:sz w:val="9"/>
          <w:szCs w:val="9"/>
          <w:color w:val="auto"/>
        </w:rPr>
      </w:pPr>
    </w:p>
    <w:p>
      <w:pPr>
        <w:ind w:left="240" w:right="160" w:hanging="237"/>
        <w:spacing w:after="0" w:line="244" w:lineRule="auto"/>
        <w:tabs>
          <w:tab w:leader="none" w:pos="233"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4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2023 Form 10-K. In this section of our 2023 Form 10-K, we also provide more information on the credit characteristics of loans in our single-family conventional guaranty book of business, including high-balance loans and adjustable-rate mortgages.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purchase. We generally achieve this through primary mortgage insurance. We also enter into various other types of transactions in which we transfer mortgage credit risk to third parties.</w:t>
      </w:r>
    </w:p>
    <w:p>
      <w:pPr>
        <w:spacing w:after="0" w:line="71"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Our approved monoline mortgage insurers’ financial ability and willingness to pay claims is an important determinant of our overall credit risk exposure. For a discussion of our exposure to and management of the counterparty credit risk associated with the providers of these credit enhancements, see “MD&amp;A— Risk Management—Institutional Counterparty Credit Risk Management” and “Note 14, Concentrations of Credit Risk” in our 2023 Form 10-K and “Note 11, Concentrations of Credit Risk” in this report. Also see “Risk Factors—Credit Risk” in our 2023 Form 10-K.</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For a description of primary mortgage insurance and the other types of credit enhancements specified in the table, see “MD&amp;A—Single-Family Business—Single-Family Mortgage Credit Risk Management—Single-Family Credit Enhancement and Transfer of Mortgage Credit Risk” in our 2023 Form 10-K.</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jc w:val="center"/>
              <w:ind w:left="1205"/>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805"/>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2023</w:t>
            </w:r>
          </w:p>
        </w:tc>
      </w:tr>
      <w:tr>
        <w:trPr>
          <w:trHeight w:val="178"/>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Family Conventional</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r>
      <w:tr>
        <w:trPr>
          <w:trHeight w:val="189"/>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6"/>
                <w:szCs w:val="16"/>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185"/>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center"/>
              <w:ind w:left="185"/>
              <w:spacing w:after="0"/>
              <w:rPr>
                <w:sz w:val="20"/>
                <w:szCs w:val="20"/>
                <w:color w:val="auto"/>
              </w:rPr>
            </w:pPr>
            <w:r>
              <w:rPr>
                <w:rFonts w:ascii="Arial" w:cs="Arial" w:eastAsia="Arial" w:hAnsi="Arial"/>
                <w:sz w:val="14"/>
                <w:szCs w:val="14"/>
                <w:b w:val="1"/>
                <w:bCs w:val="1"/>
                <w:color w:val="auto"/>
                <w:w w:val="98"/>
              </w:rPr>
              <w:t>(Dollars in billions)</w:t>
            </w:r>
          </w:p>
        </w:tc>
        <w:tc>
          <w:tcPr>
            <w:tcW w:w="1560" w:type="dxa"/>
            <w:vAlign w:val="bottom"/>
          </w:tcPr>
          <w:p>
            <w:pPr>
              <w:spacing w:after="0"/>
              <w:rPr>
                <w:sz w:val="16"/>
                <w:szCs w:val="16"/>
                <w:color w:val="auto"/>
              </w:rPr>
            </w:pPr>
          </w:p>
        </w:tc>
      </w:tr>
      <w:tr>
        <w:trPr>
          <w:trHeight w:val="24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 and other</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759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860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24</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420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11</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Lender risk-sharing</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r>
      <w:tr>
        <w:trPr>
          <w:trHeight w:val="234"/>
        </w:trPr>
        <w:tc>
          <w:tcPr>
            <w:tcW w:w="5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(403)</w:t>
            </w:r>
          </w:p>
        </w:tc>
        <w:tc>
          <w:tcPr>
            <w:tcW w:w="100" w:type="dxa"/>
            <w:vAlign w:val="bottom"/>
          </w:tcPr>
          <w:p>
            <w:pPr>
              <w:spacing w:after="0"/>
              <w:rPr>
                <w:sz w:val="20"/>
                <w:szCs w:val="20"/>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(12)</w:t>
            </w:r>
          </w:p>
        </w:tc>
      </w:tr>
      <w:tr>
        <w:trPr>
          <w:trHeight w:val="225"/>
        </w:trPr>
        <w:tc>
          <w:tcPr>
            <w:tcW w:w="5660" w:type="dxa"/>
            <w:vAlign w:val="bottom"/>
            <w:gridSpan w:val="2"/>
          </w:tcPr>
          <w:p>
            <w:pPr>
              <w:ind w:left="220"/>
              <w:spacing w:after="0"/>
              <w:rPr>
                <w:sz w:val="20"/>
                <w:szCs w:val="20"/>
                <w:color w:val="auto"/>
              </w:rPr>
            </w:pPr>
            <w:r>
              <w:rPr>
                <w:rFonts w:ascii="Arial" w:cs="Arial" w:eastAsia="Arial" w:hAnsi="Arial"/>
                <w:sz w:val="15"/>
                <w:szCs w:val="15"/>
                <w:color w:val="auto"/>
              </w:rPr>
              <w:t>Total single-family loans with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1,684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46 %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
        </w:trPr>
        <w:tc>
          <w:tcPr>
            <w:tcW w:w="55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80"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credit risk transfer transactions are designed to transfer a portion of the losses we expect would be incurred in an economic downturn or a stressed credit environment. Generally, loss reimbursement payments are received after the underlying property has been liquidated and all applicable proceeds, including private mortgage insurance benefits, have been applied to reduce the loss. As described in “MD&amp;A— Single-Family Business—Single-Family Mortgage Credit Risk Management—Single-Family Credit Enhancement and Transfer of Mortgage Credit Risk— Credit Risk Transfer Transactions” in our 2023 Form 10-K, our two primary single-family credit risk transfer programs are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Credit Insurance Risk Transfer™ (“CIRT™”).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2024, we transferred a portion of the mortgage credit risk on single-family mortgage loans with an unpaid principal balance of</w:t>
      </w:r>
    </w:p>
    <w:p>
      <w:pPr>
        <w:spacing w:after="0" w:line="2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$68.8 billion at the time of the transactions. When engaging in credit risk transfer transactions, we consider their cost, the resulting capital relief, and the overall credit risk transfer capacity of the market. The cost of our credit risk transfer transactions is impacted by macroeconomic and housing market sentiment, as well as the demand and capacity of the investors and reinsurers that support these transactions. Capacity considers both the total aggregate amount of outstanding coverage as well as the volume of new issuances available in the market. In response to these factors, we may choose to adjust the amount of first loss retained by Fannie Mae as a way to manage costs or market capacity when structuring our credit risk transfer transactions.</w:t>
      </w:r>
    </w:p>
    <w:p>
      <w:pPr>
        <w:spacing w:after="0" w:line="4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table below displays the aggregate mortgage credit risk transferred to third parties and retained by Fannie Mae pursuant to our single-family credit risk transfer transactions. The table does not include the credit risk transferred on single-family transactions that were cancelled or terminated through March 31, 2024. The following table also excludes coverage obtained through primary mortgage insurance.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38735</wp:posOffset>
            </wp:positionV>
            <wp:extent cx="70891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(Dollars in billions)</w:t>
      </w:r>
    </w:p>
    <w:p>
      <w:pPr>
        <w:spacing w:after="0" w:line="41" w:lineRule="exact"/>
        <w:rPr>
          <w:sz w:val="20"/>
          <w:szCs w:val="20"/>
          <w:color w:val="auto"/>
        </w:rPr>
      </w:pPr>
    </w:p>
    <w:tbl>
      <w:tblPr>
        <w:tblLayout w:type="fixed"/>
        <w:tblInd w:w="1930" w:type="dxa"/>
        <w:tblCellMar>
          <w:top w:w="0" w:type="dxa"/>
          <w:left w:w="0" w:type="dxa"/>
          <w:bottom w:w="0" w:type="dxa"/>
          <w:right w:w="0" w:type="dxa"/>
        </w:tblCellMar>
      </w:tblPr>
      <w:tr>
        <w:trPr>
          <w:trHeight w:val="297"/>
        </w:trPr>
        <w:tc>
          <w:tcPr>
            <w:tcW w:w="1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Senior</w:t>
            </w:r>
          </w:p>
        </w:tc>
        <w:tc>
          <w:tcPr>
            <w:tcW w:w="100" w:type="dxa"/>
            <w:vAlign w:val="bottom"/>
            <w:tcBorders>
              <w:right w:val="single" w:sz="8" w:color="auto"/>
            </w:tcBorders>
          </w:tcPr>
          <w:p>
            <w:pPr>
              <w:spacing w:after="0"/>
              <w:rPr>
                <w:sz w:val="24"/>
                <w:szCs w:val="24"/>
                <w:color w:val="auto"/>
              </w:rPr>
            </w:pPr>
          </w:p>
        </w:tc>
        <w:tc>
          <w:tcPr>
            <w:tcW w:w="1440" w:type="dxa"/>
            <w:vAlign w:val="bottom"/>
            <w:tcBorders>
              <w:top w:val="single" w:sz="8" w:color="auto"/>
              <w:right w:val="single" w:sz="8" w:color="D9D7DC"/>
            </w:tcBorders>
            <w:shd w:val="clear" w:color="auto" w:fill="D9D7DC"/>
          </w:tcPr>
          <w:p>
            <w:pPr>
              <w:spacing w:after="0"/>
              <w:rPr>
                <w:sz w:val="24"/>
                <w:szCs w:val="24"/>
                <w:color w:val="auto"/>
              </w:rPr>
            </w:pP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400" w:type="dxa"/>
            <w:vAlign w:val="bottom"/>
            <w:tcBorders>
              <w:top w:val="single" w:sz="8" w:color="auto"/>
            </w:tcBorders>
            <w:shd w:val="clear" w:color="auto" w:fill="D9D7DC"/>
          </w:tcPr>
          <w:p>
            <w:pPr>
              <w:spacing w:after="0"/>
              <w:rPr>
                <w:sz w:val="24"/>
                <w:szCs w:val="24"/>
                <w:color w:val="auto"/>
              </w:rPr>
            </w:pPr>
          </w:p>
        </w:tc>
        <w:tc>
          <w:tcPr>
            <w:tcW w:w="600" w:type="dxa"/>
            <w:vAlign w:val="bottom"/>
            <w:tcBorders>
              <w:top w:val="single" w:sz="8" w:color="auto"/>
            </w:tcBorders>
            <w:shd w:val="clear" w:color="auto" w:fill="D9D7DC"/>
          </w:tcPr>
          <w:p>
            <w:pPr>
              <w:spacing w:after="0"/>
              <w:rPr>
                <w:sz w:val="24"/>
                <w:szCs w:val="24"/>
                <w:color w:val="auto"/>
              </w:rPr>
            </w:pPr>
          </w:p>
        </w:tc>
        <w:tc>
          <w:tcPr>
            <w:tcW w:w="1980" w:type="dxa"/>
            <w:vAlign w:val="bottom"/>
            <w:tcBorders>
              <w:top w:val="single" w:sz="8" w:color="auto"/>
              <w:right w:val="single" w:sz="8" w:color="D9D7DC"/>
            </w:tcBorders>
            <w:gridSpan w:val="3"/>
            <w:shd w:val="clear" w:color="auto" w:fill="D9D7DC"/>
          </w:tcPr>
          <w:p>
            <w:pPr>
              <w:jc w:val="center"/>
              <w:ind w:right="929"/>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1460" w:type="dxa"/>
            <w:vAlign w:val="bottom"/>
            <w:tcBorders>
              <w:top w:val="single" w:sz="8" w:color="auto"/>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5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right w:val="single" w:sz="8" w:color="D9D7DC"/>
            </w:tcBorders>
            <w:shd w:val="clear" w:color="auto" w:fill="D9D7DC"/>
          </w:tcPr>
          <w:p>
            <w:pPr>
              <w:spacing w:after="0"/>
              <w:rPr>
                <w:sz w:val="9"/>
                <w:szCs w:val="9"/>
                <w:color w:val="auto"/>
              </w:rPr>
            </w:pPr>
          </w:p>
        </w:tc>
        <w:tc>
          <w:tcPr>
            <w:tcW w:w="100" w:type="dxa"/>
            <w:vAlign w:val="bottom"/>
            <w:tcBorders>
              <w:right w:val="single" w:sz="8" w:color="D9D7DC"/>
            </w:tcBorders>
            <w:shd w:val="clear" w:color="auto" w:fill="D9D7DC"/>
          </w:tcPr>
          <w:p>
            <w:pPr>
              <w:spacing w:after="0"/>
              <w:rPr>
                <w:sz w:val="9"/>
                <w:szCs w:val="9"/>
                <w:color w:val="auto"/>
              </w:rPr>
            </w:pPr>
          </w:p>
        </w:tc>
        <w:tc>
          <w:tcPr>
            <w:tcW w:w="400" w:type="dxa"/>
            <w:vAlign w:val="bottom"/>
            <w:shd w:val="clear" w:color="auto" w:fill="D9D7DC"/>
          </w:tcPr>
          <w:p>
            <w:pPr>
              <w:spacing w:after="0"/>
              <w:rPr>
                <w:sz w:val="9"/>
                <w:szCs w:val="9"/>
                <w:color w:val="auto"/>
              </w:rPr>
            </w:pPr>
          </w:p>
        </w:tc>
        <w:tc>
          <w:tcPr>
            <w:tcW w:w="600" w:type="dxa"/>
            <w:vAlign w:val="bottom"/>
            <w:shd w:val="clear" w:color="auto" w:fill="D9D7DC"/>
          </w:tcPr>
          <w:p>
            <w:pPr>
              <w:spacing w:after="0"/>
              <w:rPr>
                <w:sz w:val="9"/>
                <w:szCs w:val="9"/>
                <w:color w:val="auto"/>
              </w:rPr>
            </w:pPr>
          </w:p>
        </w:tc>
        <w:tc>
          <w:tcPr>
            <w:tcW w:w="1980" w:type="dxa"/>
            <w:vAlign w:val="bottom"/>
            <w:tcBorders>
              <w:right w:val="single" w:sz="8" w:color="D9D7DC"/>
            </w:tcBorders>
            <w:gridSpan w:val="3"/>
            <w:vMerge w:val="restart"/>
            <w:shd w:val="clear" w:color="auto" w:fill="D9D7DC"/>
          </w:tcPr>
          <w:p>
            <w:pPr>
              <w:jc w:val="right"/>
              <w:ind w:right="1189"/>
              <w:spacing w:after="0"/>
              <w:rPr>
                <w:sz w:val="20"/>
                <w:szCs w:val="20"/>
                <w:color w:val="auto"/>
              </w:rPr>
            </w:pPr>
            <w:r>
              <w:rPr>
                <w:rFonts w:ascii="Arial" w:cs="Arial" w:eastAsia="Arial" w:hAnsi="Arial"/>
                <w:sz w:val="15"/>
                <w:szCs w:val="15"/>
                <w:color w:val="auto"/>
              </w:rPr>
              <w:t>$1,271</w:t>
            </w:r>
          </w:p>
        </w:tc>
        <w:tc>
          <w:tcPr>
            <w:tcW w:w="100" w:type="dxa"/>
            <w:vAlign w:val="bottom"/>
            <w:tcBorders>
              <w:right w:val="single" w:sz="8" w:color="D9D7DC"/>
            </w:tcBorders>
            <w:shd w:val="clear" w:color="auto" w:fill="D9D7DC"/>
          </w:tcPr>
          <w:p>
            <w:pPr>
              <w:spacing w:after="0"/>
              <w:rPr>
                <w:sz w:val="9"/>
                <w:szCs w:val="9"/>
                <w:color w:val="auto"/>
              </w:rPr>
            </w:pPr>
          </w:p>
        </w:tc>
        <w:tc>
          <w:tcPr>
            <w:tcW w:w="1460" w:type="dxa"/>
            <w:vAlign w:val="bottom"/>
            <w:tcBorders>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shd w:val="clear" w:color="auto" w:fill="000F2B"/>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6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40" w:type="dxa"/>
            <w:vAlign w:val="bottom"/>
            <w:tcBorders>
              <w:right w:val="single" w:sz="8" w:color="D9D7DC"/>
            </w:tcBorders>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400" w:type="dxa"/>
            <w:vAlign w:val="bottom"/>
            <w:shd w:val="clear" w:color="auto" w:fill="D9D7DC"/>
          </w:tcPr>
          <w:p>
            <w:pPr>
              <w:spacing w:after="0"/>
              <w:rPr>
                <w:sz w:val="7"/>
                <w:szCs w:val="7"/>
                <w:color w:val="auto"/>
              </w:rPr>
            </w:pPr>
          </w:p>
        </w:tc>
        <w:tc>
          <w:tcPr>
            <w:tcW w:w="600" w:type="dxa"/>
            <w:vAlign w:val="bottom"/>
            <w:shd w:val="clear" w:color="auto" w:fill="D9D7DC"/>
          </w:tcPr>
          <w:p>
            <w:pPr>
              <w:spacing w:after="0"/>
              <w:rPr>
                <w:sz w:val="7"/>
                <w:szCs w:val="7"/>
                <w:color w:val="auto"/>
              </w:rPr>
            </w:pPr>
          </w:p>
        </w:tc>
        <w:tc>
          <w:tcPr>
            <w:tcW w:w="1980" w:type="dxa"/>
            <w:vAlign w:val="bottom"/>
            <w:tcBorders>
              <w:right w:val="single" w:sz="8" w:color="D9D7DC"/>
            </w:tcBorders>
            <w:gridSpan w:val="3"/>
            <w:vMerge w:val="continue"/>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1460" w:type="dxa"/>
            <w:vAlign w:val="bottom"/>
            <w:tcBorders>
              <w:right w:val="single" w:sz="8" w:color="auto"/>
            </w:tcBorders>
            <w:shd w:val="clear" w:color="auto" w:fill="D9D7DC"/>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shd w:val="clear" w:color="auto" w:fill="000F2B"/>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5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400" w:type="dxa"/>
            <w:vAlign w:val="bottom"/>
            <w:tcBorders>
              <w:bottom w:val="single" w:sz="8" w:color="auto"/>
            </w:tcBorders>
            <w:shd w:val="clear" w:color="auto" w:fill="D9D7DC"/>
          </w:tcPr>
          <w:p>
            <w:pPr>
              <w:spacing w:after="0"/>
              <w:rPr>
                <w:sz w:val="9"/>
                <w:szCs w:val="9"/>
                <w:color w:val="auto"/>
              </w:rPr>
            </w:pPr>
          </w:p>
        </w:tc>
        <w:tc>
          <w:tcPr>
            <w:tcW w:w="600" w:type="dxa"/>
            <w:vAlign w:val="bottom"/>
            <w:tcBorders>
              <w:bottom w:val="single" w:sz="8" w:color="auto"/>
            </w:tcBorders>
            <w:shd w:val="clear" w:color="auto" w:fill="D9D7DC"/>
          </w:tcPr>
          <w:p>
            <w:pPr>
              <w:spacing w:after="0"/>
              <w:rPr>
                <w:sz w:val="9"/>
                <w:szCs w:val="9"/>
                <w:color w:val="auto"/>
              </w:rPr>
            </w:pPr>
          </w:p>
        </w:tc>
        <w:tc>
          <w:tcPr>
            <w:tcW w:w="42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bottom w:val="single" w:sz="8" w:color="000F2B"/>
              <w:right w:val="single" w:sz="8" w:color="auto"/>
            </w:tcBorders>
            <w:vMerge w:val="restart"/>
            <w:shd w:val="clear" w:color="auto" w:fill="000F2B"/>
          </w:tcPr>
          <w:p>
            <w:pPr>
              <w:jc w:val="center"/>
              <w:spacing w:after="0"/>
              <w:rPr>
                <w:sz w:val="20"/>
                <w:szCs w:val="20"/>
                <w:color w:val="auto"/>
              </w:rPr>
            </w:pPr>
            <w:r>
              <w:rPr>
                <w:rFonts w:ascii="Arial" w:cs="Arial" w:eastAsia="Arial" w:hAnsi="Arial"/>
                <w:sz w:val="15"/>
                <w:szCs w:val="15"/>
                <w:color w:val="FFFFFF"/>
              </w:rPr>
              <w:t>Outstanding</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vMerge w:val="continue"/>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6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shd w:val="clear" w:color="auto" w:fill="D9D7DC"/>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0" w:type="dxa"/>
            <w:vAlign w:val="bottom"/>
            <w:shd w:val="clear" w:color="auto" w:fill="216C2B"/>
          </w:tcPr>
          <w:p>
            <w:pPr>
              <w:spacing w:after="0"/>
              <w:rPr>
                <w:sz w:val="13"/>
                <w:szCs w:val="13"/>
                <w:color w:val="auto"/>
              </w:rPr>
            </w:pPr>
          </w:p>
        </w:tc>
        <w:tc>
          <w:tcPr>
            <w:tcW w:w="600" w:type="dxa"/>
            <w:vAlign w:val="bottom"/>
            <w:shd w:val="clear" w:color="auto" w:fill="216C2B"/>
          </w:tcPr>
          <w:p>
            <w:pPr>
              <w:spacing w:after="0"/>
              <w:rPr>
                <w:sz w:val="13"/>
                <w:szCs w:val="13"/>
                <w:color w:val="auto"/>
              </w:rPr>
            </w:pPr>
          </w:p>
        </w:tc>
        <w:tc>
          <w:tcPr>
            <w:tcW w:w="420" w:type="dxa"/>
            <w:vAlign w:val="bottom"/>
            <w:tcBorders>
              <w:right w:val="single" w:sz="8" w:color="auto"/>
            </w:tcBorders>
            <w:shd w:val="clear" w:color="auto" w:fill="216C2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911A5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5587A6"/>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continue"/>
            <w:shd w:val="clear" w:color="auto" w:fill="000F2B"/>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shd w:val="clear" w:color="auto" w:fill="D9D7DC"/>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0" w:type="dxa"/>
            <w:vAlign w:val="bottom"/>
            <w:shd w:val="clear" w:color="auto" w:fill="216C2B"/>
          </w:tcPr>
          <w:p>
            <w:pPr>
              <w:spacing w:after="0"/>
              <w:rPr>
                <w:sz w:val="16"/>
                <w:szCs w:val="16"/>
                <w:color w:val="auto"/>
              </w:rPr>
            </w:pPr>
          </w:p>
        </w:tc>
        <w:tc>
          <w:tcPr>
            <w:tcW w:w="600" w:type="dxa"/>
            <w:vAlign w:val="bottom"/>
            <w:shd w:val="clear" w:color="auto" w:fill="216C2B"/>
          </w:tcPr>
          <w:p>
            <w:pPr>
              <w:spacing w:after="0"/>
              <w:rPr>
                <w:sz w:val="16"/>
                <w:szCs w:val="16"/>
                <w:color w:val="auto"/>
              </w:rPr>
            </w:pPr>
          </w:p>
        </w:tc>
        <w:tc>
          <w:tcPr>
            <w:tcW w:w="420" w:type="dxa"/>
            <w:vAlign w:val="bottom"/>
            <w:tcBorders>
              <w:right w:val="single" w:sz="8" w:color="auto"/>
            </w:tcBorders>
            <w:shd w:val="clear" w:color="auto" w:fill="216C2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911A5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000F2B"/>
          </w:tcPr>
          <w:p>
            <w:pPr>
              <w:jc w:val="center"/>
              <w:spacing w:after="0" w:line="193" w:lineRule="exact"/>
              <w:rPr>
                <w:sz w:val="20"/>
                <w:szCs w:val="20"/>
                <w:color w:val="auto"/>
              </w:rPr>
            </w:pPr>
            <w:r>
              <w:rPr>
                <w:rFonts w:ascii="Arial" w:cs="Arial" w:eastAsia="Arial" w:hAnsi="Arial"/>
                <w:sz w:val="15"/>
                <w:szCs w:val="15"/>
                <w:color w:val="FFFFFF"/>
                <w:w w:val="97"/>
              </w:rPr>
              <w:t>Reference Pool</w:t>
            </w:r>
            <w:r>
              <w:rPr>
                <w:rFonts w:ascii="Arial" w:cs="Arial" w:eastAsia="Arial" w:hAnsi="Arial"/>
                <w:sz w:val="20"/>
                <w:szCs w:val="20"/>
                <w:color w:val="FFFFFF"/>
                <w:w w:val="97"/>
                <w:vertAlign w:val="superscript"/>
              </w:rPr>
              <w:t>(5)(7)</w:t>
            </w:r>
          </w:p>
        </w:tc>
        <w:tc>
          <w:tcPr>
            <w:tcW w:w="0" w:type="dxa"/>
            <w:vAlign w:val="bottom"/>
          </w:tcPr>
          <w:p>
            <w:pPr>
              <w:spacing w:after="0"/>
              <w:rPr>
                <w:sz w:val="1"/>
                <w:szCs w:val="1"/>
                <w:color w:val="auto"/>
              </w:rPr>
            </w:pPr>
          </w:p>
        </w:tc>
      </w:tr>
      <w:tr>
        <w:trPr>
          <w:trHeight w:val="207"/>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Mezzanine</w:t>
            </w:r>
          </w:p>
        </w:tc>
        <w:tc>
          <w:tcPr>
            <w:tcW w:w="1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D9D7DC"/>
          </w:tcPr>
          <w:p>
            <w:pPr>
              <w:jc w:val="center"/>
              <w:spacing w:after="0" w:line="207" w:lineRule="exact"/>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right w:val="single" w:sz="8" w:color="auto"/>
            </w:tcBorders>
          </w:tcPr>
          <w:p>
            <w:pPr>
              <w:spacing w:after="0"/>
              <w:rPr>
                <w:sz w:val="17"/>
                <w:szCs w:val="17"/>
                <w:color w:val="auto"/>
              </w:rPr>
            </w:pPr>
          </w:p>
        </w:tc>
        <w:tc>
          <w:tcPr>
            <w:tcW w:w="400" w:type="dxa"/>
            <w:vAlign w:val="bottom"/>
            <w:shd w:val="clear" w:color="auto" w:fill="216C2B"/>
          </w:tcPr>
          <w:p>
            <w:pPr>
              <w:spacing w:after="0"/>
              <w:rPr>
                <w:sz w:val="17"/>
                <w:szCs w:val="17"/>
                <w:color w:val="auto"/>
              </w:rPr>
            </w:pPr>
          </w:p>
        </w:tc>
        <w:tc>
          <w:tcPr>
            <w:tcW w:w="600" w:type="dxa"/>
            <w:vAlign w:val="bottom"/>
            <w:shd w:val="clear" w:color="auto" w:fill="216C2B"/>
          </w:tcPr>
          <w:p>
            <w:pPr>
              <w:jc w:val="center"/>
              <w:spacing w:after="0" w:line="207" w:lineRule="exact"/>
              <w:rPr>
                <w:sz w:val="20"/>
                <w:szCs w:val="20"/>
                <w:color w:val="auto"/>
              </w:rPr>
            </w:pPr>
            <w:r>
              <w:rPr>
                <w:rFonts w:ascii="Arial" w:cs="Arial" w:eastAsia="Arial" w:hAnsi="Arial"/>
                <w:sz w:val="23"/>
                <w:szCs w:val="23"/>
                <w:color w:val="FFFFFF"/>
                <w:vertAlign w:val="subscript"/>
              </w:rPr>
              <w:t>CIRT</w:t>
            </w:r>
            <w:r>
              <w:rPr>
                <w:rFonts w:ascii="Arial" w:cs="Arial" w:eastAsia="Arial" w:hAnsi="Arial"/>
                <w:sz w:val="9"/>
                <w:szCs w:val="9"/>
                <w:color w:val="FFFFFF"/>
              </w:rPr>
              <w:t>(2)(3)</w:t>
            </w:r>
          </w:p>
        </w:tc>
        <w:tc>
          <w:tcPr>
            <w:tcW w:w="42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line="207" w:lineRule="exact"/>
              <w:rPr>
                <w:sz w:val="20"/>
                <w:szCs w:val="20"/>
                <w:color w:val="auto"/>
              </w:rPr>
            </w:pPr>
            <w:r>
              <w:rPr>
                <w:rFonts w:ascii="Arial" w:cs="Arial" w:eastAsia="Arial" w:hAnsi="Arial"/>
                <w:sz w:val="15"/>
                <w:szCs w:val="15"/>
                <w:color w:val="FFFFFF"/>
                <w:w w:val="93"/>
              </w:rPr>
              <w:t>CAS</w:t>
            </w:r>
            <w:r>
              <w:rPr>
                <w:rFonts w:ascii="Arial" w:cs="Arial" w:eastAsia="Arial" w:hAnsi="Arial"/>
                <w:sz w:val="20"/>
                <w:szCs w:val="20"/>
                <w:color w:val="FFFFFF"/>
                <w:w w:val="93"/>
                <w:vertAlign w:val="superscript"/>
              </w:rPr>
              <w:t>(2)</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line="207" w:lineRule="exact"/>
              <w:rPr>
                <w:sz w:val="20"/>
                <w:szCs w:val="20"/>
                <w:color w:val="auto"/>
              </w:rPr>
            </w:pPr>
            <w:r>
              <w:rPr>
                <w:rFonts w:ascii="Arial" w:cs="Arial" w:eastAsia="Arial" w:hAnsi="Arial"/>
                <w:sz w:val="15"/>
                <w:szCs w:val="15"/>
                <w:color w:val="FFFFFF"/>
                <w:w w:val="92"/>
              </w:rPr>
              <w:t>Sharing</w:t>
            </w:r>
            <w:r>
              <w:rPr>
                <w:rFonts w:ascii="Arial" w:cs="Arial" w:eastAsia="Arial" w:hAnsi="Arial"/>
                <w:sz w:val="20"/>
                <w:szCs w:val="20"/>
                <w:color w:val="FFFFFF"/>
                <w:w w:val="92"/>
                <w:vertAlign w:val="superscript"/>
              </w:rPr>
              <w:t>(2)(4)</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jc w:val="center"/>
              <w:spacing w:after="0"/>
              <w:rPr>
                <w:sz w:val="20"/>
                <w:szCs w:val="20"/>
                <w:color w:val="auto"/>
              </w:rPr>
            </w:pPr>
            <w:r>
              <w:rPr>
                <w:rFonts w:ascii="Arial" w:cs="Arial" w:eastAsia="Arial" w:hAnsi="Arial"/>
                <w:sz w:val="15"/>
                <w:szCs w:val="15"/>
                <w:color w:val="FFFFFF"/>
              </w:rPr>
              <w:t>$1,337</w:t>
            </w:r>
          </w:p>
        </w:tc>
        <w:tc>
          <w:tcPr>
            <w:tcW w:w="0" w:type="dxa"/>
            <w:vAlign w:val="bottom"/>
          </w:tcPr>
          <w:p>
            <w:pPr>
              <w:spacing w:after="0"/>
              <w:rPr>
                <w:sz w:val="1"/>
                <w:szCs w:val="1"/>
                <w:color w:val="auto"/>
              </w:rPr>
            </w:pPr>
          </w:p>
        </w:tc>
      </w:tr>
      <w:tr>
        <w:trPr>
          <w:trHeight w:val="204"/>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D9D7DC"/>
          </w:tcPr>
          <w:p>
            <w:pPr>
              <w:jc w:val="right"/>
              <w:ind w:right="563"/>
              <w:spacing w:after="0"/>
              <w:rPr>
                <w:sz w:val="20"/>
                <w:szCs w:val="20"/>
                <w:color w:val="auto"/>
              </w:rPr>
            </w:pPr>
            <w:r>
              <w:rPr>
                <w:rFonts w:ascii="Arial" w:cs="Arial" w:eastAsia="Arial" w:hAnsi="Arial"/>
                <w:sz w:val="15"/>
                <w:szCs w:val="15"/>
                <w:color w:val="auto"/>
              </w:rPr>
              <w:t>$5</w:t>
            </w:r>
          </w:p>
        </w:tc>
        <w:tc>
          <w:tcPr>
            <w:tcW w:w="100" w:type="dxa"/>
            <w:vAlign w:val="bottom"/>
            <w:tcBorders>
              <w:right w:val="single" w:sz="8" w:color="auto"/>
            </w:tcBorders>
          </w:tcPr>
          <w:p>
            <w:pPr>
              <w:spacing w:after="0"/>
              <w:rPr>
                <w:sz w:val="17"/>
                <w:szCs w:val="17"/>
                <w:color w:val="auto"/>
              </w:rPr>
            </w:pPr>
          </w:p>
        </w:tc>
        <w:tc>
          <w:tcPr>
            <w:tcW w:w="400" w:type="dxa"/>
            <w:vAlign w:val="bottom"/>
            <w:shd w:val="clear" w:color="auto" w:fill="216C2B"/>
          </w:tcPr>
          <w:p>
            <w:pPr>
              <w:spacing w:after="0"/>
              <w:rPr>
                <w:sz w:val="17"/>
                <w:szCs w:val="17"/>
                <w:color w:val="auto"/>
              </w:rPr>
            </w:pPr>
          </w:p>
        </w:tc>
        <w:tc>
          <w:tcPr>
            <w:tcW w:w="600" w:type="dxa"/>
            <w:vAlign w:val="bottom"/>
            <w:shd w:val="clear" w:color="auto" w:fill="216C2B"/>
          </w:tcPr>
          <w:p>
            <w:pPr>
              <w:jc w:val="right"/>
              <w:ind w:right="99"/>
              <w:spacing w:after="0"/>
              <w:rPr>
                <w:sz w:val="20"/>
                <w:szCs w:val="20"/>
                <w:color w:val="auto"/>
              </w:rPr>
            </w:pPr>
            <w:r>
              <w:rPr>
                <w:rFonts w:ascii="Arial" w:cs="Arial" w:eastAsia="Arial" w:hAnsi="Arial"/>
                <w:sz w:val="15"/>
                <w:szCs w:val="15"/>
                <w:color w:val="FFFFFF"/>
              </w:rPr>
              <w:t>$15</w:t>
            </w:r>
          </w:p>
        </w:tc>
        <w:tc>
          <w:tcPr>
            <w:tcW w:w="42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$13</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$4</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shd w:val="clear" w:color="auto" w:fill="D9D7DC"/>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0" w:type="dxa"/>
            <w:vAlign w:val="bottom"/>
            <w:tcBorders>
              <w:bottom w:val="single" w:sz="8" w:color="auto"/>
            </w:tcBorders>
            <w:shd w:val="clear" w:color="auto" w:fill="216C2B"/>
          </w:tcPr>
          <w:p>
            <w:pPr>
              <w:spacing w:after="0"/>
              <w:rPr>
                <w:sz w:val="21"/>
                <w:szCs w:val="21"/>
                <w:color w:val="auto"/>
              </w:rPr>
            </w:pPr>
          </w:p>
        </w:tc>
        <w:tc>
          <w:tcPr>
            <w:tcW w:w="600" w:type="dxa"/>
            <w:vAlign w:val="bottom"/>
            <w:tcBorders>
              <w:bottom w:val="single" w:sz="8" w:color="auto"/>
            </w:tcBorders>
            <w:shd w:val="clear" w:color="auto" w:fill="216C2B"/>
          </w:tcPr>
          <w:p>
            <w:pPr>
              <w:spacing w:after="0"/>
              <w:rPr>
                <w:sz w:val="21"/>
                <w:szCs w:val="21"/>
                <w:color w:val="auto"/>
              </w:rPr>
            </w:pPr>
          </w:p>
        </w:tc>
        <w:tc>
          <w:tcPr>
            <w:tcW w:w="420" w:type="dxa"/>
            <w:vAlign w:val="bottom"/>
            <w:tcBorders>
              <w:bottom w:val="single" w:sz="8" w:color="auto"/>
              <w:right w:val="single" w:sz="8" w:color="auto"/>
            </w:tcBorders>
            <w:shd w:val="clear" w:color="auto" w:fill="216C2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911A5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5587A6"/>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000F2B"/>
              <w:right w:val="single" w:sz="8" w:color="auto"/>
            </w:tcBorders>
            <w:shd w:val="clear" w:color="auto" w:fill="000F2B"/>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1560" w:type="dxa"/>
            <w:vAlign w:val="bottom"/>
            <w:tcBorders>
              <w:left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gridSpan w:val="3"/>
            <w:vMerge w:val="restart"/>
            <w:shd w:val="clear" w:color="auto" w:fill="D9D7DC"/>
          </w:tcPr>
          <w:p>
            <w:pPr>
              <w:jc w:val="center"/>
              <w:ind w:left="923"/>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600" w:type="dxa"/>
            <w:vAlign w:val="bottom"/>
            <w:shd w:val="clear" w:color="auto" w:fill="D9D7DC"/>
          </w:tcPr>
          <w:p>
            <w:pPr>
              <w:spacing w:after="0"/>
              <w:rPr>
                <w:sz w:val="24"/>
                <w:szCs w:val="24"/>
                <w:color w:val="auto"/>
              </w:rPr>
            </w:pPr>
          </w:p>
        </w:tc>
        <w:tc>
          <w:tcPr>
            <w:tcW w:w="420" w:type="dxa"/>
            <w:vAlign w:val="bottom"/>
            <w:tcBorders>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vMerge w:val="restart"/>
            <w:shd w:val="clear" w:color="auto" w:fill="911A5B"/>
          </w:tcPr>
          <w:p>
            <w:pPr>
              <w:jc w:val="center"/>
              <w:spacing w:after="0"/>
              <w:rPr>
                <w:sz w:val="20"/>
                <w:szCs w:val="20"/>
                <w:color w:val="auto"/>
              </w:rPr>
            </w:pPr>
            <w:r>
              <w:rPr>
                <w:rFonts w:ascii="Arial" w:cs="Arial" w:eastAsia="Arial" w:hAnsi="Arial"/>
                <w:sz w:val="30"/>
                <w:szCs w:val="30"/>
                <w:color w:val="FFFFFF"/>
                <w:w w:val="85"/>
                <w:vertAlign w:val="subscript"/>
              </w:rPr>
              <w:t>CAS</w:t>
            </w:r>
            <w:r>
              <w:rPr>
                <w:rFonts w:ascii="Arial" w:cs="Arial" w:eastAsia="Arial" w:hAnsi="Arial"/>
                <w:sz w:val="10"/>
                <w:szCs w:val="10"/>
                <w:color w:val="FFFFFF"/>
                <w:w w:val="85"/>
              </w:rPr>
              <w:t>(2)(6)</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First Loss</w:t>
            </w:r>
          </w:p>
        </w:tc>
        <w:tc>
          <w:tcPr>
            <w:tcW w:w="100" w:type="dxa"/>
            <w:vAlign w:val="bottom"/>
            <w:tcBorders>
              <w:right w:val="single" w:sz="8" w:color="auto"/>
            </w:tcBorders>
          </w:tcPr>
          <w:p>
            <w:pPr>
              <w:spacing w:after="0"/>
              <w:rPr>
                <w:sz w:val="15"/>
                <w:szCs w:val="15"/>
                <w:color w:val="auto"/>
              </w:rPr>
            </w:pPr>
          </w:p>
        </w:tc>
        <w:tc>
          <w:tcPr>
            <w:tcW w:w="1940" w:type="dxa"/>
            <w:vAlign w:val="bottom"/>
            <w:gridSpan w:val="3"/>
            <w:vMerge w:val="continue"/>
            <w:shd w:val="clear" w:color="auto" w:fill="D9D7DC"/>
          </w:tcPr>
          <w:p>
            <w:pPr>
              <w:spacing w:after="0"/>
              <w:rPr>
                <w:sz w:val="15"/>
                <w:szCs w:val="15"/>
                <w:color w:val="auto"/>
              </w:rPr>
            </w:pPr>
          </w:p>
        </w:tc>
        <w:tc>
          <w:tcPr>
            <w:tcW w:w="600" w:type="dxa"/>
            <w:vAlign w:val="bottom"/>
            <w:shd w:val="clear" w:color="auto" w:fill="D9D7DC"/>
          </w:tcPr>
          <w:p>
            <w:pPr>
              <w:spacing w:after="0"/>
              <w:rPr>
                <w:sz w:val="15"/>
                <w:szCs w:val="15"/>
                <w:color w:val="auto"/>
              </w:rPr>
            </w:pPr>
          </w:p>
        </w:tc>
        <w:tc>
          <w:tcPr>
            <w:tcW w:w="420" w:type="dxa"/>
            <w:vAlign w:val="bottom"/>
            <w:tcBorders>
              <w:right w:val="single" w:sz="8" w:color="auto"/>
            </w:tcBorders>
            <w:shd w:val="clear" w:color="auto" w:fill="D9D7DC"/>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vMerge w:val="continue"/>
            <w:shd w:val="clear" w:color="auto" w:fill="911A5B"/>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5587A6"/>
          </w:tcPr>
          <w:p>
            <w:pPr>
              <w:jc w:val="center"/>
              <w:spacing w:after="0" w:line="181" w:lineRule="exact"/>
              <w:rPr>
                <w:sz w:val="20"/>
                <w:szCs w:val="20"/>
                <w:color w:val="auto"/>
              </w:rPr>
            </w:pPr>
            <w:r>
              <w:rPr>
                <w:rFonts w:ascii="Arial" w:cs="Arial" w:eastAsia="Arial" w:hAnsi="Arial"/>
                <w:sz w:val="15"/>
                <w:szCs w:val="15"/>
                <w:color w:val="FFFFFF"/>
                <w:w w:val="92"/>
              </w:rPr>
              <w:t>Sharing</w:t>
            </w:r>
            <w:r>
              <w:rPr>
                <w:rFonts w:ascii="Arial" w:cs="Arial" w:eastAsia="Arial" w:hAnsi="Arial"/>
                <w:sz w:val="20"/>
                <w:szCs w:val="20"/>
                <w:color w:val="FFFFFF"/>
                <w:w w:val="92"/>
                <w:vertAlign w:val="superscript"/>
              </w:rPr>
              <w:t>(2)(4)</w:t>
            </w: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000F2B"/>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3"/>
            <w:shd w:val="clear" w:color="auto" w:fill="D9D7DC"/>
          </w:tcPr>
          <w:p>
            <w:pPr>
              <w:jc w:val="right"/>
              <w:ind w:right="340"/>
              <w:spacing w:after="0"/>
              <w:rPr>
                <w:sz w:val="20"/>
                <w:szCs w:val="20"/>
                <w:color w:val="auto"/>
              </w:rPr>
            </w:pPr>
            <w:r>
              <w:rPr>
                <w:rFonts w:ascii="Arial" w:cs="Arial" w:eastAsia="Arial" w:hAnsi="Arial"/>
                <w:sz w:val="15"/>
                <w:szCs w:val="15"/>
                <w:color w:val="auto"/>
              </w:rPr>
              <w:t>$17</w:t>
            </w:r>
          </w:p>
        </w:tc>
        <w:tc>
          <w:tcPr>
            <w:tcW w:w="600" w:type="dxa"/>
            <w:vAlign w:val="bottom"/>
            <w:shd w:val="clear" w:color="auto" w:fill="D9D7DC"/>
          </w:tcPr>
          <w:p>
            <w:pPr>
              <w:spacing w:after="0"/>
              <w:rPr>
                <w:sz w:val="17"/>
                <w:szCs w:val="17"/>
                <w:color w:val="auto"/>
              </w:rPr>
            </w:pPr>
          </w:p>
        </w:tc>
        <w:tc>
          <w:tcPr>
            <w:tcW w:w="420" w:type="dxa"/>
            <w:vAlign w:val="bottom"/>
            <w:tcBorders>
              <w:right w:val="single" w:sz="8" w:color="auto"/>
            </w:tcBorders>
            <w:shd w:val="clear" w:color="auto" w:fill="D9D7DC"/>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$10</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$2</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40" w:type="dxa"/>
            <w:vAlign w:val="bottom"/>
            <w:tcBorders>
              <w:bottom w:val="single" w:sz="8" w:color="auto"/>
              <w:right w:val="single" w:sz="8" w:color="D9D7DC"/>
            </w:tcBorders>
            <w:shd w:val="clear" w:color="auto" w:fill="D9D7DC"/>
          </w:tcPr>
          <w:p>
            <w:pPr>
              <w:spacing w:after="0"/>
              <w:rPr>
                <w:sz w:val="21"/>
                <w:szCs w:val="21"/>
                <w:color w:val="auto"/>
              </w:rPr>
            </w:pPr>
          </w:p>
        </w:tc>
        <w:tc>
          <w:tcPr>
            <w:tcW w:w="100" w:type="dxa"/>
            <w:vAlign w:val="bottom"/>
            <w:tcBorders>
              <w:bottom w:val="single" w:sz="8" w:color="auto"/>
              <w:right w:val="single" w:sz="8" w:color="D9D7DC"/>
            </w:tcBorders>
            <w:shd w:val="clear" w:color="auto" w:fill="D9D7DC"/>
          </w:tcPr>
          <w:p>
            <w:pPr>
              <w:spacing w:after="0"/>
              <w:rPr>
                <w:sz w:val="21"/>
                <w:szCs w:val="21"/>
                <w:color w:val="auto"/>
              </w:rPr>
            </w:pPr>
          </w:p>
        </w:tc>
        <w:tc>
          <w:tcPr>
            <w:tcW w:w="400" w:type="dxa"/>
            <w:vAlign w:val="bottom"/>
            <w:tcBorders>
              <w:bottom w:val="single" w:sz="8" w:color="auto"/>
            </w:tcBorders>
            <w:shd w:val="clear" w:color="auto" w:fill="D9D7DC"/>
          </w:tcPr>
          <w:p>
            <w:pPr>
              <w:spacing w:after="0"/>
              <w:rPr>
                <w:sz w:val="21"/>
                <w:szCs w:val="21"/>
                <w:color w:val="auto"/>
              </w:rPr>
            </w:pPr>
          </w:p>
        </w:tc>
        <w:tc>
          <w:tcPr>
            <w:tcW w:w="600" w:type="dxa"/>
            <w:vAlign w:val="bottom"/>
            <w:tcBorders>
              <w:bottom w:val="single" w:sz="8" w:color="auto"/>
            </w:tcBorders>
            <w:shd w:val="clear" w:color="auto" w:fill="D9D7DC"/>
          </w:tcPr>
          <w:p>
            <w:pPr>
              <w:spacing w:after="0"/>
              <w:rPr>
                <w:sz w:val="21"/>
                <w:szCs w:val="21"/>
                <w:color w:val="auto"/>
              </w:rPr>
            </w:pPr>
          </w:p>
        </w:tc>
        <w:tc>
          <w:tcPr>
            <w:tcW w:w="420" w:type="dxa"/>
            <w:vAlign w:val="bottom"/>
            <w:tcBorders>
              <w:bottom w:val="single" w:sz="8" w:color="auto"/>
              <w:right w:val="single" w:sz="8" w:color="auto"/>
            </w:tcBorders>
            <w:shd w:val="clear" w:color="auto" w:fill="D9D7DC"/>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911A5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5587A6"/>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000F2B"/>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-1865630</wp:posOffset>
            </wp:positionV>
            <wp:extent cx="851535" cy="1768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1535" cy="1768475"/>
                    </a:xfrm>
                    <a:prstGeom prst="rect">
                      <a:avLst/>
                    </a:prstGeom>
                    <a:noFill/>
                  </pic:spPr>
                </pic:pic>
              </a:graphicData>
            </a:graphic>
          </wp:anchor>
        </w:drawing>
      </w:r>
    </w:p>
    <w:p>
      <w:pPr>
        <w:spacing w:after="0" w:line="89" w:lineRule="exact"/>
        <w:rPr>
          <w:sz w:val="20"/>
          <w:szCs w:val="20"/>
          <w:color w:val="auto"/>
        </w:rPr>
      </w:pPr>
    </w:p>
    <w:p>
      <w:pPr>
        <w:ind w:left="240" w:right="120" w:hanging="237"/>
        <w:spacing w:after="0" w:line="277" w:lineRule="auto"/>
        <w:tabs>
          <w:tab w:leader="none" w:pos="233" w:val="left"/>
        </w:tabs>
        <w:numPr>
          <w:ilvl w:val="0"/>
          <w:numId w:val="31"/>
        </w:numPr>
        <w:rPr>
          <w:rFonts w:ascii="Arial" w:cs="Arial" w:eastAsia="Arial" w:hAnsi="Arial"/>
          <w:sz w:val="9"/>
          <w:szCs w:val="9"/>
          <w:color w:val="auto"/>
        </w:rPr>
      </w:pPr>
      <w:r>
        <w:rPr>
          <w:rFonts w:ascii="Arial" w:cs="Arial" w:eastAsia="Arial" w:hAnsi="Arial"/>
          <w:sz w:val="13"/>
          <w:szCs w:val="13"/>
          <w:color w:val="auto"/>
        </w:rPr>
        <w:t>Credit risk retained by Fannie Mae in CAS, CIRT and lender risk-sharing transactions. Also includes credit risk retained in CAS Credit Linked-Note transactions, which are similar to CAS REMICs except they allow us to obtain credit protection on reference pools containing seasoned loans such as Refi Plus</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loans. Tranche sizes vary across programs.</w:t>
      </w:r>
    </w:p>
    <w:p>
      <w:pPr>
        <w:ind w:left="220" w:hanging="217"/>
        <w:spacing w:after="0" w:line="195" w:lineRule="auto"/>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Credit risk transferred to third parties. Tranche sizes vary across programs.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mortgage pool insurance transactions covering loans with an aggregate unpaid principal balance of $242 million outstanding as of March 31, 2024.</w:t>
      </w:r>
    </w:p>
    <w:p>
      <w:pPr>
        <w:spacing w:after="0" w:line="50" w:lineRule="exact"/>
        <w:rPr>
          <w:rFonts w:ascii="Arial" w:cs="Arial" w:eastAsia="Arial" w:hAnsi="Arial"/>
          <w:sz w:val="18"/>
          <w:szCs w:val="18"/>
          <w:color w:val="auto"/>
          <w:vertAlign w:val="superscript"/>
        </w:rPr>
      </w:pPr>
    </w:p>
    <w:p>
      <w:pPr>
        <w:ind w:left="220" w:hanging="217"/>
        <w:spacing w:after="0" w:line="204" w:lineRule="auto"/>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Represents customized lender-risk sharing transactions. In most transactions, lenders invest directly in a portion of the credit risk on mortgage loans they originate and/or service</w:t>
      </w:r>
      <w:r>
        <w:rPr>
          <w:rFonts w:ascii="Arial" w:cs="Arial" w:eastAsia="Arial" w:hAnsi="Arial"/>
          <w:sz w:val="16"/>
          <w:szCs w:val="16"/>
          <w:color w:val="auto"/>
        </w:rPr>
        <w:t>.</w:t>
      </w:r>
    </w:p>
    <w:p>
      <w:pPr>
        <w:spacing w:after="0" w:line="43"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CIRT and some lender risk-sharing transactions, “Reference Pool” reflects a pool of covered loans.</w:t>
      </w:r>
    </w:p>
    <w:p>
      <w:pPr>
        <w:spacing w:after="0" w:line="38" w:lineRule="exact"/>
        <w:rPr>
          <w:rFonts w:ascii="Arial" w:cs="Arial" w:eastAsia="Arial" w:hAnsi="Arial"/>
          <w:sz w:val="18"/>
          <w:szCs w:val="18"/>
          <w:color w:val="auto"/>
          <w:vertAlign w:val="superscript"/>
        </w:rPr>
      </w:pPr>
    </w:p>
    <w:p>
      <w:pPr>
        <w:ind w:left="240" w:right="580" w:hanging="237"/>
        <w:spacing w:after="0" w:line="219" w:lineRule="auto"/>
        <w:tabs>
          <w:tab w:leader="none" w:pos="23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CAS transactions, “First Loss” represents all B tranche balances. In recent deals we have retained certain subordinated class B tranche(s) that absorb losses before the remaining class B tranches.</w:t>
      </w:r>
    </w:p>
    <w:p>
      <w:pPr>
        <w:spacing w:after="0" w:line="13" w:lineRule="exact"/>
        <w:rPr>
          <w:rFonts w:ascii="Arial" w:cs="Arial" w:eastAsia="Arial" w:hAnsi="Arial"/>
          <w:sz w:val="18"/>
          <w:szCs w:val="18"/>
          <w:color w:val="auto"/>
          <w:vertAlign w:val="superscript"/>
        </w:rPr>
      </w:pPr>
    </w:p>
    <w:p>
      <w:pPr>
        <w:ind w:left="240" w:right="200" w:hanging="237"/>
        <w:spacing w:after="0" w:line="264" w:lineRule="auto"/>
        <w:tabs>
          <w:tab w:leader="none" w:pos="233" w:val="left"/>
        </w:tabs>
        <w:numPr>
          <w:ilvl w:val="0"/>
          <w:numId w:val="31"/>
        </w:numPr>
        <w:rPr>
          <w:rFonts w:ascii="Arial" w:cs="Arial" w:eastAsia="Arial" w:hAnsi="Arial"/>
          <w:sz w:val="9"/>
          <w:szCs w:val="9"/>
          <w:color w:val="auto"/>
        </w:rPr>
      </w:pPr>
      <w:r>
        <w:rPr>
          <w:rFonts w:ascii="Arial" w:cs="Arial" w:eastAsia="Arial" w:hAnsi="Arial"/>
          <w:sz w:val="14"/>
          <w:szCs w:val="14"/>
          <w:color w:val="auto"/>
        </w:rPr>
        <w:t>For CAS and some lender risk-sharing transactions, represents outstanding reference pools, not the outstanding unpaid principal balance of the underlying loans. The outstanding unpaid principal balance for all loans covered by credit risk transfer programs, including all loans on which risk has been transferred in lender risk-sharing transactions, was $1,328 billion as of March 31, 2024.</w:t>
      </w:r>
    </w:p>
    <w:p>
      <w:pPr>
        <w:spacing w:after="0" w:line="60" w:lineRule="exact"/>
        <w:rPr>
          <w:sz w:val="20"/>
          <w:szCs w:val="20"/>
          <w:color w:val="auto"/>
        </w:rPr>
      </w:pPr>
    </w:p>
    <w:p>
      <w:pPr>
        <w:ind w:right="720"/>
        <w:spacing w:after="0" w:line="293" w:lineRule="auto"/>
        <w:rPr>
          <w:sz w:val="20"/>
          <w:szCs w:val="20"/>
          <w:color w:val="auto"/>
        </w:rPr>
      </w:pPr>
      <w:r>
        <w:rPr>
          <w:rFonts w:ascii="Arial" w:cs="Arial" w:eastAsia="Arial" w:hAnsi="Arial"/>
          <w:sz w:val="16"/>
          <w:szCs w:val="16"/>
          <w:color w:val="auto"/>
        </w:rPr>
        <w:t>The risk in force of these transactions, which refers to the maximum amount of losses that could be absorbed by credit risk transfer investors, was approximately $44 billion as of March 31, 2024, compared with approximately $42 billion as of December 31, 2023.</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8" w:name="page29"/>
    <w:bookmarkEnd w:id="2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00"/>
        <w:spacing w:after="0" w:line="271" w:lineRule="auto"/>
        <w:rPr>
          <w:sz w:val="20"/>
          <w:szCs w:val="20"/>
          <w:color w:val="auto"/>
        </w:rPr>
      </w:pPr>
      <w:r>
        <w:rPr>
          <w:rFonts w:ascii="Arial" w:cs="Arial" w:eastAsia="Arial" w:hAnsi="Arial"/>
          <w:sz w:val="16"/>
          <w:szCs w:val="16"/>
          <w:color w:val="auto"/>
        </w:rPr>
        <w:t>The table below displays information about the credit enhancement recovery receivables we have recognized within “Other assets” in our condensed consolidated balance sheets. The decrease in our single-family freestanding credit enhancement receivables as of March 31, 2024 compared with December 31, 2023, was primarily the result of a decrease in our estimate of credit losses in the first quarter of 2024. As our estimate of credit losses decreases, so does the benefit we expect to receive from our freestanding credit enhancements.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Credit Enhancement Receivables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540" w:type="dxa"/>
            <w:vAlign w:val="bottom"/>
            <w:tcBorders>
              <w:top w:val="single" w:sz="8" w:color="2C6937"/>
            </w:tcBorders>
          </w:tcPr>
          <w:p>
            <w:pPr>
              <w:spacing w:after="0"/>
              <w:rPr>
                <w:sz w:val="18"/>
                <w:szCs w:val="18"/>
                <w:color w:val="auto"/>
              </w:rPr>
            </w:pPr>
          </w:p>
        </w:tc>
        <w:tc>
          <w:tcPr>
            <w:tcW w:w="1660" w:type="dxa"/>
            <w:vAlign w:val="bottom"/>
            <w:tcBorders>
              <w:top w:val="single" w:sz="8" w:color="2C6937"/>
              <w:bottom w:val="single" w:sz="8" w:color="2C6937"/>
            </w:tcBorders>
          </w:tcPr>
          <w:p>
            <w:pPr>
              <w:spacing w:after="0"/>
              <w:rPr>
                <w:sz w:val="18"/>
                <w:szCs w:val="18"/>
                <w:color w:val="auto"/>
              </w:rPr>
            </w:pPr>
          </w:p>
        </w:tc>
        <w:tc>
          <w:tcPr>
            <w:tcW w:w="2580" w:type="dxa"/>
            <w:vAlign w:val="bottom"/>
            <w:tcBorders>
              <w:top w:val="single" w:sz="8" w:color="2C6937"/>
              <w:bottom w:val="single" w:sz="8" w:color="2C6937"/>
            </w:tcBorders>
            <w:gridSpan w:val="2"/>
          </w:tcPr>
          <w:p>
            <w:pPr>
              <w:jc w:val="center"/>
              <w:ind w:right="1147"/>
              <w:spacing w:after="0"/>
              <w:rPr>
                <w:sz w:val="20"/>
                <w:szCs w:val="20"/>
                <w:color w:val="auto"/>
              </w:rPr>
            </w:pPr>
            <w:r>
              <w:rPr>
                <w:rFonts w:ascii="Arial" w:cs="Arial" w:eastAsia="Arial" w:hAnsi="Arial"/>
                <w:sz w:val="14"/>
                <w:szCs w:val="14"/>
                <w:b w:val="1"/>
                <w:bCs w:val="1"/>
                <w:color w:val="auto"/>
              </w:rPr>
              <w:t>As of</w:t>
            </w:r>
          </w:p>
        </w:tc>
        <w:tc>
          <w:tcPr>
            <w:tcW w:w="440" w:type="dxa"/>
            <w:vAlign w:val="bottom"/>
            <w:tcBorders>
              <w:top w:val="single" w:sz="8" w:color="2C6937"/>
              <w:bottom w:val="single" w:sz="8" w:color="2C6937"/>
            </w:tcBorders>
          </w:tcPr>
          <w:p>
            <w:pPr>
              <w:spacing w:after="0"/>
              <w:rPr>
                <w:sz w:val="18"/>
                <w:szCs w:val="18"/>
                <w:color w:val="auto"/>
              </w:rPr>
            </w:pPr>
          </w:p>
        </w:tc>
      </w:tr>
      <w:tr>
        <w:trPr>
          <w:trHeight w:val="186"/>
        </w:trPr>
        <w:tc>
          <w:tcPr>
            <w:tcW w:w="6540" w:type="dxa"/>
            <w:vAlign w:val="bottom"/>
          </w:tcPr>
          <w:p>
            <w:pPr>
              <w:spacing w:after="0"/>
              <w:rPr>
                <w:sz w:val="16"/>
                <w:szCs w:val="16"/>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March 31, 2024</w:t>
            </w:r>
          </w:p>
        </w:tc>
        <w:tc>
          <w:tcPr>
            <w:tcW w:w="660" w:type="dxa"/>
            <w:vAlign w:val="bottom"/>
            <w:tcBorders>
              <w:bottom w:val="single" w:sz="8" w:color="2C6937"/>
            </w:tcBorders>
          </w:tcPr>
          <w:p>
            <w:pPr>
              <w:spacing w:after="0"/>
              <w:rPr>
                <w:sz w:val="16"/>
                <w:szCs w:val="16"/>
                <w:color w:val="auto"/>
              </w:rPr>
            </w:pPr>
          </w:p>
        </w:tc>
        <w:tc>
          <w:tcPr>
            <w:tcW w:w="1920" w:type="dxa"/>
            <w:vAlign w:val="bottom"/>
            <w:tcBorders>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rPr>
              <w:t>December 31, 2023</w:t>
            </w:r>
          </w:p>
        </w:tc>
        <w:tc>
          <w:tcPr>
            <w:tcW w:w="440" w:type="dxa"/>
            <w:vAlign w:val="bottom"/>
            <w:tcBorders>
              <w:bottom w:val="single" w:sz="8" w:color="2C6937"/>
            </w:tcBorders>
          </w:tcPr>
          <w:p>
            <w:pPr>
              <w:spacing w:after="0"/>
              <w:rPr>
                <w:sz w:val="16"/>
                <w:szCs w:val="16"/>
                <w:color w:val="auto"/>
              </w:rPr>
            </w:pPr>
          </w:p>
        </w:tc>
      </w:tr>
      <w:tr>
        <w:trPr>
          <w:trHeight w:val="185"/>
        </w:trPr>
        <w:tc>
          <w:tcPr>
            <w:tcW w:w="6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580" w:type="dxa"/>
            <w:vAlign w:val="bottom"/>
            <w:gridSpan w:val="2"/>
          </w:tcPr>
          <w:p>
            <w:pPr>
              <w:jc w:val="center"/>
              <w:ind w:right="1147"/>
              <w:spacing w:after="0"/>
              <w:rPr>
                <w:sz w:val="20"/>
                <w:szCs w:val="20"/>
                <w:color w:val="auto"/>
              </w:rPr>
            </w:pPr>
            <w:r>
              <w:rPr>
                <w:rFonts w:ascii="Arial" w:cs="Arial" w:eastAsia="Arial" w:hAnsi="Arial"/>
                <w:sz w:val="14"/>
                <w:szCs w:val="14"/>
                <w:b w:val="1"/>
                <w:bCs w:val="1"/>
                <w:color w:val="auto"/>
                <w:w w:val="98"/>
              </w:rPr>
              <w:t>(Dollars in millions)</w:t>
            </w:r>
          </w:p>
        </w:tc>
        <w:tc>
          <w:tcPr>
            <w:tcW w:w="440" w:type="dxa"/>
            <w:vAlign w:val="bottom"/>
          </w:tcPr>
          <w:p>
            <w:pPr>
              <w:spacing w:after="0"/>
              <w:rPr>
                <w:sz w:val="16"/>
                <w:szCs w:val="16"/>
                <w:color w:val="auto"/>
              </w:rPr>
            </w:pPr>
          </w:p>
        </w:tc>
      </w:tr>
      <w:tr>
        <w:trPr>
          <w:trHeight w:val="240"/>
        </w:trPr>
        <w:tc>
          <w:tcPr>
            <w:tcW w:w="6540" w:type="dxa"/>
            <w:vAlign w:val="bottom"/>
          </w:tcPr>
          <w:p>
            <w:pPr>
              <w:ind w:left="20"/>
              <w:spacing w:after="0"/>
              <w:rPr>
                <w:sz w:val="20"/>
                <w:szCs w:val="20"/>
                <w:color w:val="auto"/>
              </w:rPr>
            </w:pPr>
            <w:r>
              <w:rPr>
                <w:rFonts w:ascii="Arial" w:cs="Arial" w:eastAsia="Arial" w:hAnsi="Arial"/>
                <w:sz w:val="15"/>
                <w:szCs w:val="15"/>
                <w:color w:val="auto"/>
              </w:rPr>
              <w:t>Freestanding credit enhancement receivables</w:t>
            </w:r>
          </w:p>
        </w:tc>
        <w:tc>
          <w:tcPr>
            <w:tcW w:w="1660" w:type="dxa"/>
            <w:vAlign w:val="bottom"/>
          </w:tcPr>
          <w:p>
            <w:pPr>
              <w:jc w:val="right"/>
              <w:ind w:right="1487"/>
              <w:spacing w:after="0"/>
              <w:rPr>
                <w:sz w:val="20"/>
                <w:szCs w:val="20"/>
                <w:color w:val="auto"/>
              </w:rPr>
            </w:pPr>
            <w:r>
              <w:rPr>
                <w:rFonts w:ascii="Arial" w:cs="Arial" w:eastAsia="Arial" w:hAnsi="Arial"/>
                <w:sz w:val="15"/>
                <w:szCs w:val="15"/>
                <w:b w:val="1"/>
                <w:bCs w:val="1"/>
                <w:color w:val="auto"/>
                <w:w w:val="95"/>
              </w:rPr>
              <w:t>$</w:t>
            </w:r>
          </w:p>
        </w:tc>
        <w:tc>
          <w:tcPr>
            <w:tcW w:w="660" w:type="dxa"/>
            <w:vAlign w:val="bottom"/>
          </w:tcPr>
          <w:p>
            <w:pPr>
              <w:jc w:val="right"/>
              <w:ind w:right="27"/>
              <w:spacing w:after="0"/>
              <w:rPr>
                <w:sz w:val="20"/>
                <w:szCs w:val="20"/>
                <w:color w:val="auto"/>
              </w:rPr>
            </w:pPr>
            <w:r>
              <w:rPr>
                <w:rFonts w:ascii="Arial" w:cs="Arial" w:eastAsia="Arial" w:hAnsi="Arial"/>
                <w:sz w:val="15"/>
                <w:szCs w:val="15"/>
                <w:b w:val="1"/>
                <w:bCs w:val="1"/>
                <w:color w:val="auto"/>
              </w:rPr>
              <w:t>210</w:t>
            </w:r>
          </w:p>
        </w:tc>
        <w:tc>
          <w:tcPr>
            <w:tcW w:w="1920" w:type="dxa"/>
            <w:vAlign w:val="bottom"/>
          </w:tcPr>
          <w:p>
            <w:pPr>
              <w:jc w:val="right"/>
              <w:ind w:right="1667"/>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253</w:t>
            </w:r>
          </w:p>
        </w:tc>
      </w:tr>
      <w:tr>
        <w:trPr>
          <w:trHeight w:val="278"/>
        </w:trPr>
        <w:tc>
          <w:tcPr>
            <w:tcW w:w="6540" w:type="dxa"/>
            <w:vAlign w:val="bottom"/>
          </w:tcPr>
          <w:p>
            <w:pPr>
              <w:ind w:left="20"/>
              <w:spacing w:after="0"/>
              <w:rPr>
                <w:sz w:val="20"/>
                <w:szCs w:val="20"/>
                <w:color w:val="auto"/>
              </w:rPr>
            </w:pPr>
            <w:r>
              <w:rPr>
                <w:rFonts w:ascii="Arial" w:cs="Arial" w:eastAsia="Arial" w:hAnsi="Arial"/>
                <w:sz w:val="15"/>
                <w:szCs w:val="15"/>
                <w:color w:val="auto"/>
              </w:rPr>
              <w:t>Primary mortgage insurance receivables, net of allowance</w:t>
            </w:r>
            <w:r>
              <w:rPr>
                <w:rFonts w:ascii="Arial" w:cs="Arial" w:eastAsia="Arial" w:hAnsi="Arial"/>
                <w:sz w:val="20"/>
                <w:szCs w:val="20"/>
                <w:color w:val="auto"/>
                <w:vertAlign w:val="superscript"/>
              </w:rPr>
              <w:t>(1)</w:t>
            </w:r>
          </w:p>
        </w:tc>
        <w:tc>
          <w:tcPr>
            <w:tcW w:w="166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b w:val="1"/>
                <w:bCs w:val="1"/>
                <w:color w:val="auto"/>
              </w:rPr>
              <w:t>53</w:t>
            </w:r>
          </w:p>
        </w:tc>
        <w:tc>
          <w:tcPr>
            <w:tcW w:w="1920" w:type="dxa"/>
            <w:vAlign w:val="bottom"/>
          </w:tcPr>
          <w:p>
            <w:pPr>
              <w:spacing w:after="0"/>
              <w:rPr>
                <w:sz w:val="24"/>
                <w:szCs w:val="24"/>
                <w:color w:val="auto"/>
              </w:rPr>
            </w:pPr>
          </w:p>
        </w:tc>
        <w:tc>
          <w:tcPr>
            <w:tcW w:w="440" w:type="dxa"/>
            <w:vAlign w:val="bottom"/>
          </w:tcPr>
          <w:p>
            <w:pPr>
              <w:jc w:val="right"/>
              <w:ind w:right="3"/>
              <w:spacing w:after="0"/>
              <w:rPr>
                <w:sz w:val="20"/>
                <w:szCs w:val="20"/>
                <w:color w:val="auto"/>
              </w:rPr>
            </w:pPr>
            <w:r>
              <w:rPr>
                <w:rFonts w:ascii="Arial" w:cs="Arial" w:eastAsia="Arial" w:hAnsi="Arial"/>
                <w:sz w:val="15"/>
                <w:szCs w:val="15"/>
                <w:color w:val="auto"/>
              </w:rPr>
              <w:t>54</w:t>
            </w:r>
          </w:p>
        </w:tc>
      </w:tr>
    </w:tbl>
    <w:p>
      <w:pPr>
        <w:spacing w:after="0" w:line="56" w:lineRule="exact"/>
        <w:rPr>
          <w:sz w:val="20"/>
          <w:szCs w:val="20"/>
          <w:color w:val="auto"/>
        </w:rPr>
      </w:pPr>
    </w:p>
    <w:p>
      <w:pPr>
        <w:ind w:left="240" w:right="420" w:hanging="237"/>
        <w:spacing w:after="0" w:line="278" w:lineRule="auto"/>
        <w:tabs>
          <w:tab w:leader="none" w:pos="233" w:val="left"/>
        </w:tabs>
        <w:numPr>
          <w:ilvl w:val="0"/>
          <w:numId w:val="32"/>
        </w:numPr>
        <w:rPr>
          <w:rFonts w:ascii="Arial" w:cs="Arial" w:eastAsia="Arial" w:hAnsi="Arial"/>
          <w:sz w:val="9"/>
          <w:szCs w:val="9"/>
          <w:color w:val="auto"/>
        </w:rPr>
      </w:pPr>
      <w:r>
        <w:rPr>
          <w:rFonts w:ascii="Arial" w:cs="Arial" w:eastAsia="Arial" w:hAnsi="Arial"/>
          <w:sz w:val="14"/>
          <w:szCs w:val="14"/>
          <w:color w:val="auto"/>
        </w:rPr>
        <w:t>Amount is net of a valuation allowance of $417 million as of March 31, 2024 and December 31, 2023. The vast majority of this valuation allowance related to deferred payment obligations associated with unpaid claim amounts for which collectability is uncertain.</w:t>
      </w:r>
    </w:p>
    <w:p>
      <w:pPr>
        <w:spacing w:after="0" w:line="5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table below displays the approximate cash paid or transferred to investors for credit risk transfer transactions. The cash represents the portion of the guaranty fee paid to investors as compensation for taking on a share of the credit risk.</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Credit Risk Transfer Transactions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500" w:type="dxa"/>
            <w:vAlign w:val="bottom"/>
            <w:tcBorders>
              <w:top w:val="single" w:sz="8" w:color="2C6937"/>
            </w:tcBorders>
          </w:tcPr>
          <w:p>
            <w:pPr>
              <w:spacing w:after="0"/>
              <w:rPr>
                <w:sz w:val="18"/>
                <w:szCs w:val="18"/>
                <w:color w:val="auto"/>
              </w:rPr>
            </w:pPr>
          </w:p>
        </w:tc>
        <w:tc>
          <w:tcPr>
            <w:tcW w:w="3260" w:type="dxa"/>
            <w:vAlign w:val="bottom"/>
            <w:tcBorders>
              <w:top w:val="single" w:sz="8" w:color="2C6937"/>
              <w:bottom w:val="single" w:sz="8" w:color="2C6937"/>
            </w:tcBorders>
            <w:gridSpan w:val="3"/>
          </w:tcPr>
          <w:p>
            <w:pPr>
              <w:jc w:val="center"/>
              <w:ind w:left="368"/>
              <w:spacing w:after="0"/>
              <w:rPr>
                <w:sz w:val="20"/>
                <w:szCs w:val="20"/>
                <w:color w:val="auto"/>
              </w:rPr>
            </w:pPr>
            <w:r>
              <w:rPr>
                <w:rFonts w:ascii="Arial" w:cs="Arial" w:eastAsia="Arial" w:hAnsi="Arial"/>
                <w:sz w:val="14"/>
                <w:szCs w:val="14"/>
                <w:b w:val="1"/>
                <w:bCs w:val="1"/>
                <w:color w:val="auto"/>
                <w:w w:val="98"/>
              </w:rPr>
              <w:t>For the Three Months Ended March 31,</w:t>
            </w:r>
          </w:p>
        </w:tc>
        <w:tc>
          <w:tcPr>
            <w:tcW w:w="460" w:type="dxa"/>
            <w:vAlign w:val="bottom"/>
            <w:tcBorders>
              <w:top w:val="single" w:sz="8" w:color="2C6937"/>
              <w:bottom w:val="single" w:sz="8" w:color="2C6937"/>
            </w:tcBorders>
          </w:tcPr>
          <w:p>
            <w:pPr>
              <w:spacing w:after="0"/>
              <w:rPr>
                <w:sz w:val="18"/>
                <w:szCs w:val="18"/>
                <w:color w:val="auto"/>
              </w:rPr>
            </w:pPr>
          </w:p>
        </w:tc>
      </w:tr>
      <w:tr>
        <w:trPr>
          <w:trHeight w:val="186"/>
        </w:trPr>
        <w:tc>
          <w:tcPr>
            <w:tcW w:w="7500" w:type="dxa"/>
            <w:vAlign w:val="bottom"/>
          </w:tcPr>
          <w:p>
            <w:pPr>
              <w:spacing w:after="0"/>
              <w:rPr>
                <w:sz w:val="16"/>
                <w:szCs w:val="16"/>
                <w:color w:val="auto"/>
              </w:rPr>
            </w:pPr>
          </w:p>
        </w:tc>
        <w:tc>
          <w:tcPr>
            <w:tcW w:w="1140" w:type="dxa"/>
            <w:vAlign w:val="bottom"/>
            <w:tcBorders>
              <w:bottom w:val="single" w:sz="8" w:color="2C6937"/>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jc w:val="right"/>
              <w:ind w:right="22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2C6937"/>
            </w:tcBorders>
          </w:tcPr>
          <w:p>
            <w:pPr>
              <w:spacing w:after="0"/>
              <w:rPr>
                <w:sz w:val="16"/>
                <w:szCs w:val="16"/>
                <w:color w:val="auto"/>
              </w:rPr>
            </w:pPr>
          </w:p>
        </w:tc>
      </w:tr>
      <w:tr>
        <w:trPr>
          <w:trHeight w:val="185"/>
        </w:trPr>
        <w:tc>
          <w:tcPr>
            <w:tcW w:w="7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20" w:type="dxa"/>
            <w:vAlign w:val="bottom"/>
            <w:gridSpan w:val="2"/>
          </w:tcPr>
          <w:p>
            <w:pPr>
              <w:jc w:val="center"/>
              <w:ind w:right="607"/>
              <w:spacing w:after="0"/>
              <w:rPr>
                <w:sz w:val="20"/>
                <w:szCs w:val="20"/>
                <w:color w:val="auto"/>
              </w:rPr>
            </w:pPr>
            <w:r>
              <w:rPr>
                <w:rFonts w:ascii="Arial" w:cs="Arial" w:eastAsia="Arial" w:hAnsi="Arial"/>
                <w:sz w:val="14"/>
                <w:szCs w:val="14"/>
                <w:b w:val="1"/>
                <w:bCs w:val="1"/>
                <w:color w:val="auto"/>
                <w:w w:val="98"/>
              </w:rPr>
              <w:t>(Dollars in millions)</w:t>
            </w:r>
          </w:p>
        </w:tc>
        <w:tc>
          <w:tcPr>
            <w:tcW w:w="460" w:type="dxa"/>
            <w:vAlign w:val="bottom"/>
          </w:tcPr>
          <w:p>
            <w:pPr>
              <w:spacing w:after="0"/>
              <w:rPr>
                <w:sz w:val="16"/>
                <w:szCs w:val="16"/>
                <w:color w:val="auto"/>
              </w:rPr>
            </w:pPr>
          </w:p>
        </w:tc>
      </w:tr>
      <w:tr>
        <w:trPr>
          <w:trHeight w:val="219"/>
        </w:trPr>
        <w:tc>
          <w:tcPr>
            <w:tcW w:w="7500" w:type="dxa"/>
            <w:vAlign w:val="bottom"/>
          </w:tcPr>
          <w:p>
            <w:pPr>
              <w:ind w:left="20"/>
              <w:spacing w:after="0"/>
              <w:rPr>
                <w:sz w:val="20"/>
                <w:szCs w:val="20"/>
                <w:color w:val="auto"/>
              </w:rPr>
            </w:pPr>
            <w:r>
              <w:rPr>
                <w:rFonts w:ascii="Arial" w:cs="Arial" w:eastAsia="Arial" w:hAnsi="Arial"/>
                <w:sz w:val="15"/>
                <w:szCs w:val="15"/>
                <w:color w:val="auto"/>
              </w:rPr>
              <w:t>Cash paid or transferred for:</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60"/>
        </w:trPr>
        <w:tc>
          <w:tcPr>
            <w:tcW w:w="7500" w:type="dxa"/>
            <w:vAlign w:val="bottom"/>
          </w:tcPr>
          <w:p>
            <w:pPr>
              <w:ind w:left="160"/>
              <w:spacing w:after="0"/>
              <w:rPr>
                <w:sz w:val="20"/>
                <w:szCs w:val="20"/>
                <w:color w:val="auto"/>
              </w:rPr>
            </w:pPr>
            <w:r>
              <w:rPr>
                <w:rFonts w:ascii="Arial" w:cs="Arial" w:eastAsia="Arial" w:hAnsi="Arial"/>
                <w:sz w:val="15"/>
                <w:szCs w:val="15"/>
                <w:color w:val="auto"/>
              </w:rPr>
              <w:t>CAS transactions</w:t>
            </w:r>
            <w:r>
              <w:rPr>
                <w:rFonts w:ascii="Arial" w:cs="Arial" w:eastAsia="Arial" w:hAnsi="Arial"/>
                <w:sz w:val="20"/>
                <w:szCs w:val="20"/>
                <w:color w:val="auto"/>
                <w:vertAlign w:val="superscript"/>
              </w:rPr>
              <w:t>(1)</w:t>
            </w:r>
          </w:p>
        </w:tc>
        <w:tc>
          <w:tcPr>
            <w:tcW w:w="1140" w:type="dxa"/>
            <w:vAlign w:val="bottom"/>
          </w:tcPr>
          <w:p>
            <w:pPr>
              <w:jc w:val="right"/>
              <w:ind w:right="968"/>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ind w:right="5"/>
              <w:spacing w:after="0"/>
              <w:rPr>
                <w:sz w:val="20"/>
                <w:szCs w:val="20"/>
                <w:color w:val="auto"/>
              </w:rPr>
            </w:pPr>
            <w:r>
              <w:rPr>
                <w:rFonts w:ascii="Arial" w:cs="Arial" w:eastAsia="Arial" w:hAnsi="Arial"/>
                <w:sz w:val="15"/>
                <w:szCs w:val="15"/>
                <w:b w:val="1"/>
                <w:bCs w:val="1"/>
                <w:color w:val="auto"/>
              </w:rPr>
              <w:t>228</w:t>
            </w:r>
          </w:p>
        </w:tc>
        <w:tc>
          <w:tcPr>
            <w:tcW w:w="1440" w:type="dxa"/>
            <w:vAlign w:val="bottom"/>
          </w:tcPr>
          <w:p>
            <w:pPr>
              <w:jc w:val="right"/>
              <w:ind w:right="1167"/>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223</w:t>
            </w:r>
          </w:p>
        </w:tc>
      </w:tr>
      <w:tr>
        <w:trPr>
          <w:trHeight w:val="225"/>
        </w:trPr>
        <w:tc>
          <w:tcPr>
            <w:tcW w:w="7500" w:type="dxa"/>
            <w:vAlign w:val="bottom"/>
          </w:tcPr>
          <w:p>
            <w:pPr>
              <w:ind w:left="160"/>
              <w:spacing w:after="0"/>
              <w:rPr>
                <w:sz w:val="20"/>
                <w:szCs w:val="20"/>
                <w:color w:val="auto"/>
              </w:rPr>
            </w:pPr>
            <w:r>
              <w:rPr>
                <w:rFonts w:ascii="Arial" w:cs="Arial" w:eastAsia="Arial" w:hAnsi="Arial"/>
                <w:sz w:val="15"/>
                <w:szCs w:val="15"/>
                <w:color w:val="auto"/>
              </w:rPr>
              <w:t>CIRT transactions</w:t>
            </w:r>
          </w:p>
        </w:tc>
        <w:tc>
          <w:tcPr>
            <w:tcW w:w="1140" w:type="dxa"/>
            <w:vAlign w:val="bottom"/>
          </w:tcPr>
          <w:p>
            <w:pPr>
              <w:spacing w:after="0"/>
              <w:rPr>
                <w:sz w:val="19"/>
                <w:szCs w:val="19"/>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b w:val="1"/>
                <w:bCs w:val="1"/>
                <w:color w:val="auto"/>
              </w:rPr>
              <w:t>106</w:t>
            </w:r>
          </w:p>
        </w:tc>
        <w:tc>
          <w:tcPr>
            <w:tcW w:w="1440" w:type="dxa"/>
            <w:vAlign w:val="bottom"/>
          </w:tcPr>
          <w:p>
            <w:pPr>
              <w:spacing w:after="0"/>
              <w:rPr>
                <w:sz w:val="19"/>
                <w:szCs w:val="19"/>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89</w:t>
            </w:r>
          </w:p>
        </w:tc>
      </w:tr>
      <w:tr>
        <w:trPr>
          <w:trHeight w:val="232"/>
        </w:trPr>
        <w:tc>
          <w:tcPr>
            <w:tcW w:w="7500" w:type="dxa"/>
            <w:vAlign w:val="bottom"/>
          </w:tcPr>
          <w:p>
            <w:pPr>
              <w:ind w:left="160"/>
              <w:spacing w:after="0"/>
              <w:rPr>
                <w:sz w:val="20"/>
                <w:szCs w:val="20"/>
                <w:color w:val="auto"/>
              </w:rPr>
            </w:pPr>
            <w:r>
              <w:rPr>
                <w:rFonts w:ascii="Arial" w:cs="Arial" w:eastAsia="Arial" w:hAnsi="Arial"/>
                <w:sz w:val="15"/>
                <w:szCs w:val="15"/>
                <w:color w:val="auto"/>
              </w:rPr>
              <w:t>Lender risk-sharing transactions</w:t>
            </w:r>
          </w:p>
        </w:tc>
        <w:tc>
          <w:tcPr>
            <w:tcW w:w="1140" w:type="dxa"/>
            <w:vAlign w:val="bottom"/>
          </w:tcPr>
          <w:p>
            <w:pPr>
              <w:spacing w:after="0"/>
              <w:rPr>
                <w:sz w:val="20"/>
                <w:szCs w:val="20"/>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b w:val="1"/>
                <w:bCs w:val="1"/>
                <w:color w:val="auto"/>
              </w:rPr>
              <w:t>46</w:t>
            </w:r>
          </w:p>
        </w:tc>
        <w:tc>
          <w:tcPr>
            <w:tcW w:w="1440" w:type="dxa"/>
            <w:vAlign w:val="bottom"/>
          </w:tcPr>
          <w:p>
            <w:pPr>
              <w:spacing w:after="0"/>
              <w:rPr>
                <w:sz w:val="20"/>
                <w:szCs w:val="20"/>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34</w:t>
            </w:r>
          </w:p>
        </w:tc>
      </w:tr>
    </w:tbl>
    <w:p>
      <w:pPr>
        <w:spacing w:after="0" w:line="111" w:lineRule="exact"/>
        <w:rPr>
          <w:sz w:val="20"/>
          <w:szCs w:val="20"/>
          <w:color w:val="auto"/>
        </w:rPr>
      </w:pPr>
    </w:p>
    <w:p>
      <w:pPr>
        <w:ind w:left="240" w:right="300" w:hanging="237"/>
        <w:spacing w:after="0" w:line="229"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Consists of cash paid for interest expense net of LIBOR or SOFR, as applicable, on outstanding CAS debt and amounts paid for both CAS REMIC</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CAS Credit-linked notes transactions.</w:t>
      </w:r>
    </w:p>
    <w:p>
      <w:pPr>
        <w:spacing w:after="0" w:line="7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Cash paid or transferred to investors for CIRT transactions includes cancellation fees paid on certain CIRT transactions where we determined that the cost of these deals exceeded the expected remaining benefit.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primary characteristics of loans in our single-family conventional guaranty book of business without credit enhancement.</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Currently without Credit Enhancement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9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60" w:type="dxa"/>
            <w:vAlign w:val="bottom"/>
            <w:tcBorders>
              <w:top w:val="single" w:sz="8" w:color="2C6937"/>
              <w:bottom w:val="single" w:sz="8" w:color="2C6937"/>
            </w:tcBorders>
            <w:gridSpan w:val="3"/>
          </w:tcPr>
          <w:p>
            <w:pPr>
              <w:jc w:val="center"/>
              <w:ind w:left="1325"/>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15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80" w:type="dxa"/>
            <w:vAlign w:val="bottom"/>
            <w:tcBorders>
              <w:bottom w:val="single" w:sz="8" w:color="2C6937"/>
            </w:tcBorders>
            <w:gridSpan w:val="3"/>
          </w:tcPr>
          <w:p>
            <w:pPr>
              <w:jc w:val="right"/>
              <w:ind w:right="805"/>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3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Percentage of Single-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Family Conventional</w:t>
            </w: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68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Business</w:t>
            </w:r>
          </w:p>
        </w:tc>
        <w:tc>
          <w:tcPr>
            <w:tcW w:w="18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center"/>
              <w:ind w:left="305"/>
              <w:spacing w:after="0"/>
              <w:rPr>
                <w:sz w:val="20"/>
                <w:szCs w:val="20"/>
                <w:color w:val="auto"/>
              </w:rPr>
            </w:pPr>
            <w:r>
              <w:rPr>
                <w:rFonts w:ascii="Arial" w:cs="Arial" w:eastAsia="Arial" w:hAnsi="Arial"/>
                <w:sz w:val="14"/>
                <w:szCs w:val="14"/>
                <w:b w:val="1"/>
                <w:bCs w:val="1"/>
                <w:color w:val="auto"/>
                <w:w w:val="98"/>
              </w:rPr>
              <w:t>(Dollars in billions)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Low LTV ratio or short-term</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1,094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30 %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Pre-credit risk transfer program inception</w:t>
            </w:r>
            <w:r>
              <w:rPr>
                <w:rFonts w:ascii="Arial" w:cs="Arial" w:eastAsia="Arial" w:hAnsi="Arial"/>
                <w:sz w:val="20"/>
                <w:szCs w:val="20"/>
                <w:color w:val="auto"/>
                <w:vertAlign w:val="superscript"/>
              </w:rPr>
              <w:t>(2)</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234</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Recently acquired</w:t>
            </w:r>
            <w:r>
              <w:rPr>
                <w:rFonts w:ascii="Arial" w:cs="Arial" w:eastAsia="Arial" w:hAnsi="Arial"/>
                <w:sz w:val="20"/>
                <w:szCs w:val="20"/>
                <w:color w:val="auto"/>
                <w:vertAlign w:val="superscript"/>
              </w:rPr>
              <w:t>(3)</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143</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733</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6"/>
        </w:trPr>
        <w:tc>
          <w:tcPr>
            <w:tcW w:w="55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in multiple categories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9"/>
                <w:szCs w:val="19"/>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9"/>
                <w:szCs w:val="19"/>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20"/>
              <w:spacing w:after="0"/>
              <w:rPr>
                <w:sz w:val="20"/>
                <w:szCs w:val="20"/>
                <w:color w:val="auto"/>
              </w:rPr>
            </w:pPr>
            <w:r>
              <w:rPr>
                <w:rFonts w:ascii="Arial" w:cs="Arial" w:eastAsia="Arial" w:hAnsi="Arial"/>
                <w:sz w:val="15"/>
                <w:szCs w:val="15"/>
                <w:color w:val="auto"/>
              </w:rPr>
              <w:t>Total single-family loans currently without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1,942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
        </w:trPr>
        <w:tc>
          <w:tcPr>
            <w:tcW w:w="5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7"/>
        <w:spacing w:after="0"/>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loans with an LTV ratio less than or equal to 60% or loans with an original maturity of 20 years or less.</w:t>
      </w:r>
    </w:p>
    <w:p>
      <w:pPr>
        <w:spacing w:after="0" w:line="37"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acquired before the inception of our credit risk transfer programs. Also includes Refi Plus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loans.</w:t>
      </w:r>
    </w:p>
    <w:p>
      <w:pPr>
        <w:ind w:left="220" w:hanging="217"/>
        <w:spacing w:after="0" w:line="195" w:lineRule="auto"/>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recently acquired and have not been included in a reference pool.</w:t>
      </w:r>
    </w:p>
    <w:p>
      <w:pPr>
        <w:spacing w:after="0" w:line="25" w:lineRule="exact"/>
        <w:rPr>
          <w:rFonts w:ascii="Arial" w:cs="Arial" w:eastAsia="Arial" w:hAnsi="Arial"/>
          <w:sz w:val="18"/>
          <w:szCs w:val="18"/>
          <w:color w:val="auto"/>
          <w:vertAlign w:val="superscript"/>
        </w:rPr>
      </w:pPr>
    </w:p>
    <w:p>
      <w:pPr>
        <w:ind w:left="240" w:right="80" w:hanging="237"/>
        <w:spacing w:after="0" w:line="260" w:lineRule="auto"/>
        <w:tabs>
          <w:tab w:leader="none" w:pos="233" w:val="left"/>
        </w:tabs>
        <w:numPr>
          <w:ilvl w:val="0"/>
          <w:numId w:val="34"/>
        </w:numPr>
        <w:rPr>
          <w:rFonts w:ascii="Arial" w:cs="Arial" w:eastAsia="Arial" w:hAnsi="Arial"/>
          <w:sz w:val="9"/>
          <w:szCs w:val="9"/>
          <w:color w:val="auto"/>
        </w:rPr>
      </w:pPr>
      <w:r>
        <w:rPr>
          <w:rFonts w:ascii="Arial" w:cs="Arial" w:eastAsia="Arial" w:hAnsi="Arial"/>
          <w:sz w:val="14"/>
          <w:szCs w:val="14"/>
          <w:color w:val="auto"/>
        </w:rPr>
        <w:t>Includes adjustable-rate mortgage loans, loans with a combined LTV ratio greater than 97%, non-Refi Plus loans acquired after the inception of our credit risk transfer programs that became 30 or more days delinquent prior to inclusion in a credit risk transfer transaction,</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right="160"/>
        <w:spacing w:after="0" w:line="278" w:lineRule="auto"/>
        <w:rPr>
          <w:sz w:val="20"/>
          <w:szCs w:val="20"/>
          <w:color w:val="auto"/>
        </w:rPr>
      </w:pPr>
      <w:r>
        <w:rPr>
          <w:rFonts w:ascii="Arial" w:cs="Arial" w:eastAsia="Arial" w:hAnsi="Arial"/>
          <w:sz w:val="14"/>
          <w:szCs w:val="14"/>
          <w:color w:val="auto"/>
        </w:rPr>
        <w:t>and loans that were delinquent as of March 31, 2024 or December 31, 2023. Also includes loans that were previously included in a credit risk transfer transaction but subsequently had the coverage canceled.</w:t>
      </w:r>
    </w:p>
    <w:p>
      <w:pPr>
        <w:spacing w:after="0" w:line="65" w:lineRule="exact"/>
        <w:rPr>
          <w:sz w:val="20"/>
          <w:szCs w:val="20"/>
          <w:color w:val="auto"/>
        </w:rPr>
      </w:pPr>
    </w:p>
    <w:p>
      <w:pPr>
        <w:ind w:left="20"/>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93" w:lineRule="exact"/>
        <w:rPr>
          <w:sz w:val="20"/>
          <w:szCs w:val="20"/>
          <w:color w:val="auto"/>
        </w:rPr>
      </w:pPr>
    </w:p>
    <w:p>
      <w:pPr>
        <w:ind w:left="20" w:right="20"/>
        <w:spacing w:after="0" w:line="251"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2023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2"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106" w:lineRule="exact"/>
        <w:rPr>
          <w:sz w:val="20"/>
          <w:szCs w:val="20"/>
          <w:color w:val="auto"/>
        </w:rPr>
      </w:pPr>
    </w:p>
    <w:p>
      <w:pPr>
        <w:ind w:left="20" w:right="20"/>
        <w:spacing w:after="0" w:line="263"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Typically, higher serious delinquency rates result in a higher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December 31, 2023</w:t>
            </w:r>
          </w:p>
        </w:tc>
        <w:tc>
          <w:tcPr>
            <w:tcW w:w="20" w:type="dxa"/>
            <w:vAlign w:val="bottom"/>
          </w:tcPr>
          <w:p>
            <w:pPr>
              <w:spacing w:after="0"/>
              <w:rPr>
                <w:sz w:val="16"/>
                <w:szCs w:val="16"/>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2023</w:t>
            </w:r>
          </w:p>
        </w:tc>
      </w:tr>
      <w:tr>
        <w:trPr>
          <w:trHeight w:val="207"/>
        </w:trPr>
        <w:tc>
          <w:tcPr>
            <w:tcW w:w="526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90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20" w:type="dxa"/>
            <w:vAlign w:val="bottom"/>
            <w:tcBorders>
              <w:top w:val="single" w:sz="8" w:color="2C6937"/>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0.94 %</w:t>
            </w:r>
          </w:p>
        </w:tc>
        <w:tc>
          <w:tcPr>
            <w:tcW w:w="100" w:type="dxa"/>
            <w:vAlign w:val="bottom"/>
          </w:tcPr>
          <w:p>
            <w:pPr>
              <w:spacing w:after="0"/>
              <w:rPr>
                <w:sz w:val="21"/>
                <w:szCs w:val="21"/>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color w:val="auto"/>
              </w:rPr>
              <w:t>1.06 %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5"/>
                <w:szCs w:val="15"/>
                <w:color w:val="auto"/>
              </w:rPr>
              <w:t>0.74 %</w:t>
            </w: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0.23</w:t>
            </w:r>
          </w:p>
        </w:tc>
        <w:tc>
          <w:tcPr>
            <w:tcW w:w="100" w:type="dxa"/>
            <w:vAlign w:val="bottom"/>
          </w:tcPr>
          <w:p>
            <w:pPr>
              <w:spacing w:after="0"/>
              <w:rPr>
                <w:sz w:val="20"/>
                <w:szCs w:val="20"/>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color w:val="auto"/>
              </w:rPr>
              <w:t>0.26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0.19</w:t>
            </w:r>
          </w:p>
        </w:tc>
        <w:tc>
          <w:tcPr>
            <w:tcW w:w="4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0.51</w:t>
            </w:r>
          </w:p>
        </w:tc>
        <w:tc>
          <w:tcPr>
            <w:tcW w:w="100" w:type="dxa"/>
            <w:vAlign w:val="bottom"/>
          </w:tcPr>
          <w:p>
            <w:pPr>
              <w:spacing w:after="0"/>
              <w:rPr>
                <w:sz w:val="20"/>
                <w:szCs w:val="20"/>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color w:val="auto"/>
              </w:rPr>
              <w:t>0.55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0.59</w:t>
            </w:r>
          </w:p>
        </w:tc>
        <w:tc>
          <w:tcPr>
            <w:tcW w:w="40" w:type="dxa"/>
            <w:vAlign w:val="bottom"/>
          </w:tcPr>
          <w:p>
            <w:pPr>
              <w:spacing w:after="0"/>
              <w:rPr>
                <w:sz w:val="20"/>
                <w:szCs w:val="20"/>
                <w:color w:val="auto"/>
              </w:rPr>
            </w:pPr>
          </w:p>
        </w:tc>
      </w:tr>
      <w:tr>
        <w:trPr>
          <w:trHeight w:val="188"/>
        </w:trPr>
        <w:tc>
          <w:tcPr>
            <w:tcW w:w="20" w:type="dxa"/>
            <w:vAlign w:val="bottom"/>
          </w:tcPr>
          <w:p>
            <w:pPr>
              <w:spacing w:after="0"/>
              <w:rPr>
                <w:sz w:val="16"/>
                <w:szCs w:val="16"/>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180 days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49</w:t>
            </w:r>
          </w:p>
        </w:tc>
        <w:tc>
          <w:tcPr>
            <w:tcW w:w="100" w:type="dxa"/>
            <w:vAlign w:val="bottom"/>
          </w:tcPr>
          <w:p>
            <w:pPr>
              <w:spacing w:after="0"/>
              <w:rPr>
                <w:sz w:val="20"/>
                <w:szCs w:val="20"/>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5"/>
                <w:szCs w:val="15"/>
                <w:color w:val="auto"/>
              </w:rPr>
              <w:t>47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55</w:t>
            </w:r>
          </w:p>
        </w:tc>
        <w:tc>
          <w:tcPr>
            <w:tcW w:w="40" w:type="dxa"/>
            <w:vAlign w:val="bottom"/>
          </w:tcPr>
          <w:p>
            <w:pPr>
              <w:spacing w:after="0"/>
              <w:rPr>
                <w:sz w:val="20"/>
                <w:szCs w:val="20"/>
                <w:color w:val="auto"/>
              </w:rPr>
            </w:pPr>
          </w:p>
        </w:tc>
      </w:tr>
      <w:tr>
        <w:trPr>
          <w:trHeight w:val="188"/>
        </w:trPr>
        <w:tc>
          <w:tcPr>
            <w:tcW w:w="20" w:type="dxa"/>
            <w:vAlign w:val="bottom"/>
          </w:tcPr>
          <w:p>
            <w:pPr>
              <w:spacing w:after="0"/>
              <w:rPr>
                <w:sz w:val="16"/>
                <w:szCs w:val="16"/>
                <w:color w:val="auto"/>
              </w:rPr>
            </w:pPr>
          </w:p>
        </w:tc>
        <w:tc>
          <w:tcPr>
            <w:tcW w:w="524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5"/>
                <w:szCs w:val="15"/>
                <w:color w:val="auto"/>
              </w:rPr>
              <w:t>years</w:t>
            </w:r>
          </w:p>
        </w:tc>
        <w:tc>
          <w:tcPr>
            <w:tcW w:w="1900" w:type="dxa"/>
            <w:vAlign w:val="bottom"/>
          </w:tcPr>
          <w:p>
            <w:pPr>
              <w:jc w:val="right"/>
              <w:ind w:right="124"/>
              <w:spacing w:after="0"/>
              <w:rPr>
                <w:sz w:val="20"/>
                <w:szCs w:val="20"/>
                <w:color w:val="auto"/>
              </w:rPr>
            </w:pPr>
            <w:r>
              <w:rPr>
                <w:rFonts w:ascii="Arial" w:cs="Arial" w:eastAsia="Arial" w:hAnsi="Arial"/>
                <w:sz w:val="15"/>
                <w:szCs w:val="15"/>
                <w:b w:val="1"/>
                <w:bCs w:val="1"/>
                <w:color w:val="auto"/>
              </w:rPr>
              <w:t>9</w:t>
            </w:r>
          </w:p>
        </w:tc>
        <w:tc>
          <w:tcPr>
            <w:tcW w:w="100" w:type="dxa"/>
            <w:vAlign w:val="bottom"/>
          </w:tcPr>
          <w:p>
            <w:pPr>
              <w:spacing w:after="0"/>
              <w:rPr>
                <w:sz w:val="20"/>
                <w:szCs w:val="20"/>
                <w:color w:val="auto"/>
              </w:rPr>
            </w:pPr>
          </w:p>
        </w:tc>
        <w:tc>
          <w:tcPr>
            <w:tcW w:w="1940" w:type="dxa"/>
            <w:vAlign w:val="bottom"/>
            <w:gridSpan w:val="3"/>
          </w:tcPr>
          <w:p>
            <w:pPr>
              <w:jc w:val="right"/>
              <w:ind w:right="128"/>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6"/>
              <w:spacing w:after="0"/>
              <w:rPr>
                <w:sz w:val="20"/>
                <w:szCs w:val="20"/>
                <w:color w:val="auto"/>
              </w:rPr>
            </w:pPr>
            <w:r>
              <w:rPr>
                <w:rFonts w:ascii="Arial" w:cs="Arial" w:eastAsia="Arial" w:hAnsi="Arial"/>
                <w:sz w:val="15"/>
                <w:szCs w:val="15"/>
                <w:color w:val="auto"/>
              </w:rPr>
              <w:t>16</w:t>
            </w:r>
          </w:p>
        </w:tc>
        <w:tc>
          <w:tcPr>
            <w:tcW w:w="40" w:type="dxa"/>
            <w:vAlign w:val="bottom"/>
          </w:tcPr>
          <w:p>
            <w:pPr>
              <w:spacing w:after="0"/>
              <w:rPr>
                <w:sz w:val="20"/>
                <w:szCs w:val="20"/>
                <w:color w:val="auto"/>
              </w:rPr>
            </w:pPr>
          </w:p>
        </w:tc>
      </w:tr>
      <w:tr>
        <w:trPr>
          <w:trHeight w:val="31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Borders>
              <w:bottom w:val="single" w:sz="8" w:color="2C6937"/>
            </w:tcBorders>
            <w:gridSpan w:val="5"/>
          </w:tcPr>
          <w:p>
            <w:pPr>
              <w:jc w:val="right"/>
              <w:ind w:right="546"/>
              <w:spacing w:after="0"/>
              <w:rPr>
                <w:sz w:val="20"/>
                <w:szCs w:val="20"/>
                <w:color w:val="auto"/>
              </w:rPr>
            </w:pPr>
            <w:r>
              <w:rPr>
                <w:rFonts w:ascii="Arial" w:cs="Arial" w:eastAsia="Arial" w:hAnsi="Arial"/>
                <w:sz w:val="14"/>
                <w:szCs w:val="14"/>
                <w:b w:val="1"/>
                <w:bCs w:val="1"/>
                <w:color w:val="auto"/>
              </w:rPr>
              <w:t>For the Three Months Ended March 31,</w:t>
            </w:r>
          </w:p>
        </w:tc>
        <w:tc>
          <w:tcPr>
            <w:tcW w:w="4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2"/>
          </w:tcPr>
          <w:p>
            <w:pPr>
              <w:jc w:val="right"/>
              <w:ind w:right="686"/>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2C6937"/>
            </w:tcBorders>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5"/>
                <w:szCs w:val="15"/>
                <w:color w:val="auto"/>
              </w:rPr>
              <w:t>Beginning balance</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b w:val="1"/>
                <w:bCs w:val="1"/>
                <w:color w:val="auto"/>
              </w:rPr>
              <w:t>96,479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114,960</w:t>
            </w:r>
          </w:p>
        </w:tc>
        <w:tc>
          <w:tcPr>
            <w:tcW w:w="4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b w:val="1"/>
                <w:bCs w:val="1"/>
                <w:color w:val="auto"/>
              </w:rPr>
              <w:t>42,714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42,363</w:t>
            </w:r>
          </w:p>
        </w:tc>
        <w:tc>
          <w:tcPr>
            <w:tcW w:w="4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3"/>
        </w:trPr>
        <w:tc>
          <w:tcPr>
            <w:tcW w:w="20" w:type="dxa"/>
            <w:vAlign w:val="bottom"/>
          </w:tcPr>
          <w:p>
            <w:pPr>
              <w:spacing w:after="0"/>
              <w:rPr>
                <w:sz w:val="21"/>
                <w:szCs w:val="21"/>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(21,390)</w:t>
            </w:r>
          </w:p>
        </w:tc>
        <w:tc>
          <w:tcPr>
            <w:tcW w:w="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(24,107)</w:t>
            </w:r>
          </w:p>
        </w:tc>
        <w:tc>
          <w:tcPr>
            <w:tcW w:w="4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(6,756)</w:t>
            </w: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(7,870)</w:t>
            </w:r>
          </w:p>
        </w:tc>
        <w:tc>
          <w:tcPr>
            <w:tcW w:w="4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(21,454)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(22,392)</w:t>
            </w:r>
          </w:p>
        </w:tc>
        <w:tc>
          <w:tcPr>
            <w:tcW w:w="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(49,600)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(54,369)</w:t>
            </w:r>
          </w:p>
        </w:tc>
        <w:tc>
          <w:tcPr>
            <w:tcW w:w="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240" w:type="dxa"/>
            <w:vAlign w:val="bottom"/>
          </w:tcPr>
          <w:p>
            <w:pPr>
              <w:ind w:left="180"/>
              <w:spacing w:after="0"/>
              <w:rPr>
                <w:sz w:val="20"/>
                <w:szCs w:val="20"/>
                <w:color w:val="auto"/>
              </w:rPr>
            </w:pPr>
            <w:r>
              <w:rPr>
                <w:rFonts w:ascii="Arial" w:cs="Arial" w:eastAsia="Arial" w:hAnsi="Arial"/>
                <w:sz w:val="15"/>
                <w:szCs w:val="15"/>
                <w:color w:val="auto"/>
              </w:rPr>
              <w:t>Ending balance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ind w:left="1440"/>
              <w:spacing w:after="0"/>
              <w:rPr>
                <w:sz w:val="20"/>
                <w:szCs w:val="20"/>
                <w:color w:val="auto"/>
              </w:rPr>
            </w:pPr>
            <w:r>
              <w:rPr>
                <w:rFonts w:ascii="Arial" w:cs="Arial" w:eastAsia="Arial" w:hAnsi="Arial"/>
                <w:sz w:val="15"/>
                <w:szCs w:val="15"/>
                <w:b w:val="1"/>
                <w:bCs w:val="1"/>
                <w:color w:val="auto"/>
              </w:rPr>
              <w:t>89,593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102,954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2C6937"/>
              <w:bottom w:val="single" w:sz="8" w:color="2C6937"/>
            </w:tcBorders>
          </w:tcPr>
          <w:p>
            <w:pPr>
              <w:spacing w:after="0" w:line="20" w:lineRule="exact"/>
              <w:rPr>
                <w:sz w:val="1"/>
                <w:szCs w:val="1"/>
                <w:color w:val="auto"/>
              </w:rPr>
            </w:pPr>
          </w:p>
        </w:tc>
        <w:tc>
          <w:tcPr>
            <w:tcW w:w="1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9" w:lineRule="exact"/>
        <w:rPr>
          <w:sz w:val="20"/>
          <w:szCs w:val="20"/>
          <w:color w:val="auto"/>
        </w:rPr>
      </w:pPr>
    </w:p>
    <w:p>
      <w:pPr>
        <w:ind w:left="20" w:right="220"/>
        <w:spacing w:after="0" w:line="307" w:lineRule="auto"/>
        <w:rPr>
          <w:sz w:val="20"/>
          <w:szCs w:val="20"/>
          <w:color w:val="auto"/>
        </w:rPr>
      </w:pPr>
      <w:r>
        <w:rPr>
          <w:rFonts w:ascii="Arial" w:cs="Arial" w:eastAsia="Arial" w:hAnsi="Arial"/>
          <w:sz w:val="16"/>
          <w:szCs w:val="16"/>
          <w:color w:val="auto"/>
        </w:rPr>
        <w:t xml:space="preserve">Our single-family serious delinquency rate as of March 31, 2024 remained near historically low levels. </w:t>
      </w:r>
      <w:r>
        <w:rPr>
          <w:rFonts w:ascii="Arial" w:cs="Arial" w:eastAsia="Arial" w:hAnsi="Arial"/>
          <w:sz w:val="15"/>
          <w:szCs w:val="15"/>
          <w:color w:val="auto"/>
        </w:rPr>
        <w:t>Given our expectation of slower economic growth, we</w:t>
      </w:r>
      <w:r>
        <w:rPr>
          <w:rFonts w:ascii="Arial" w:cs="Arial" w:eastAsia="Arial" w:hAnsi="Arial"/>
          <w:sz w:val="16"/>
          <w:szCs w:val="16"/>
          <w:color w:val="auto"/>
        </w:rPr>
        <w:t xml:space="preserve"> </w:t>
      </w:r>
      <w:r>
        <w:rPr>
          <w:rFonts w:ascii="Arial" w:cs="Arial" w:eastAsia="Arial" w:hAnsi="Arial"/>
          <w:sz w:val="15"/>
          <w:szCs w:val="15"/>
          <w:color w:val="auto"/>
        </w:rPr>
        <w:t>expect the credit performance of the loans in our single-family guaranty book of</w:t>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0" w:name="page31"/>
    <w:bookmarkEnd w:id="30"/>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20" w:right="120"/>
        <w:spacing w:after="0" w:line="272" w:lineRule="auto"/>
        <w:rPr>
          <w:sz w:val="20"/>
          <w:szCs w:val="20"/>
          <w:color w:val="auto"/>
        </w:rPr>
      </w:pPr>
      <w:r>
        <w:rPr>
          <w:rFonts w:ascii="Arial" w:cs="Arial" w:eastAsia="Arial" w:hAnsi="Arial"/>
          <w:sz w:val="15"/>
          <w:szCs w:val="15"/>
          <w:color w:val="auto"/>
        </w:rPr>
        <w:t xml:space="preserve">business may decline compared to recent performance, which could lead to higher delinquencies or an increase in our single-family serious delinquency rate. </w:t>
      </w:r>
      <w:r>
        <w:rPr>
          <w:rFonts w:ascii="Arial" w:cs="Arial" w:eastAsia="Arial" w:hAnsi="Arial"/>
          <w:sz w:val="16"/>
          <w:szCs w:val="16"/>
          <w:color w:val="auto"/>
        </w:rPr>
        <w:t>For</w:t>
      </w:r>
      <w:r>
        <w:rPr>
          <w:rFonts w:ascii="Arial" w:cs="Arial" w:eastAsia="Arial" w:hAnsi="Arial"/>
          <w:sz w:val="15"/>
          <w:szCs w:val="15"/>
          <w:color w:val="auto"/>
        </w:rPr>
        <w:t xml:space="preserve"> </w:t>
      </w:r>
      <w:r>
        <w:rPr>
          <w:rFonts w:ascii="Arial" w:cs="Arial" w:eastAsia="Arial" w:hAnsi="Arial"/>
          <w:sz w:val="16"/>
          <w:szCs w:val="16"/>
          <w:color w:val="auto"/>
        </w:rPr>
        <w:t>information about factors that affect our single-family serious delinquency rate, see “MD&amp;A—Single-Family Business—Single-Family Mortgage Credit Risk Management—Single-Family Problem Loan Management” in our 2023 Form 10-K.</w:t>
      </w:r>
    </w:p>
    <w:p>
      <w:pPr>
        <w:spacing w:after="0" w:line="71" w:lineRule="exact"/>
        <w:rPr>
          <w:sz w:val="20"/>
          <w:szCs w:val="20"/>
          <w:color w:val="auto"/>
        </w:rPr>
      </w:pPr>
    </w:p>
    <w:p>
      <w:pPr>
        <w:jc w:val="both"/>
        <w:ind w:left="20" w:right="20"/>
        <w:spacing w:after="0" w:line="272"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 Percentage of book amounts represent the unpaid principal balance of loans for each category divided by the unpaid principal balance of our total single-family conventional guaranty book of business. The reported categories are not mutually exclusive.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480" w:type="dxa"/>
            <w:vAlign w:val="bottom"/>
            <w:tcBorders>
              <w:top w:val="single" w:sz="8" w:color="2C6937"/>
            </w:tcBorders>
          </w:tcPr>
          <w:p>
            <w:pPr>
              <w:spacing w:after="0"/>
              <w:rPr>
                <w:sz w:val="18"/>
                <w:szCs w:val="18"/>
                <w:color w:val="auto"/>
              </w:rPr>
            </w:pPr>
          </w:p>
        </w:tc>
        <w:tc>
          <w:tcPr>
            <w:tcW w:w="10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r>
      <w:tr>
        <w:trPr>
          <w:trHeight w:val="186"/>
        </w:trPr>
        <w:tc>
          <w:tcPr>
            <w:tcW w:w="1480" w:type="dxa"/>
            <w:vAlign w:val="bottom"/>
          </w:tcPr>
          <w:p>
            <w:pPr>
              <w:spacing w:after="0"/>
              <w:rPr>
                <w:sz w:val="16"/>
                <w:szCs w:val="16"/>
                <w:color w:val="auto"/>
              </w:rPr>
            </w:pPr>
          </w:p>
        </w:tc>
        <w:tc>
          <w:tcPr>
            <w:tcW w:w="104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March 31, 2024</w:t>
            </w:r>
          </w:p>
        </w:tc>
        <w:tc>
          <w:tcPr>
            <w:tcW w:w="96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2C6937"/>
            </w:tcBorders>
            <w:gridSpan w:val="4"/>
          </w:tcPr>
          <w:p>
            <w:pPr>
              <w:ind w:left="900"/>
              <w:spacing w:after="0"/>
              <w:rPr>
                <w:sz w:val="20"/>
                <w:szCs w:val="20"/>
                <w:color w:val="auto"/>
              </w:rPr>
            </w:pPr>
            <w:r>
              <w:rPr>
                <w:rFonts w:ascii="Arial" w:cs="Arial" w:eastAsia="Arial" w:hAnsi="Arial"/>
                <w:sz w:val="14"/>
                <w:szCs w:val="14"/>
                <w:b w:val="1"/>
                <w:bCs w:val="1"/>
                <w:color w:val="auto"/>
                <w:w w:val="96"/>
              </w:rPr>
              <w:t>December 31, 2023</w:t>
            </w: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March 31, 2023</w:t>
            </w:r>
          </w:p>
        </w:tc>
        <w:tc>
          <w:tcPr>
            <w:tcW w:w="1000" w:type="dxa"/>
            <w:vAlign w:val="bottom"/>
            <w:tcBorders>
              <w:bottom w:val="single" w:sz="8" w:color="2C6937"/>
            </w:tcBorders>
          </w:tcPr>
          <w:p>
            <w:pPr>
              <w:spacing w:after="0"/>
              <w:rPr>
                <w:sz w:val="16"/>
                <w:szCs w:val="16"/>
                <w:color w:val="auto"/>
              </w:rPr>
            </w:pPr>
          </w:p>
        </w:tc>
      </w:tr>
      <w:tr>
        <w:trPr>
          <w:trHeight w:val="135"/>
        </w:trPr>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1"/>
                <w:szCs w:val="11"/>
                <w:color w:val="auto"/>
              </w:rPr>
            </w:pPr>
          </w:p>
        </w:tc>
      </w:tr>
      <w:tr>
        <w:trPr>
          <w:trHeight w:val="116"/>
        </w:trPr>
        <w:tc>
          <w:tcPr>
            <w:tcW w:w="1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Seriously</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0"/>
                <w:szCs w:val="10"/>
                <w:color w:val="auto"/>
              </w:rPr>
            </w:pPr>
          </w:p>
        </w:tc>
      </w:tr>
      <w:tr>
        <w:trPr>
          <w:trHeight w:val="127"/>
        </w:trPr>
        <w:tc>
          <w:tcPr>
            <w:tcW w:w="1480" w:type="dxa"/>
            <w:vAlign w:val="bottom"/>
          </w:tcPr>
          <w:p>
            <w:pPr>
              <w:spacing w:after="0"/>
              <w:rPr>
                <w:sz w:val="11"/>
                <w:szCs w:val="11"/>
                <w:color w:val="auto"/>
              </w:rPr>
            </w:pPr>
          </w:p>
        </w:tc>
        <w:tc>
          <w:tcPr>
            <w:tcW w:w="1040" w:type="dxa"/>
            <w:vAlign w:val="bottom"/>
          </w:tcPr>
          <w:p>
            <w:pPr>
              <w:jc w:val="right"/>
              <w:ind w:right="61"/>
              <w:spacing w:after="0"/>
              <w:rPr>
                <w:sz w:val="20"/>
                <w:szCs w:val="20"/>
                <w:color w:val="auto"/>
              </w:rPr>
            </w:pPr>
            <w:r>
              <w:rPr>
                <w:rFonts w:ascii="Arial" w:cs="Arial" w:eastAsia="Arial" w:hAnsi="Arial"/>
                <w:sz w:val="10"/>
                <w:szCs w:val="10"/>
                <w:b w:val="1"/>
                <w:bCs w:val="1"/>
                <w:color w:val="auto"/>
              </w:rPr>
              <w:t>Percentage of</w:t>
            </w:r>
          </w:p>
        </w:tc>
        <w:tc>
          <w:tcPr>
            <w:tcW w:w="120" w:type="dxa"/>
            <w:vAlign w:val="bottom"/>
          </w:tcPr>
          <w:p>
            <w:pPr>
              <w:spacing w:after="0"/>
              <w:rPr>
                <w:sz w:val="11"/>
                <w:szCs w:val="11"/>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Delinquent</w:t>
            </w:r>
          </w:p>
        </w:tc>
        <w:tc>
          <w:tcPr>
            <w:tcW w:w="1080" w:type="dxa"/>
            <w:vAlign w:val="bottom"/>
            <w:gridSpan w:val="2"/>
          </w:tcPr>
          <w:p>
            <w:pPr>
              <w:ind w:left="300"/>
              <w:spacing w:after="0"/>
              <w:rPr>
                <w:sz w:val="20"/>
                <w:szCs w:val="20"/>
                <w:color w:val="auto"/>
              </w:rPr>
            </w:pPr>
            <w:r>
              <w:rPr>
                <w:rFonts w:ascii="Arial" w:cs="Arial" w:eastAsia="Arial" w:hAnsi="Arial"/>
                <w:sz w:val="10"/>
                <w:szCs w:val="10"/>
                <w:b w:val="1"/>
                <w:bCs w:val="1"/>
                <w:color w:val="auto"/>
              </w:rPr>
              <w:t>Serious</w:t>
            </w: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100" w:type="dxa"/>
            <w:vAlign w:val="bottom"/>
            <w:gridSpan w:val="2"/>
          </w:tcPr>
          <w:p>
            <w:pPr>
              <w:ind w:left="320"/>
              <w:spacing w:after="0"/>
              <w:rPr>
                <w:sz w:val="20"/>
                <w:szCs w:val="20"/>
                <w:color w:val="auto"/>
              </w:rPr>
            </w:pPr>
            <w:r>
              <w:rPr>
                <w:rFonts w:ascii="Arial" w:cs="Arial" w:eastAsia="Arial" w:hAnsi="Arial"/>
                <w:sz w:val="10"/>
                <w:szCs w:val="10"/>
                <w:b w:val="1"/>
                <w:bCs w:val="1"/>
                <w:color w:val="auto"/>
              </w:rPr>
              <w:t>Serious</w:t>
            </w:r>
          </w:p>
        </w:tc>
        <w:tc>
          <w:tcPr>
            <w:tcW w:w="1000" w:type="dxa"/>
            <w:vAlign w:val="bottom"/>
          </w:tcPr>
          <w:p>
            <w:pPr>
              <w:jc w:val="right"/>
              <w:ind w:right="101"/>
              <w:spacing w:after="0"/>
              <w:rPr>
                <w:sz w:val="20"/>
                <w:szCs w:val="20"/>
                <w:color w:val="auto"/>
              </w:rPr>
            </w:pPr>
            <w:r>
              <w:rPr>
                <w:rFonts w:ascii="Arial" w:cs="Arial" w:eastAsia="Arial" w:hAnsi="Arial"/>
                <w:sz w:val="10"/>
                <w:szCs w:val="10"/>
                <w:b w:val="1"/>
                <w:bCs w:val="1"/>
                <w:color w:val="auto"/>
              </w:rPr>
              <w:t>Percentage of</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00" w:type="dxa"/>
            <w:vAlign w:val="bottom"/>
          </w:tcPr>
          <w:p>
            <w:pPr>
              <w:ind w:left="300"/>
              <w:spacing w:after="0"/>
              <w:rPr>
                <w:sz w:val="20"/>
                <w:szCs w:val="20"/>
                <w:color w:val="auto"/>
              </w:rPr>
            </w:pPr>
            <w:r>
              <w:rPr>
                <w:rFonts w:ascii="Arial" w:cs="Arial" w:eastAsia="Arial" w:hAnsi="Arial"/>
                <w:sz w:val="10"/>
                <w:szCs w:val="10"/>
                <w:b w:val="1"/>
                <w:bCs w:val="1"/>
                <w:color w:val="auto"/>
              </w:rPr>
              <w:t>Serious</w:t>
            </w:r>
          </w:p>
        </w:tc>
      </w:tr>
      <w:tr>
        <w:trPr>
          <w:trHeight w:val="157"/>
        </w:trPr>
        <w:tc>
          <w:tcPr>
            <w:tcW w:w="1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Book Outstanding</w:t>
            </w: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(1)</w:t>
            </w:r>
          </w:p>
        </w:tc>
        <w:tc>
          <w:tcPr>
            <w:tcW w:w="108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Book Outstanding</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Loans</w:t>
            </w:r>
            <w:r>
              <w:rPr>
                <w:rFonts w:ascii="Arial" w:cs="Arial" w:eastAsia="Arial" w:hAnsi="Arial"/>
                <w:sz w:val="13"/>
                <w:szCs w:val="13"/>
                <w:b w:val="1"/>
                <w:bCs w:val="1"/>
                <w:color w:val="auto"/>
                <w:w w:val="99"/>
                <w:vertAlign w:val="superscript"/>
              </w:rPr>
              <w:t>(1)</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Delinquency Rate</w:t>
            </w:r>
          </w:p>
        </w:tc>
        <w:tc>
          <w:tcPr>
            <w:tcW w:w="1000" w:type="dxa"/>
            <w:vAlign w:val="bottom"/>
          </w:tcPr>
          <w:p>
            <w:pPr>
              <w:jc w:val="right"/>
              <w:ind w:right="1"/>
              <w:spacing w:after="0"/>
              <w:rPr>
                <w:sz w:val="20"/>
                <w:szCs w:val="20"/>
                <w:color w:val="auto"/>
              </w:rPr>
            </w:pPr>
            <w:r>
              <w:rPr>
                <w:rFonts w:ascii="Arial" w:cs="Arial" w:eastAsia="Arial" w:hAnsi="Arial"/>
                <w:sz w:val="10"/>
                <w:szCs w:val="10"/>
                <w:b w:val="1"/>
                <w:bCs w:val="1"/>
                <w:color w:val="auto"/>
              </w:rPr>
              <w:t>Book Outstanding</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(1)</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auto"/>
              </w:rPr>
              <w:t>Delinquency Rate</w:t>
            </w:r>
          </w:p>
        </w:tc>
      </w:tr>
      <w:tr>
        <w:trPr>
          <w:trHeight w:val="153"/>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States:</w:t>
            </w:r>
          </w:p>
        </w:tc>
        <w:tc>
          <w:tcPr>
            <w:tcW w:w="1040" w:type="dxa"/>
            <w:vAlign w:val="bottom"/>
            <w:tcBorders>
              <w:top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2C6937"/>
            </w:tcBorders>
          </w:tcPr>
          <w:p>
            <w:pPr>
              <w:spacing w:after="0"/>
              <w:rPr>
                <w:sz w:val="13"/>
                <w:szCs w:val="13"/>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19 %</w:t>
            </w: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10 %</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w w:val="96"/>
              </w:rPr>
              <w:t>0.39 %</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0.42 %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19 %</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0.43 %</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Florida</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0.68</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0.81</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0.69</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0.79</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5</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0.85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0.92</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1.02</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Texas</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7</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0.59</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0.64</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0.63</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60</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61</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0.48</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0.52</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60</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0.55</w:t>
            </w:r>
          </w:p>
        </w:tc>
      </w:tr>
      <w:tr>
        <w:trPr>
          <w:trHeight w:val="180"/>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Vintages: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2008 and prior</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17</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1.91</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2.62</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2009-2024</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98</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83</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98</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0.48</w:t>
            </w:r>
          </w:p>
        </w:tc>
      </w:tr>
      <w:tr>
        <w:trPr>
          <w:trHeight w:val="157"/>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5"/>
        </w:trPr>
        <w:tc>
          <w:tcPr>
            <w:tcW w:w="1480" w:type="dxa"/>
            <w:vAlign w:val="bottom"/>
          </w:tcPr>
          <w:p>
            <w:pPr>
              <w:ind w:left="120"/>
              <w:spacing w:after="0"/>
              <w:rPr>
                <w:sz w:val="20"/>
                <w:szCs w:val="20"/>
                <w:color w:val="auto"/>
              </w:rPr>
            </w:pPr>
            <w:r>
              <w:rPr>
                <w:rFonts w:ascii="Arial" w:cs="Arial" w:eastAsia="Arial" w:hAnsi="Arial"/>
                <w:sz w:val="12"/>
                <w:szCs w:val="12"/>
                <w:b w:val="1"/>
                <w:bCs w:val="1"/>
                <w:color w:val="auto"/>
              </w:rPr>
              <w:t>market LTV ratio:</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&lt;= 60%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68</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69</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0.45</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0.49</w:t>
            </w:r>
          </w:p>
        </w:tc>
        <w:tc>
          <w:tcPr>
            <w:tcW w:w="10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64</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0.55</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13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15</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0.76</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0.80</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16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0.71</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10</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0.73</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11</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0.69</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0.79</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0.81</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0.68</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3</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0.62</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0.59</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0.53</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04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tcPr>
          <w:p>
            <w:pPr>
              <w:jc w:val="right"/>
              <w:ind w:right="68"/>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2.10</w:t>
            </w:r>
          </w:p>
        </w:tc>
        <w:tc>
          <w:tcPr>
            <w:tcW w:w="1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6"/>
                <w:szCs w:val="16"/>
                <w:color w:val="auto"/>
              </w:rPr>
            </w:pPr>
          </w:p>
        </w:tc>
        <w:tc>
          <w:tcPr>
            <w:tcW w:w="100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1.67</w:t>
            </w:r>
          </w:p>
        </w:tc>
      </w:tr>
      <w:tr>
        <w:trPr>
          <w:trHeight w:val="201"/>
        </w:trPr>
        <w:tc>
          <w:tcPr>
            <w:tcW w:w="148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(2)</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4"/>
        </w:trPr>
        <w:tc>
          <w:tcPr>
            <w:tcW w:w="148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(3)</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21</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33</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1.02</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21</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1.07</w:t>
            </w: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(4)</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37</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30</w:t>
            </w:r>
          </w:p>
        </w:tc>
        <w:tc>
          <w:tcPr>
            <w:tcW w:w="12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0.50</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16"/>
                <w:szCs w:val="16"/>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0.58</w:t>
            </w:r>
          </w:p>
        </w:tc>
      </w:tr>
      <w:tr>
        <w:trPr>
          <w:trHeight w:val="178"/>
        </w:trPr>
        <w:tc>
          <w:tcPr>
            <w:tcW w:w="148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040" w:type="dxa"/>
            <w:vAlign w:val="bottom"/>
          </w:tcPr>
          <w:p>
            <w:pPr>
              <w:jc w:val="right"/>
              <w:ind w:right="101"/>
              <w:spacing w:after="0"/>
              <w:rPr>
                <w:sz w:val="20"/>
                <w:szCs w:val="20"/>
                <w:color w:val="auto"/>
              </w:rPr>
            </w:pPr>
            <w:r>
              <w:rPr>
                <w:rFonts w:ascii="Arial" w:cs="Arial" w:eastAsia="Arial" w:hAnsi="Arial"/>
                <w:sz w:val="12"/>
                <w:szCs w:val="12"/>
                <w:b w:val="1"/>
                <w:bCs w:val="1"/>
                <w:color w:val="auto"/>
              </w:rPr>
              <w:t>54</w:t>
            </w:r>
          </w:p>
        </w:tc>
        <w:tc>
          <w:tcPr>
            <w:tcW w:w="106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51</w:t>
            </w:r>
          </w:p>
        </w:tc>
        <w:tc>
          <w:tcPr>
            <w:tcW w:w="120" w:type="dxa"/>
            <w:vAlign w:val="bottom"/>
          </w:tcPr>
          <w:p>
            <w:pPr>
              <w:spacing w:after="0"/>
              <w:rPr>
                <w:sz w:val="15"/>
                <w:szCs w:val="15"/>
                <w:color w:val="auto"/>
              </w:rPr>
            </w:pPr>
          </w:p>
        </w:tc>
        <w:tc>
          <w:tcPr>
            <w:tcW w:w="960" w:type="dxa"/>
            <w:vAlign w:val="bottom"/>
          </w:tcPr>
          <w:p>
            <w:pPr>
              <w:ind w:left="580"/>
              <w:spacing w:after="0"/>
              <w:rPr>
                <w:sz w:val="20"/>
                <w:szCs w:val="20"/>
                <w:color w:val="auto"/>
              </w:rPr>
            </w:pPr>
            <w:r>
              <w:rPr>
                <w:rFonts w:ascii="Arial" w:cs="Arial" w:eastAsia="Arial" w:hAnsi="Arial"/>
                <w:sz w:val="12"/>
                <w:szCs w:val="12"/>
                <w:b w:val="1"/>
                <w:bCs w:val="1"/>
                <w:color w:val="auto"/>
              </w:rPr>
              <w:t>0.43</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0.46</w:t>
            </w:r>
          </w:p>
        </w:tc>
        <w:tc>
          <w:tcPr>
            <w:tcW w:w="10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Arial" w:cs="Arial" w:eastAsia="Arial" w:hAnsi="Arial"/>
                <w:sz w:val="12"/>
                <w:szCs w:val="12"/>
                <w:color w:val="auto"/>
              </w:rPr>
              <w:t>57</w:t>
            </w:r>
          </w:p>
        </w:tc>
        <w:tc>
          <w:tcPr>
            <w:tcW w:w="1080" w:type="dxa"/>
            <w:vAlign w:val="bottom"/>
            <w:gridSpan w:val="2"/>
          </w:tcPr>
          <w:p>
            <w:pPr>
              <w:jc w:val="right"/>
              <w:ind w:right="108"/>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0.50</w:t>
            </w:r>
          </w:p>
        </w:tc>
      </w:tr>
    </w:tbl>
    <w:p>
      <w:pPr>
        <w:spacing w:after="0" w:line="129" w:lineRule="exact"/>
        <w:rPr>
          <w:sz w:val="20"/>
          <w:szCs w:val="20"/>
          <w:color w:val="auto"/>
        </w:rPr>
      </w:pPr>
    </w:p>
    <w:p>
      <w:pPr>
        <w:ind w:left="240" w:hanging="217"/>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320" w:hanging="237"/>
        <w:spacing w:after="0" w:line="218" w:lineRule="auto"/>
        <w:tabs>
          <w:tab w:leader="none" w:pos="25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26" w:lineRule="exact"/>
        <w:rPr>
          <w:rFonts w:ascii="Arial" w:cs="Arial" w:eastAsia="Arial" w:hAnsi="Arial"/>
          <w:sz w:val="18"/>
          <w:szCs w:val="18"/>
          <w:color w:val="auto"/>
          <w:vertAlign w:val="superscript"/>
        </w:rPr>
      </w:pPr>
    </w:p>
    <w:p>
      <w:pPr>
        <w:ind w:left="260" w:right="180" w:hanging="237"/>
        <w:spacing w:after="0" w:line="264" w:lineRule="auto"/>
        <w:tabs>
          <w:tab w:leader="none" w:pos="253" w:val="left"/>
        </w:tabs>
        <w:numPr>
          <w:ilvl w:val="0"/>
          <w:numId w:val="36"/>
        </w:numPr>
        <w:rPr>
          <w:rFonts w:ascii="Arial" w:cs="Arial" w:eastAsia="Arial" w:hAnsi="Arial"/>
          <w:sz w:val="9"/>
          <w:szCs w:val="9"/>
          <w:color w:val="auto"/>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March 31, 2024 was 46%.</w:t>
      </w:r>
    </w:p>
    <w:p>
      <w:pPr>
        <w:spacing w:after="0" w:line="10" w:lineRule="exact"/>
        <w:rPr>
          <w:rFonts w:ascii="Arial" w:cs="Arial" w:eastAsia="Arial" w:hAnsi="Arial"/>
          <w:sz w:val="9"/>
          <w:szCs w:val="9"/>
          <w:color w:val="auto"/>
        </w:rPr>
      </w:pPr>
    </w:p>
    <w:p>
      <w:pPr>
        <w:ind w:left="260" w:right="140" w:hanging="237"/>
        <w:spacing w:after="0" w:line="228" w:lineRule="auto"/>
        <w:tabs>
          <w:tab w:leader="none" w:pos="25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6" w:lineRule="exact"/>
        <w:rPr>
          <w:rFonts w:ascii="Arial" w:cs="Arial" w:eastAsia="Arial" w:hAnsi="Arial"/>
          <w:sz w:val="18"/>
          <w:szCs w:val="18"/>
          <w:color w:val="auto"/>
          <w:vertAlign w:val="superscript"/>
        </w:rPr>
      </w:pPr>
    </w:p>
    <w:p>
      <w:pPr>
        <w:ind w:left="260" w:right="160" w:hanging="237"/>
        <w:spacing w:after="0" w:line="233" w:lineRule="auto"/>
        <w:tabs>
          <w:tab w:leader="none" w:pos="253"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 Loans included in our credit risk transfer transactions have all been acquired since 2009.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10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6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As of March 31, 2024, the unpaid principal balance of single-family loans in forbearance was $5.6 billion, or 0.2% of our single-family conventional guaranty book of business, compared with $6.9 billion, or 0.2% of our single-family conventional guaranty book of business, as of December 31, 2023.</w:t>
      </w:r>
    </w:p>
    <w:p>
      <w:pPr>
        <w:spacing w:after="0" w:line="2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for the first quarter of 2023 compared with the first quarter of 2024. This table does not include loans in an active forbearance arrangement, trial modifications, loans to certain borrowers who have received bankruptcy relief and repayment plans that have been initiated but not completed.</w:t>
      </w:r>
    </w:p>
    <w:p>
      <w:pPr>
        <w:spacing w:after="0" w:line="71"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7620</wp:posOffset>
            </wp:positionV>
            <wp:extent cx="5721985" cy="28651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21985"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hanging="217"/>
        <w:spacing w:after="0"/>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There were approximately 18,000 loans and 16,200 loans in a trial modification period that was not yet complete as of March 31, 2024 and 2023, respectively.</w:t>
      </w:r>
    </w:p>
    <w:p>
      <w:pPr>
        <w:spacing w:after="0" w:line="37" w:lineRule="exact"/>
        <w:rPr>
          <w:rFonts w:ascii="Arial" w:cs="Arial" w:eastAsia="Arial" w:hAnsi="Arial"/>
          <w:sz w:val="18"/>
          <w:szCs w:val="18"/>
          <w:color w:val="auto"/>
          <w:vertAlign w:val="superscript"/>
        </w:rPr>
      </w:pPr>
    </w:p>
    <w:p>
      <w:pPr>
        <w:ind w:left="240" w:right="620" w:hanging="237"/>
        <w:spacing w:after="0" w:line="219" w:lineRule="auto"/>
        <w:tabs>
          <w:tab w:leader="none" w:pos="23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Other was $179 million and $103 million for the first quarter of 2024 and the first quarter of 2023, respectively. Other includes repayment plans and foreclosure alternatives. Repayment plans reflect only those plans associated with loans that were 60 days or more delinquent.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2" w:name="page33"/>
    <w:bookmarkEnd w:id="32"/>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REO Management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3180" w:type="dxa"/>
            <w:vAlign w:val="bottom"/>
            <w:tcBorders>
              <w:bottom w:val="single" w:sz="8" w:color="2C6937"/>
            </w:tcBorders>
            <w:gridSpan w:val="5"/>
          </w:tcPr>
          <w:p>
            <w:pPr>
              <w:jc w:val="right"/>
              <w:ind w:right="303"/>
              <w:spacing w:after="0"/>
              <w:rPr>
                <w:sz w:val="20"/>
                <w:szCs w:val="20"/>
                <w:color w:val="auto"/>
              </w:rPr>
            </w:pPr>
            <w:r>
              <w:rPr>
                <w:rFonts w:ascii="Arial" w:cs="Arial" w:eastAsia="Arial" w:hAnsi="Arial"/>
                <w:sz w:val="14"/>
                <w:szCs w:val="14"/>
                <w:b w:val="1"/>
                <w:bCs w:val="1"/>
                <w:color w:val="auto"/>
              </w:rPr>
              <w:t>For the Three Months Ended March 31,</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0"/>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380" w:type="dxa"/>
            <w:vAlign w:val="bottom"/>
          </w:tcPr>
          <w:p>
            <w:pPr>
              <w:spacing w:after="0"/>
              <w:rPr>
                <w:sz w:val="21"/>
                <w:szCs w:val="21"/>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8,403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8,779</w:t>
            </w:r>
          </w:p>
        </w:tc>
        <w:tc>
          <w:tcPr>
            <w:tcW w:w="260" w:type="dxa"/>
            <w:vAlign w:val="bottom"/>
          </w:tcPr>
          <w:p>
            <w:pPr>
              <w:spacing w:after="0"/>
              <w:rPr>
                <w:sz w:val="21"/>
                <w:szCs w:val="21"/>
                <w:color w:val="auto"/>
              </w:rPr>
            </w:pPr>
          </w:p>
        </w:tc>
      </w:tr>
      <w:tr>
        <w:trPr>
          <w:trHeight w:val="234"/>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380" w:type="dxa"/>
            <w:vAlign w:val="bottom"/>
          </w:tcPr>
          <w:p>
            <w:pPr>
              <w:spacing w:after="0"/>
              <w:rPr>
                <w:sz w:val="19"/>
                <w:szCs w:val="19"/>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274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304</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151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252</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214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251</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193</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380" w:type="dxa"/>
            <w:vAlign w:val="bottom"/>
            <w:tcBorders>
              <w:bottom w:val="single" w:sz="8" w:color="2C6937"/>
            </w:tcBorders>
          </w:tcPr>
          <w:p>
            <w:pPr>
              <w:spacing w:after="0"/>
              <w:rPr>
                <w:sz w:val="19"/>
                <w:szCs w:val="19"/>
                <w:color w:val="auto"/>
              </w:rPr>
            </w:pPr>
          </w:p>
        </w:tc>
        <w:tc>
          <w:tcPr>
            <w:tcW w:w="12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117</w:t>
            </w:r>
          </w:p>
        </w:tc>
        <w:tc>
          <w:tcPr>
            <w:tcW w:w="260" w:type="dxa"/>
            <w:vAlign w:val="bottom"/>
          </w:tcPr>
          <w:p>
            <w:pPr>
              <w:spacing w:after="0"/>
              <w:rPr>
                <w:sz w:val="19"/>
                <w:szCs w:val="19"/>
                <w:color w:val="auto"/>
              </w:rPr>
            </w:pPr>
          </w:p>
        </w:tc>
      </w:tr>
      <w:tr>
        <w:trPr>
          <w:trHeight w:val="239"/>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913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1,117</w:t>
            </w:r>
          </w:p>
        </w:tc>
        <w:tc>
          <w:tcPr>
            <w:tcW w:w="260" w:type="dxa"/>
            <w:vAlign w:val="bottom"/>
          </w:tcPr>
          <w:p>
            <w:pPr>
              <w:spacing w:after="0"/>
              <w:rPr>
                <w:sz w:val="20"/>
                <w:szCs w:val="20"/>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(1,116)</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380" w:type="dxa"/>
            <w:vAlign w:val="bottom"/>
            <w:tcBorders>
              <w:bottom w:val="single" w:sz="8" w:color="2C6937"/>
            </w:tcBorders>
          </w:tcPr>
          <w:p>
            <w:pPr>
              <w:spacing w:after="0"/>
              <w:rPr>
                <w:sz w:val="19"/>
                <w:szCs w:val="19"/>
                <w:color w:val="auto"/>
              </w:rPr>
            </w:pPr>
          </w:p>
        </w:tc>
        <w:tc>
          <w:tcPr>
            <w:tcW w:w="12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7,971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8,780</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3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1,384</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1,325</w:t>
            </w:r>
          </w:p>
        </w:tc>
        <w:tc>
          <w:tcPr>
            <w:tcW w:w="260" w:type="dxa"/>
            <w:vAlign w:val="bottom"/>
          </w:tcPr>
          <w:p>
            <w:pPr>
              <w:spacing w:after="0"/>
              <w:rPr>
                <w:sz w:val="20"/>
                <w:szCs w:val="20"/>
                <w:color w:val="auto"/>
              </w:rPr>
            </w:pP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0.02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140</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 and costs to repair</w:t>
            </w:r>
            <w:r>
              <w:rPr>
                <w:rFonts w:ascii="Arial" w:cs="Arial" w:eastAsia="Arial" w:hAnsi="Arial"/>
                <w:sz w:val="20"/>
                <w:szCs w:val="20"/>
                <w:color w:val="auto"/>
                <w:vertAlign w:val="superscript"/>
              </w:rPr>
              <w:t>(5)</w:t>
            </w:r>
          </w:p>
        </w:tc>
        <w:tc>
          <w:tcPr>
            <w:tcW w:w="380" w:type="dxa"/>
            <w:vAlign w:val="bottom"/>
          </w:tcPr>
          <w:p>
            <w:pPr>
              <w:spacing w:after="0"/>
              <w:rPr>
                <w:sz w:val="20"/>
                <w:szCs w:val="20"/>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93</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1"/>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(6)</w:t>
            </w:r>
          </w:p>
        </w:tc>
        <w:tc>
          <w:tcPr>
            <w:tcW w:w="380" w:type="dxa"/>
            <w:vAlign w:val="bottom"/>
          </w:tcPr>
          <w:p>
            <w:pPr>
              <w:spacing w:after="0"/>
              <w:rPr>
                <w:sz w:val="23"/>
                <w:szCs w:val="23"/>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b w:val="1"/>
                <w:bCs w:val="1"/>
                <w:color w:val="auto"/>
              </w:rPr>
              <w:t>89</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2" w:lineRule="exact"/>
        <w:rPr>
          <w:sz w:val="20"/>
          <w:szCs w:val="20"/>
          <w:color w:val="auto"/>
        </w:rPr>
      </w:pPr>
    </w:p>
    <w:p>
      <w:pPr>
        <w:ind w:left="220" w:hanging="217"/>
        <w:spacing w:after="0"/>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Includes held-for-use properties, which are reported in our condensed consolidated balance sheets as a component of “Other assets.”</w:t>
      </w:r>
    </w:p>
    <w:p>
      <w:pPr>
        <w:spacing w:after="0" w:line="37" w:lineRule="exact"/>
        <w:rPr>
          <w:rFonts w:ascii="Arial" w:cs="Arial" w:eastAsia="Arial" w:hAnsi="Arial"/>
          <w:sz w:val="18"/>
          <w:szCs w:val="18"/>
          <w:color w:val="auto"/>
          <w:vertAlign w:val="superscript"/>
        </w:rPr>
      </w:pPr>
    </w:p>
    <w:p>
      <w:pPr>
        <w:ind w:left="220" w:hanging="217"/>
        <w:spacing w:after="0" w:line="206" w:lineRule="auto"/>
        <w:tabs>
          <w:tab w:leader="none" w:pos="220" w:val="left"/>
        </w:tabs>
        <w:numPr>
          <w:ilvl w:val="0"/>
          <w:numId w:val="38"/>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25" w:lineRule="exact"/>
        <w:rPr>
          <w:rFonts w:ascii="Arial" w:cs="Arial" w:eastAsia="Arial" w:hAnsi="Arial"/>
          <w:sz w:val="17"/>
          <w:szCs w:val="17"/>
          <w:color w:val="auto"/>
          <w:vertAlign w:val="superscript"/>
        </w:rPr>
      </w:pPr>
    </w:p>
    <w:p>
      <w:pPr>
        <w:ind w:left="240" w:right="60" w:hanging="237"/>
        <w:spacing w:after="0" w:line="260" w:lineRule="auto"/>
        <w:tabs>
          <w:tab w:leader="none" w:pos="233" w:val="left"/>
        </w:tabs>
        <w:numPr>
          <w:ilvl w:val="0"/>
          <w:numId w:val="38"/>
        </w:numPr>
        <w:rPr>
          <w:rFonts w:ascii="Arial" w:cs="Arial" w:eastAsia="Arial" w:hAnsi="Arial"/>
          <w:sz w:val="9"/>
          <w:szCs w:val="9"/>
          <w:color w:val="auto"/>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13" w:lineRule="exact"/>
        <w:rPr>
          <w:rFonts w:ascii="Arial" w:cs="Arial" w:eastAsia="Arial" w:hAnsi="Arial"/>
          <w:sz w:val="9"/>
          <w:szCs w:val="9"/>
          <w:color w:val="auto"/>
        </w:rPr>
      </w:pPr>
    </w:p>
    <w:p>
      <w:pPr>
        <w:ind w:left="240" w:right="160" w:hanging="237"/>
        <w:spacing w:after="0" w:line="233" w:lineRule="auto"/>
        <w:tabs>
          <w:tab w:leader="none" w:pos="23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15" w:lineRule="exact"/>
        <w:rPr>
          <w:rFonts w:ascii="Arial" w:cs="Arial" w:eastAsia="Arial" w:hAnsi="Arial"/>
          <w:sz w:val="18"/>
          <w:szCs w:val="18"/>
          <w:color w:val="auto"/>
          <w:vertAlign w:val="superscript"/>
        </w:rPr>
      </w:pPr>
    </w:p>
    <w:p>
      <w:pPr>
        <w:ind w:left="240" w:right="180" w:hanging="237"/>
        <w:spacing w:after="0" w:line="264" w:lineRule="auto"/>
        <w:tabs>
          <w:tab w:leader="none" w:pos="233" w:val="left"/>
        </w:tabs>
        <w:numPr>
          <w:ilvl w:val="0"/>
          <w:numId w:val="38"/>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and costs to repair the property. Net sales price represents the contract sales price less selling costs for the property and other charges paid by the seller at closing.</w:t>
      </w:r>
    </w:p>
    <w:p>
      <w:pPr>
        <w:spacing w:after="0" w:line="10" w:lineRule="exact"/>
        <w:rPr>
          <w:rFonts w:ascii="Arial" w:cs="Arial" w:eastAsia="Arial" w:hAnsi="Arial"/>
          <w:sz w:val="9"/>
          <w:szCs w:val="9"/>
          <w:color w:val="auto"/>
        </w:rPr>
      </w:pPr>
    </w:p>
    <w:p>
      <w:pPr>
        <w:ind w:left="240" w:right="140" w:hanging="237"/>
        <w:spacing w:after="0" w:line="226" w:lineRule="auto"/>
        <w:tabs>
          <w:tab w:leader="none" w:pos="23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130"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8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and foreclosed property income or expense.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3" w:name="page34"/>
    <w:bookmarkEnd w:id="33"/>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60"/>
        <w:spacing w:after="0" w:line="272"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have been a part of our credit loss mitigation strategy in recent periods, we also provide information in the table below on our loan sale performance through the “Gains (losses) on sales and other valuation adjustments” line item.</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40" w:type="dxa"/>
            <w:vAlign w:val="bottom"/>
            <w:tcBorders>
              <w:top w:val="single" w:sz="8" w:color="2C6937"/>
            </w:tcBorders>
          </w:tcPr>
          <w:p>
            <w:pPr>
              <w:spacing w:after="0"/>
              <w:rPr>
                <w:sz w:val="20"/>
                <w:szCs w:val="20"/>
                <w:color w:val="auto"/>
              </w:rPr>
            </w:pPr>
          </w:p>
        </w:tc>
        <w:tc>
          <w:tcPr>
            <w:tcW w:w="80" w:type="dxa"/>
            <w:vAlign w:val="bottom"/>
            <w:tcBorders>
              <w:top w:val="single" w:sz="8" w:color="2C6937"/>
            </w:tcBorders>
          </w:tcPr>
          <w:p>
            <w:pPr>
              <w:spacing w:after="0"/>
              <w:rPr>
                <w:sz w:val="20"/>
                <w:szCs w:val="20"/>
                <w:color w:val="auto"/>
              </w:rPr>
            </w:pPr>
          </w:p>
        </w:tc>
        <w:tc>
          <w:tcPr>
            <w:tcW w:w="3720" w:type="dxa"/>
            <w:vAlign w:val="bottom"/>
            <w:tcBorders>
              <w:top w:val="single" w:sz="8" w:color="2C6937"/>
              <w:bottom w:val="single" w:sz="8" w:color="2C6937"/>
            </w:tcBorders>
            <w:gridSpan w:val="4"/>
          </w:tcPr>
          <w:p>
            <w:pPr>
              <w:jc w:val="right"/>
              <w:ind w:right="103"/>
              <w:spacing w:after="0"/>
              <w:rPr>
                <w:sz w:val="20"/>
                <w:szCs w:val="20"/>
                <w:color w:val="auto"/>
              </w:rPr>
            </w:pPr>
            <w:r>
              <w:rPr>
                <w:rFonts w:ascii="Arial" w:cs="Arial" w:eastAsia="Arial" w:hAnsi="Arial"/>
                <w:sz w:val="15"/>
                <w:szCs w:val="15"/>
                <w:b w:val="1"/>
                <w:bCs w:val="1"/>
                <w:color w:val="auto"/>
              </w:rPr>
              <w:t>For the Three Months Ended March 31,</w:t>
            </w:r>
          </w:p>
        </w:tc>
        <w:tc>
          <w:tcPr>
            <w:tcW w:w="500" w:type="dxa"/>
            <w:vAlign w:val="bottom"/>
            <w:tcBorders>
              <w:top w:val="single" w:sz="8" w:color="2C6937"/>
              <w:bottom w:val="single" w:sz="8" w:color="2C6937"/>
            </w:tcBorders>
          </w:tcPr>
          <w:p>
            <w:pPr>
              <w:spacing w:after="0"/>
              <w:rPr>
                <w:sz w:val="20"/>
                <w:szCs w:val="20"/>
                <w:color w:val="auto"/>
              </w:rPr>
            </w:pPr>
          </w:p>
        </w:tc>
      </w:tr>
      <w:tr>
        <w:trPr>
          <w:trHeight w:val="199"/>
        </w:trPr>
        <w:tc>
          <w:tcPr>
            <w:tcW w:w="6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2024</w:t>
            </w:r>
          </w:p>
        </w:tc>
        <w:tc>
          <w:tcPr>
            <w:tcW w:w="7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2023</w:t>
            </w:r>
          </w:p>
        </w:tc>
        <w:tc>
          <w:tcPr>
            <w:tcW w:w="500" w:type="dxa"/>
            <w:vAlign w:val="bottom"/>
            <w:tcBorders>
              <w:bottom w:val="single" w:sz="8" w:color="2C6937"/>
            </w:tcBorders>
          </w:tcPr>
          <w:p>
            <w:pPr>
              <w:spacing w:after="0"/>
              <w:rPr>
                <w:sz w:val="17"/>
                <w:szCs w:val="17"/>
                <w:color w:val="auto"/>
              </w:rPr>
            </w:pPr>
          </w:p>
        </w:tc>
      </w:tr>
      <w:tr>
        <w:trPr>
          <w:trHeight w:val="296"/>
        </w:trPr>
        <w:tc>
          <w:tcPr>
            <w:tcW w:w="6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20" w:type="dxa"/>
            <w:vAlign w:val="bottom"/>
            <w:gridSpan w:val="3"/>
          </w:tcPr>
          <w:p>
            <w:pPr>
              <w:jc w:val="right"/>
              <w:ind w:right="803"/>
              <w:spacing w:after="0"/>
              <w:rPr>
                <w:sz w:val="20"/>
                <w:szCs w:val="20"/>
                <w:color w:val="auto"/>
              </w:rPr>
            </w:pPr>
            <w:r>
              <w:rPr>
                <w:rFonts w:ascii="Arial" w:cs="Arial" w:eastAsia="Arial" w:hAnsi="Arial"/>
                <w:sz w:val="15"/>
                <w:szCs w:val="15"/>
                <w:b w:val="1"/>
                <w:bCs w:val="1"/>
                <w:color w:val="auto"/>
              </w:rPr>
              <w:t>(Dollars in millions)</w:t>
            </w:r>
          </w:p>
        </w:tc>
        <w:tc>
          <w:tcPr>
            <w:tcW w:w="500" w:type="dxa"/>
            <w:vAlign w:val="bottom"/>
          </w:tcPr>
          <w:p>
            <w:pPr>
              <w:spacing w:after="0"/>
              <w:rPr>
                <w:sz w:val="24"/>
                <w:szCs w:val="24"/>
                <w:color w:val="auto"/>
              </w:rPr>
            </w:pPr>
          </w:p>
        </w:tc>
      </w:tr>
      <w:tr>
        <w:trPr>
          <w:trHeight w:val="322"/>
        </w:trPr>
        <w:tc>
          <w:tcPr>
            <w:tcW w:w="7020" w:type="dxa"/>
            <w:vAlign w:val="bottom"/>
            <w:gridSpan w:val="2"/>
          </w:tcPr>
          <w:p>
            <w:pPr>
              <w:ind w:left="20"/>
              <w:spacing w:after="0"/>
              <w:rPr>
                <w:sz w:val="20"/>
                <w:szCs w:val="20"/>
                <w:color w:val="auto"/>
              </w:rPr>
            </w:pPr>
            <w:r>
              <w:rPr>
                <w:rFonts w:ascii="Arial" w:cs="Arial" w:eastAsia="Arial" w:hAnsi="Arial"/>
                <w:sz w:val="15"/>
                <w:szCs w:val="15"/>
                <w:color w:val="auto"/>
              </w:rPr>
              <w:t>Write-offs</w:t>
            </w:r>
          </w:p>
        </w:tc>
        <w:tc>
          <w:tcPr>
            <w:tcW w:w="1300" w:type="dxa"/>
            <w:vAlign w:val="bottom"/>
          </w:tcPr>
          <w:p>
            <w:pPr>
              <w:jc w:val="right"/>
              <w:ind w:right="1103"/>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(97)</w:t>
            </w:r>
          </w:p>
        </w:tc>
        <w:tc>
          <w:tcPr>
            <w:tcW w:w="80" w:type="dxa"/>
            <w:vAlign w:val="bottom"/>
          </w:tcPr>
          <w:p>
            <w:pPr>
              <w:spacing w:after="0"/>
              <w:rPr>
                <w:sz w:val="24"/>
                <w:szCs w:val="24"/>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302"/>
        </w:trPr>
        <w:tc>
          <w:tcPr>
            <w:tcW w:w="702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130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b w:val="1"/>
                <w:bCs w:val="1"/>
                <w:color w:val="auto"/>
              </w:rPr>
              <w:t>59</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08"/>
        </w:trPr>
        <w:tc>
          <w:tcPr>
            <w:tcW w:w="6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expense</w:t>
            </w:r>
          </w:p>
        </w:tc>
        <w:tc>
          <w:tcPr>
            <w:tcW w:w="80" w:type="dxa"/>
            <w:vAlign w:val="bottom"/>
          </w:tcPr>
          <w:p>
            <w:pPr>
              <w:spacing w:after="0"/>
              <w:rPr>
                <w:sz w:val="18"/>
                <w:szCs w:val="18"/>
                <w:color w:val="auto"/>
              </w:rPr>
            </w:pPr>
          </w:p>
        </w:tc>
        <w:tc>
          <w:tcPr>
            <w:tcW w:w="130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(79)</w:t>
            </w:r>
          </w:p>
        </w:tc>
        <w:tc>
          <w:tcPr>
            <w:tcW w:w="80" w:type="dxa"/>
            <w:vAlign w:val="bottom"/>
          </w:tcPr>
          <w:p>
            <w:pPr>
              <w:spacing w:after="0"/>
              <w:rPr>
                <w:sz w:val="18"/>
                <w:szCs w:val="18"/>
                <w:color w:val="auto"/>
              </w:rPr>
            </w:pPr>
          </w:p>
        </w:tc>
        <w:tc>
          <w:tcPr>
            <w:tcW w:w="15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w:t>
            </w:r>
          </w:p>
        </w:tc>
      </w:tr>
      <w:tr>
        <w:trPr>
          <w:trHeight w:val="309"/>
        </w:trPr>
        <w:tc>
          <w:tcPr>
            <w:tcW w:w="702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1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(117)</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303"/>
        </w:trPr>
        <w:tc>
          <w:tcPr>
            <w:tcW w:w="6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80" w:type="dxa"/>
            <w:vAlign w:val="bottom"/>
          </w:tcPr>
          <w:p>
            <w:pPr>
              <w:spacing w:after="0"/>
              <w:rPr>
                <w:sz w:val="24"/>
                <w:szCs w:val="24"/>
                <w:color w:val="auto"/>
              </w:rPr>
            </w:pPr>
          </w:p>
        </w:tc>
        <w:tc>
          <w:tcPr>
            <w:tcW w:w="13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w:t>
            </w:r>
          </w:p>
        </w:tc>
        <w:tc>
          <w:tcPr>
            <w:tcW w:w="80" w:type="dxa"/>
            <w:vAlign w:val="bottom"/>
          </w:tcPr>
          <w:p>
            <w:pPr>
              <w:spacing w:after="0"/>
              <w:rPr>
                <w:sz w:val="24"/>
                <w:szCs w:val="24"/>
                <w:color w:val="auto"/>
              </w:rPr>
            </w:pPr>
          </w:p>
        </w:tc>
        <w:tc>
          <w:tcPr>
            <w:tcW w:w="156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702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1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(137)</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303"/>
        </w:trPr>
        <w:tc>
          <w:tcPr>
            <w:tcW w:w="6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3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14</w:t>
            </w:r>
          </w:p>
        </w:tc>
        <w:tc>
          <w:tcPr>
            <w:tcW w:w="80" w:type="dxa"/>
            <w:vAlign w:val="bottom"/>
          </w:tcPr>
          <w:p>
            <w:pPr>
              <w:spacing w:after="0"/>
              <w:rPr>
                <w:sz w:val="24"/>
                <w:szCs w:val="24"/>
                <w:color w:val="auto"/>
              </w:rPr>
            </w:pPr>
          </w:p>
        </w:tc>
        <w:tc>
          <w:tcPr>
            <w:tcW w:w="156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(72)</w:t>
            </w:r>
          </w:p>
        </w:tc>
      </w:tr>
      <w:tr>
        <w:trPr>
          <w:trHeight w:val="187"/>
        </w:trPr>
        <w:tc>
          <w:tcPr>
            <w:tcW w:w="70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 other</w:t>
            </w: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1"/>
        </w:trPr>
        <w:tc>
          <w:tcPr>
            <w:tcW w:w="7020" w:type="dxa"/>
            <w:vAlign w:val="bottom"/>
            <w:gridSpan w:val="2"/>
          </w:tcPr>
          <w:p>
            <w:pPr>
              <w:ind w:left="180"/>
              <w:spacing w:after="0"/>
              <w:rPr>
                <w:sz w:val="20"/>
                <w:szCs w:val="20"/>
                <w:color w:val="auto"/>
              </w:rPr>
            </w:pPr>
            <w:r>
              <w:rPr>
                <w:rFonts w:ascii="Arial" w:cs="Arial" w:eastAsia="Arial" w:hAnsi="Arial"/>
                <w:sz w:val="15"/>
                <w:szCs w:val="15"/>
                <w:color w:val="auto"/>
              </w:rPr>
              <w:t>valuation adjustments</w:t>
            </w:r>
          </w:p>
        </w:tc>
        <w:tc>
          <w:tcPr>
            <w:tcW w:w="1300" w:type="dxa"/>
            <w:vAlign w:val="bottom"/>
          </w:tcPr>
          <w:p>
            <w:pPr>
              <w:jc w:val="right"/>
              <w:ind w:right="1103"/>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80" w:type="dxa"/>
            <w:vAlign w:val="bottom"/>
          </w:tcPr>
          <w:p>
            <w:pPr>
              <w:spacing w:after="0"/>
              <w:rPr>
                <w:sz w:val="20"/>
                <w:szCs w:val="20"/>
                <w:color w:val="auto"/>
              </w:rPr>
            </w:pPr>
          </w:p>
        </w:tc>
        <w:tc>
          <w:tcPr>
            <w:tcW w:w="1560" w:type="dxa"/>
            <w:vAlign w:val="bottom"/>
          </w:tcPr>
          <w:p>
            <w:pPr>
              <w:jc w:val="right"/>
              <w:ind w:right="1383"/>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0"/>
        </w:trPr>
        <w:tc>
          <w:tcPr>
            <w:tcW w:w="69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r>
      <w:tr>
        <w:trPr>
          <w:trHeight w:val="469"/>
        </w:trPr>
        <w:tc>
          <w:tcPr>
            <w:tcW w:w="70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1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180"/>
        </w:trPr>
        <w:tc>
          <w:tcPr>
            <w:tcW w:w="70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 other</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71"/>
        </w:trPr>
        <w:tc>
          <w:tcPr>
            <w:tcW w:w="7020" w:type="dxa"/>
            <w:vAlign w:val="bottom"/>
            <w:gridSpan w:val="2"/>
          </w:tcPr>
          <w:p>
            <w:pPr>
              <w:ind w:left="180"/>
              <w:spacing w:after="0"/>
              <w:rPr>
                <w:sz w:val="20"/>
                <w:szCs w:val="20"/>
                <w:color w:val="auto"/>
              </w:rPr>
            </w:pPr>
            <w:r>
              <w:rPr>
                <w:rFonts w:ascii="Arial" w:cs="Arial" w:eastAsia="Arial" w:hAnsi="Arial"/>
                <w:sz w:val="15"/>
                <w:szCs w:val="15"/>
                <w:color w:val="auto"/>
              </w:rPr>
              <w:t>valuation adjustments ratio (in bps)</w:t>
            </w:r>
            <w:r>
              <w:rPr>
                <w:rFonts w:ascii="Arial" w:cs="Arial" w:eastAsia="Arial" w:hAnsi="Arial"/>
                <w:sz w:val="20"/>
                <w:szCs w:val="20"/>
                <w:color w:val="auto"/>
                <w:vertAlign w:val="superscript"/>
              </w:rPr>
              <w:t>(4)</w:t>
            </w:r>
          </w:p>
        </w:tc>
        <w:tc>
          <w:tcPr>
            <w:tcW w:w="1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(0.5)</w:t>
            </w:r>
          </w:p>
        </w:tc>
      </w:tr>
    </w:tbl>
    <w:p>
      <w:pPr>
        <w:spacing w:after="0" w:line="69" w:lineRule="exact"/>
        <w:rPr>
          <w:sz w:val="20"/>
          <w:szCs w:val="20"/>
          <w:color w:val="auto"/>
        </w:rPr>
      </w:pPr>
    </w:p>
    <w:p>
      <w:pPr>
        <w:ind w:left="220" w:hanging="217"/>
        <w:spacing w:after="0"/>
        <w:tabs>
          <w:tab w:leader="none" w:pos="220" w:val="left"/>
        </w:tabs>
        <w:numPr>
          <w:ilvl w:val="0"/>
          <w:numId w:val="39"/>
        </w:numPr>
        <w:rPr>
          <w:rFonts w:ascii="Arial" w:cs="Arial" w:eastAsia="Arial" w:hAnsi="Arial"/>
          <w:sz w:val="9"/>
          <w:szCs w:val="9"/>
          <w:color w:val="auto"/>
        </w:rPr>
      </w:pPr>
      <w:r>
        <w:rPr>
          <w:rFonts w:ascii="Arial" w:cs="Arial" w:eastAsia="Arial" w:hAnsi="Arial"/>
          <w:sz w:val="14"/>
          <w:szCs w:val="14"/>
          <w:color w:val="auto"/>
        </w:rPr>
        <w:t>Consists of the lower of cost or fair value adjustment at time of redesignation.</w:t>
      </w:r>
    </w:p>
    <w:p>
      <w:pPr>
        <w:spacing w:after="0" w:line="45" w:lineRule="exact"/>
        <w:rPr>
          <w:rFonts w:ascii="Arial" w:cs="Arial" w:eastAsia="Arial" w:hAnsi="Arial"/>
          <w:sz w:val="9"/>
          <w:szCs w:val="9"/>
          <w:color w:val="auto"/>
        </w:rPr>
      </w:pPr>
    </w:p>
    <w:p>
      <w:pPr>
        <w:ind w:left="240" w:right="200" w:hanging="237"/>
        <w:spacing w:after="0" w:line="226" w:lineRule="auto"/>
        <w:tabs>
          <w:tab w:leader="none" w:pos="23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37" w:lineRule="exact"/>
        <w:rPr>
          <w:rFonts w:ascii="Arial" w:cs="Arial" w:eastAsia="Arial" w:hAnsi="Arial"/>
          <w:sz w:val="18"/>
          <w:szCs w:val="18"/>
          <w:color w:val="auto"/>
          <w:vertAlign w:val="superscript"/>
        </w:rPr>
      </w:pPr>
    </w:p>
    <w:p>
      <w:pPr>
        <w:ind w:left="240" w:right="240" w:hanging="237"/>
        <w:spacing w:after="0" w:line="210" w:lineRule="auto"/>
        <w:tabs>
          <w:tab w:leader="none" w:pos="23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7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primary drivers of our net credit losses, write-offs on redesignations and gains on sales and other valuation adjustments in the first quarter of 2024 were write-offs on loans for which collectability was no longer reasonably assured as well as foreclosed property expense due to increased repairs on the REO properties we acquired.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4" w:name="page35"/>
    <w:bookmarkEnd w:id="34"/>
    <w:p>
      <w:pPr>
        <w:ind w:left="9360"/>
        <w:spacing w:after="0"/>
        <w:rPr>
          <w:sz w:val="20"/>
          <w:szCs w:val="20"/>
          <w:color w:val="auto"/>
        </w:rPr>
      </w:pPr>
      <w:r>
        <w:rPr>
          <w:rFonts w:ascii="Arial" w:cs="Arial" w:eastAsia="Arial" w:hAnsi="Arial"/>
          <w:sz w:val="14"/>
          <w:szCs w:val="14"/>
          <w:color w:val="05314D"/>
        </w:rPr>
        <w:t>MD&amp;A | 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2023 Form 10-K. See “MD&amp;A—Multifamily Business” in our 2023 Form 10-K for additional information regarding the primary business activities, lenders, investors and competition of our Multifamily business.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spacing w:after="0" w:line="76"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Multifamily market fundamentals, which include factors such as vacancy rates and rent growth, remained subdued during the first quarter of 2024, due to a combination of seasonality and elevated levels of new supply entering various markets across the country. Although the national vacancy rate is estimated to have remained steady, rent growth was below average.</w:t>
      </w:r>
    </w:p>
    <w:p>
      <w:pPr>
        <w:spacing w:after="0" w:line="32" w:lineRule="exact"/>
        <w:rPr>
          <w:sz w:val="20"/>
          <w:szCs w:val="20"/>
          <w:color w:val="auto"/>
        </w:rPr>
      </w:pPr>
    </w:p>
    <w:p>
      <w:pPr>
        <w:ind w:left="620" w:right="80" w:hanging="307"/>
        <w:spacing w:after="0" w:line="281" w:lineRule="auto"/>
        <w:tabs>
          <w:tab w:leader="none" w:pos="612"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Vacancy rates</w:t>
      </w:r>
      <w:r>
        <w:rPr>
          <w:rFonts w:ascii="Arial" w:cs="Arial" w:eastAsia="Arial" w:hAnsi="Arial"/>
          <w:sz w:val="16"/>
          <w:szCs w:val="16"/>
          <w:color w:val="auto"/>
        </w:rPr>
        <w:t>. Based on preliminary third-party data, we estimate that the national multifamily vacancy rate for institutional investment-type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properties remained steady at 6.0% as of March 31, 2024, the same as of December 31, 2023, but up from 5.8% as of March 31, 2023. The estimated average national multifamily vacancy rate over the last 15 years is approximately 5.7%.</w:t>
      </w:r>
    </w:p>
    <w:p>
      <w:pPr>
        <w:spacing w:after="0" w:line="24" w:lineRule="exact"/>
        <w:rPr>
          <w:rFonts w:ascii="Arial" w:cs="Arial" w:eastAsia="Arial" w:hAnsi="Arial"/>
          <w:sz w:val="16"/>
          <w:szCs w:val="16"/>
          <w:color w:val="auto"/>
        </w:rPr>
      </w:pPr>
    </w:p>
    <w:p>
      <w:pPr>
        <w:ind w:left="620" w:right="580" w:hanging="307"/>
        <w:spacing w:after="0" w:line="293" w:lineRule="auto"/>
        <w:tabs>
          <w:tab w:leader="none" w:pos="612"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third-party data, we estimate that effective rents increased approximately 0.3% during the first quarter of 2024,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decline of 0.7% during the fourth quarter of 2023 and zero growth during the first quarter of 2023.</w:t>
      </w:r>
    </w:p>
    <w:p>
      <w:pPr>
        <w:spacing w:after="0" w:line="15"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low vacancy rates and rising rents helped to increase property values in most metropolitan areas, but that trend reversed starting in early 2023. Based on preliminary multifamily property sales data, transaction volumes for the first quarter of 2024 remained well below average levels.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Available data suggests that multifamily property capitalization rates, the indicated rate of return on investment of a commercial property, increased slightly in the first quarter of 2024 and are estimated to have increased by approximately 50 basis points compared with the first quarter of 2023.</w:t>
      </w:r>
    </w:p>
    <w:p>
      <w:pPr>
        <w:spacing w:after="0" w:line="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Multifamily construction underway remains elevated. There are more than 1 million rental units underway and, based on recent historical trends, we expect that 525,000 units could be completed and delivered in 2024.</w:t>
      </w:r>
    </w:p>
    <w:p>
      <w:pPr>
        <w:spacing w:after="0" w:line="15"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We believe vacancy levels could rise later this year to 6.25%, due to elevated new construction completions. We believe that this new supply will also keep rent growth at below average levels in 2024, in the 1.0% to 1.5% range, especially as many renters are also dealing with higher levels of consumer debt.</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During the last several quarters, higher interest rates and investor yield requirements have reduced multifamily property sales transactions and placed downward pressure on multifamily property valuations. According to data from the MSCI Real Assets Commercial Property Price Index, multifamily property values declined 19% from the peak in July 2022 to March 2024. We believe that with continued high interest rates, elevated new supply completions and higher-than-average vacancy rates, multifamily sales activity will remain subdued in the near term, which could result in additional declines in multifamily property values over the short term. Over the longer term, however, we expect sales and valuations will improve due to expected improvements in multifamily housing market fundamentals stemming from positive demographic trends and ongoing job growth.</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5" w:name="page36"/>
    <w:bookmarkEnd w:id="35"/>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Through the secondary mortgage market, we support rental housing for the workforce population, for senior citizens and students, and for households with the greatest economic need. Over 95% of the multifamily units we financed in the first quarter of 2024 that were potentially eligible for housing goals credit were affordable to those earning at or below 120% of the median income in their area, providing support for both workforce housing and affordable housing. See “MD&amp;A—Multifamily Business—Multifamily Primary Business Activities—Multifamily Activities Supporting Affordable Rental Housing” in our 2023 Form 10-K for additional information about how we support the U.S. multifamily housing market, including a description of our equity investments in low income housing tax credit (“LIHTC”) projects.</w:t>
      </w:r>
    </w:p>
    <w:p>
      <w:pPr>
        <w:spacing w:after="0" w:line="13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5460365" cy="1637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right="80" w:hanging="237"/>
        <w:spacing w:after="0" w:line="226" w:lineRule="auto"/>
        <w:tabs>
          <w:tab w:leader="none" w:pos="233"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multifamily Fannie Mae MBS issued, multifamily loans purchased, and credit enhancements provided on multifamily mortgage assets during the period.</w:t>
      </w:r>
    </w:p>
    <w:p>
      <w:pPr>
        <w:spacing w:after="0" w:line="14" w:lineRule="exact"/>
        <w:rPr>
          <w:rFonts w:ascii="Arial" w:cs="Arial" w:eastAsia="Arial" w:hAnsi="Arial"/>
          <w:sz w:val="18"/>
          <w:szCs w:val="18"/>
          <w:color w:val="auto"/>
          <w:vertAlign w:val="superscript"/>
        </w:rPr>
      </w:pPr>
    </w:p>
    <w:p>
      <w:pPr>
        <w:ind w:left="240" w:right="620" w:hanging="237"/>
        <w:spacing w:after="0" w:line="278" w:lineRule="auto"/>
        <w:tabs>
          <w:tab w:leader="none" w:pos="233" w:val="left"/>
        </w:tabs>
        <w:numPr>
          <w:ilvl w:val="0"/>
          <w:numId w:val="41"/>
        </w:numPr>
        <w:rPr>
          <w:rFonts w:ascii="Arial" w:cs="Arial" w:eastAsia="Arial" w:hAnsi="Arial"/>
          <w:sz w:val="9"/>
          <w:szCs w:val="9"/>
          <w:color w:val="auto"/>
        </w:rPr>
      </w:pPr>
      <w:r>
        <w:rPr>
          <w:rFonts w:ascii="Arial" w:cs="Arial" w:eastAsia="Arial" w:hAnsi="Arial"/>
          <w:sz w:val="14"/>
          <w:szCs w:val="14"/>
          <w:color w:val="auto"/>
        </w:rPr>
        <w:t>Reflects new units financed by first liens; excludes second liens on units for which we had financed the first lien, as well as manufactured housing rentals. Second liens and manufactured housing rentals are included in unpaid principal balance.</w:t>
      </w:r>
    </w:p>
    <w:p>
      <w:pPr>
        <w:spacing w:after="0" w:line="5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Multifamily business volumes remained relatively flat in the first quarter of 2024 compared with the first quarter of 2023. For 2024, FHFA has capped our multifamily loan purchases at $70 billion. FHFA requires that a minimum of 50% of our 2024 multifamily loan purchases must be mission-driven, focused on specified affordable and underserved market segments. For 2024, FHFA has exempted from the volume cap loans financing workforce housing properties meeting specified criteria that preserve long-term affordability for the properties.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6" w:name="page37"/>
    <w:bookmarkEnd w:id="36"/>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unpaid principal balance and average charged guaranty fee related to our multifamily guaranty book of business.</w:t>
      </w:r>
    </w:p>
    <w:p>
      <w:pPr>
        <w:spacing w:after="0" w:line="7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1543"/>
          <w:vertAlign w:val="superscript"/>
        </w:rPr>
        <w:t>)</w:t>
      </w:r>
    </w:p>
    <w:p>
      <w:pPr>
        <w:jc w:val="center"/>
        <w:spacing w:after="0" w:line="237" w:lineRule="auto"/>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64770</wp:posOffset>
            </wp:positionV>
            <wp:extent cx="5501005" cy="1964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010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hanging="237"/>
        <w:spacing w:after="0" w:line="233"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“Multifamily Business” section, our multifamily guaranty book of business is measured using the unpaid principal balance of mortgage loans underlying Fannie Mae MBS. By contrast, the multifamily guaranty book of business presented in the “Composition of Fannie Mae Guaranty Book of Business” table in the “Guaranty Book of Business” section is based on the unpaid principal balance of Fannie Mae MBS outstanding. These amounts differ primarily as a result of payments we receive on underlying loans that have not yet been paid to the MBS holders.</w:t>
      </w:r>
    </w:p>
    <w:p>
      <w:pPr>
        <w:spacing w:after="0" w:line="26" w:lineRule="exact"/>
        <w:rPr>
          <w:rFonts w:ascii="Arial" w:cs="Arial" w:eastAsia="Arial" w:hAnsi="Arial"/>
          <w:sz w:val="18"/>
          <w:szCs w:val="18"/>
          <w:color w:val="auto"/>
          <w:vertAlign w:val="superscript"/>
        </w:rPr>
      </w:pPr>
    </w:p>
    <w:p>
      <w:pPr>
        <w:jc w:val="both"/>
        <w:ind w:left="240" w:right="100" w:hanging="237"/>
        <w:spacing w:after="0" w:line="233"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65"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multifamily guaranty book of business grew to $476.9 billion as of March 31, 2024, a 7% increase from March 31, 2023, driven by our acquisitions combined with low prepayment volumes due to the high interest rate environment.</w:t>
      </w:r>
    </w:p>
    <w:p>
      <w:pPr>
        <w:spacing w:after="0" w:line="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average charged guaranty fee represents the return we earn as compensation for the credit risk we assume on our multifamily guaranty book of business. The average charged guaranty fee on our multifamily guaranty book of business decreased as of March 31, 2024 compared with March 31, 2023 due to lower average charged fees on our 2023 and 2024 acquisitions as compared with the existing loans in our multifamily guaranty book of business. Our guaranty fee is impacted by the rate at which loans in our book of business turn over as well as the guaranty fees we charge on new business volumes, which are set at the time we acquire the loans. Our multifamily guaranty fee pricing is primarily based on the individual credit risk characteristics of the loans we acquire and the aggregate credit risk characteristics of our multifamily guaranty book of business. Our multifamily guaranty fee pricing is also influenced by external forces, such as the availability of other sources of liquidity, our mission-related goals, the FHFA volume cap, interest rates, MBS spreads, and the management of the overall composition of our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7" w:name="page38"/>
    <w:bookmarkEnd w:id="37"/>
    <w:p>
      <w:pPr>
        <w:ind w:left="6920"/>
        <w:spacing w:after="0"/>
        <w:rPr>
          <w:sz w:val="20"/>
          <w:szCs w:val="20"/>
          <w:color w:val="auto"/>
        </w:rPr>
      </w:pPr>
      <w:r>
        <w:rPr>
          <w:rFonts w:ascii="Arial" w:cs="Arial" w:eastAsia="Arial" w:hAnsi="Arial"/>
          <w:sz w:val="14"/>
          <w:szCs w:val="14"/>
          <w:color w:val="05314D"/>
        </w:rPr>
        <w:t>MD&amp;A | Multifamily Business | Multifamily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a discussion of the primary components of net income for our Multifamily Business.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Business Financial Results</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940" w:type="dxa"/>
            <w:vAlign w:val="bottom"/>
            <w:tcBorders>
              <w:top w:val="single" w:sz="8" w:color="2C6937"/>
            </w:tcBorders>
            <w:gridSpan w:val="6"/>
          </w:tcPr>
          <w:p>
            <w:pPr>
              <w:ind w:left="120"/>
              <w:spacing w:after="0"/>
              <w:rPr>
                <w:sz w:val="20"/>
                <w:szCs w:val="20"/>
                <w:color w:val="auto"/>
              </w:rPr>
            </w:pPr>
            <w:r>
              <w:rPr>
                <w:rFonts w:ascii="Arial" w:cs="Arial" w:eastAsia="Arial" w:hAnsi="Arial"/>
                <w:sz w:val="14"/>
                <w:szCs w:val="14"/>
                <w:b w:val="1"/>
                <w:bCs w:val="1"/>
                <w:color w:val="auto"/>
              </w:rPr>
              <w:t>For the Three Months Ended March 31,</w:t>
            </w:r>
          </w:p>
        </w:tc>
        <w:tc>
          <w:tcPr>
            <w:tcW w:w="240" w:type="dxa"/>
            <w:vAlign w:val="bottom"/>
            <w:tcBorders>
              <w:top w:val="single" w:sz="8" w:color="2C6937"/>
            </w:tcBorders>
          </w:tcPr>
          <w:p>
            <w:pPr>
              <w:spacing w:after="0"/>
              <w:rPr>
                <w:sz w:val="17"/>
                <w:szCs w:val="17"/>
                <w:color w:val="auto"/>
              </w:rPr>
            </w:pPr>
          </w:p>
        </w:tc>
        <w:tc>
          <w:tcPr>
            <w:tcW w:w="1080" w:type="dxa"/>
            <w:vAlign w:val="bottom"/>
            <w:tcBorders>
              <w:top w:val="single" w:sz="8" w:color="2C6937"/>
            </w:tcBorders>
          </w:tcPr>
          <w:p>
            <w:pPr>
              <w:spacing w:after="0"/>
              <w:rPr>
                <w:sz w:val="17"/>
                <w:szCs w:val="17"/>
                <w:color w:val="auto"/>
              </w:rPr>
            </w:pPr>
          </w:p>
        </w:tc>
      </w:tr>
      <w:tr>
        <w:trPr>
          <w:trHeight w:val="187"/>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top w:val="single" w:sz="8" w:color="2C6937"/>
              <w:bottom w:val="single" w:sz="8" w:color="2C6937"/>
            </w:tcBorders>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1020" w:type="dxa"/>
            <w:vAlign w:val="bottom"/>
            <w:tcBorders>
              <w:top w:val="single" w:sz="8" w:color="2C6937"/>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840" w:type="dxa"/>
            <w:vAlign w:val="bottom"/>
          </w:tcPr>
          <w:p>
            <w:pPr>
              <w:jc w:val="right"/>
              <w:ind w:right="667"/>
              <w:spacing w:after="0"/>
              <w:rPr>
                <w:sz w:val="20"/>
                <w:szCs w:val="20"/>
                <w:color w:val="auto"/>
              </w:rPr>
            </w:pPr>
            <w:r>
              <w:rPr>
                <w:rFonts w:ascii="Arial" w:cs="Arial" w:eastAsia="Arial" w:hAnsi="Arial"/>
                <w:sz w:val="15"/>
                <w:szCs w:val="15"/>
                <w:b w:val="1"/>
                <w:bCs w:val="1"/>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1,149</w:t>
            </w:r>
          </w:p>
        </w:tc>
        <w:tc>
          <w:tcPr>
            <w:tcW w:w="1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1,114</w:t>
            </w:r>
          </w:p>
        </w:tc>
        <w:tc>
          <w:tcPr>
            <w:tcW w:w="14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08"/>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r>
      <w:tr>
        <w:trPr>
          <w:trHeight w:val="198"/>
        </w:trPr>
        <w:tc>
          <w:tcPr>
            <w:tcW w:w="698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1,166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1,129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6"/>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6"/>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(152)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6"/>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Provision for credit losses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21"/>
        </w:trPr>
        <w:tc>
          <w:tcPr>
            <w:tcW w:w="6980" w:type="dxa"/>
            <w:vAlign w:val="bottom"/>
            <w:gridSpan w:val="2"/>
          </w:tcPr>
          <w:p>
            <w:pPr>
              <w:ind w:left="20"/>
              <w:spacing w:after="0" w:line="221"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(66)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17"/>
        </w:trPr>
        <w:tc>
          <w:tcPr>
            <w:tcW w:w="698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08"/>
        </w:trPr>
        <w:tc>
          <w:tcPr>
            <w:tcW w:w="68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r>
      <w:tr>
        <w:trPr>
          <w:trHeight w:val="198"/>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880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801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08"/>
        </w:trPr>
        <w:tc>
          <w:tcPr>
            <w:tcW w:w="6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(167)</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(161)</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r>
      <w:tr>
        <w:trPr>
          <w:trHeight w:val="199"/>
        </w:trPr>
        <w:tc>
          <w:tcPr>
            <w:tcW w:w="698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840" w:type="dxa"/>
            <w:vAlign w:val="bottom"/>
          </w:tcPr>
          <w:p>
            <w:pPr>
              <w:jc w:val="right"/>
              <w:ind w:right="667"/>
              <w:spacing w:after="0"/>
              <w:rPr>
                <w:sz w:val="20"/>
                <w:szCs w:val="20"/>
                <w:color w:val="auto"/>
              </w:rPr>
            </w:pPr>
            <w:r>
              <w:rPr>
                <w:rFonts w:ascii="Arial" w:cs="Arial" w:eastAsia="Arial" w:hAnsi="Arial"/>
                <w:sz w:val="15"/>
                <w:szCs w:val="15"/>
                <w:b w:val="1"/>
                <w:bCs w:val="1"/>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713</w:t>
            </w:r>
          </w:p>
        </w:tc>
        <w:tc>
          <w:tcPr>
            <w:tcW w:w="14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640</w:t>
            </w:r>
          </w:p>
        </w:tc>
        <w:tc>
          <w:tcPr>
            <w:tcW w:w="14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0"/>
        </w:trPr>
        <w:tc>
          <w:tcPr>
            <w:tcW w:w="6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See “Note 10, Segment Reporting” for information about our segment allocation methodology.</w:t>
      </w:r>
    </w:p>
    <w:p>
      <w:pPr>
        <w:spacing w:after="0" w:line="37" w:lineRule="exact"/>
        <w:rPr>
          <w:rFonts w:ascii="Arial" w:cs="Arial" w:eastAsia="Arial" w:hAnsi="Arial"/>
          <w:sz w:val="18"/>
          <w:szCs w:val="18"/>
          <w:color w:val="auto"/>
          <w:vertAlign w:val="superscript"/>
        </w:rPr>
      </w:pPr>
    </w:p>
    <w:p>
      <w:pPr>
        <w:ind w:left="240" w:right="540" w:hanging="237"/>
        <w:spacing w:after="0" w:line="219" w:lineRule="auto"/>
        <w:tabs>
          <w:tab w:leader="none" w:pos="233"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w:t>
      </w:r>
    </w:p>
    <w:p>
      <w:pPr>
        <w:spacing w:after="0" w:line="2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3"/>
        </w:numPr>
        <w:rPr>
          <w:rFonts w:ascii="Arial" w:cs="Arial" w:eastAsia="Arial" w:hAnsi="Arial"/>
          <w:sz w:val="17"/>
          <w:szCs w:val="17"/>
          <w:color w:val="auto"/>
          <w:vertAlign w:val="superscript"/>
        </w:rPr>
      </w:pPr>
      <w:r>
        <w:rPr>
          <w:rFonts w:ascii="Arial" w:cs="Arial" w:eastAsia="Arial" w:hAnsi="Arial"/>
          <w:sz w:val="13"/>
          <w:szCs w:val="13"/>
          <w:color w:val="auto"/>
        </w:rPr>
        <w:t>Consists of change in benefits recognized from our freestanding credit enhancements that primarily relate to our Delegated Underwriting and Servicing (“DUS</w:t>
      </w:r>
      <w:r>
        <w:rPr>
          <w:rFonts w:ascii="Arial" w:cs="Arial" w:eastAsia="Arial" w:hAnsi="Arial"/>
          <w:sz w:val="16"/>
          <w:szCs w:val="16"/>
          <w:color w:val="auto"/>
          <w:vertAlign w:val="superscript"/>
        </w:rPr>
        <w:t>®</w:t>
      </w:r>
      <w:r>
        <w:rPr>
          <w:rFonts w:ascii="Arial" w:cs="Arial" w:eastAsia="Arial" w:hAnsi="Arial"/>
          <w:sz w:val="13"/>
          <w:szCs w:val="13"/>
          <w:color w:val="auto"/>
        </w:rPr>
        <w:t>”) lender risk-sharing.</w:t>
      </w:r>
    </w:p>
    <w:p>
      <w:pPr>
        <w:spacing w:after="0" w:line="13" w:lineRule="exact"/>
        <w:rPr>
          <w:rFonts w:ascii="Arial" w:cs="Arial" w:eastAsia="Arial" w:hAnsi="Arial"/>
          <w:sz w:val="17"/>
          <w:szCs w:val="17"/>
          <w:color w:val="auto"/>
          <w:vertAlign w:val="superscript"/>
        </w:rPr>
      </w:pPr>
    </w:p>
    <w:p>
      <w:pPr>
        <w:ind w:left="240" w:right="740" w:hanging="237"/>
        <w:spacing w:after="0" w:line="260" w:lineRule="auto"/>
        <w:tabs>
          <w:tab w:leader="none" w:pos="233" w:val="left"/>
        </w:tabs>
        <w:numPr>
          <w:ilvl w:val="0"/>
          <w:numId w:val="43"/>
        </w:numPr>
        <w:rPr>
          <w:rFonts w:ascii="Arial" w:cs="Arial" w:eastAsia="Arial" w:hAnsi="Arial"/>
          <w:sz w:val="9"/>
          <w:szCs w:val="9"/>
          <w:color w:val="auto"/>
        </w:rPr>
      </w:pPr>
      <w:r>
        <w:rPr>
          <w:rFonts w:ascii="Arial" w:cs="Arial" w:eastAsia="Arial" w:hAnsi="Arial"/>
          <w:sz w:val="14"/>
          <w:szCs w:val="14"/>
          <w:color w:val="auto"/>
        </w:rPr>
        <w:t>Consists of investment gains or losses, expenses associated with legal claims, foreclosed property income (expense), gains or losses from partnership investments, debt extinguishment gains or losses, and other income or expenses.</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Net Interest Income</w:t>
      </w:r>
    </w:p>
    <w:p>
      <w:pPr>
        <w:spacing w:after="0" w:line="80" w:lineRule="exact"/>
        <w:rPr>
          <w:sz w:val="20"/>
          <w:szCs w:val="20"/>
          <w:color w:val="auto"/>
        </w:rPr>
      </w:pPr>
    </w:p>
    <w:p>
      <w:pPr>
        <w:ind w:right="440"/>
        <w:spacing w:after="0" w:line="272" w:lineRule="auto"/>
        <w:rPr>
          <w:sz w:val="20"/>
          <w:szCs w:val="20"/>
          <w:color w:val="auto"/>
        </w:rPr>
      </w:pPr>
      <w:r>
        <w:rPr>
          <w:rFonts w:ascii="Arial" w:cs="Arial" w:eastAsia="Arial" w:hAnsi="Arial"/>
          <w:sz w:val="16"/>
          <w:szCs w:val="16"/>
          <w:color w:val="auto"/>
        </w:rPr>
        <w:t>Net interest income increased in the first quarter of 2024 compared with the first quarter of 2023 due to higher guaranty fee income as a result of an increase in the size of our multifamily guaranty book of business, partially offset by lower average charged guaranty fees and lower yield maintenance income from fewer prepayments.</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Provision for Credit Losses</w:t>
      </w:r>
    </w:p>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multifamily provision for credit losses in the first quarter of 2024 was primarily driven by continued declines in actual and projected multifamily property values, which includes an adjustment of $150 million to supplement model results relating to property value uncertainty, as well as increases in actual and projected interest rates compared to our prior forecast. Our forecast of multifamily property value estimates further declines in the near term offset by a long-term improvement.</w:t>
      </w:r>
    </w:p>
    <w:p>
      <w:pPr>
        <w:spacing w:after="0" w:line="48" w:lineRule="exact"/>
        <w:rPr>
          <w:sz w:val="20"/>
          <w:szCs w:val="20"/>
          <w:color w:val="auto"/>
        </w:rPr>
      </w:pPr>
    </w:p>
    <w:p>
      <w:pPr>
        <w:jc w:val="both"/>
        <w:ind w:right="80"/>
        <w:spacing w:after="0" w:line="272" w:lineRule="auto"/>
        <w:rPr>
          <w:sz w:val="20"/>
          <w:szCs w:val="20"/>
          <w:color w:val="auto"/>
        </w:rPr>
      </w:pPr>
      <w:r>
        <w:rPr>
          <w:rFonts w:ascii="Arial" w:cs="Arial" w:eastAsia="Arial" w:hAnsi="Arial"/>
          <w:sz w:val="16"/>
          <w:szCs w:val="16"/>
          <w:color w:val="auto"/>
        </w:rPr>
        <w:t>Our multifamily provision for credit losses in the first quarter of 2023 was primarily driven by declines in actual and projected multifamily property values, as well as a provision for our seniors housing loans as uncertainty remained elevated, including uncertainty related to adjustable-rate loans. This was partially offset by a benefit from actual and projected interest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 “Consolidated Results of Operations—Benefit (Provision) for Credit Losses” for more information on our multifamily provision for credit losses.</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2023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acquisition policy and underwriting standards, our multifamily guaranty book diversification and monitoring, and our front-end credit risk sharing, see “MD&amp;A—Multifamily Business— Multifamily Mortgage Credit Risk Management” in our 2023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8" w:name="page39"/>
    <w:bookmarkEnd w:id="38"/>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As part of our ongoing credit risk management process, we and our lenders monitor the performance and risk characteristics of our multifamily loans and the underlying properties on an ongoing basis throughout the loan term at the asset and portfolio level. We generally require lenders to provide quarterly and/or annual financial updates for multifamily loans. We closely monitor loans with an estimated current debt service coverage ratio (“DSCR”) below 1.0, as that is an indicator of heightened default risk. We also monitor property condition, and when concerns arise, we have a dedicated team that actively engages with our lenders and borrowers to seek remediation of the identified issues. Failure to perform repairs may result in a default under the loan documents.</w:t>
      </w:r>
    </w:p>
    <w:p>
      <w:pPr>
        <w:spacing w:after="0" w:line="4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manage our exposure to interest-rate risk and monitor changes in interest rates, which can impact multiple aspects of our multifamily loans. We remained in a higher interest-rate environment in the first quarter of 2024. High interest-rates may reduce the ability of multifamily borrowers to refinance their loans, which often have balloon balances at maturity. We provide information on the maturity schedule of our multifamily loans in “MD&amp;A—Multifamily Business—Multifamily Mortgage Credit Risk Management—Multifamily Maturity Information” in our 2023 Form 10-K and in quarterly financial supplements, which we furnish to the SEC with current reports on Form 8-K and make available on our website.</w:t>
      </w:r>
    </w:p>
    <w:p>
      <w:pPr>
        <w:spacing w:after="0" w:line="5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Additionally, in a high interest-rate environment, multifamily borrowers with adjustable-rate mortgages will have higher monthly payments, which may lower their DSCRs. We generally require multifamily borrowers with adjustable-rate mortgages to purchase and maintain interest rate caps for the life of the loan to protect against large movements in rates as well as maintain escrows at our servicers to reserve for the cost of replacing these caps. Purchasing or replacing required interest rate caps, especially those with longer terms and/or lower capped interest rates, becomes more expensive as interest rates rise. These costs, which have been elevated since mid-2022, combined with the higher monthly payments, have added pressure to borrowers’ ability to make payments and contributed to our elevated multifamily serious delinquency rate and criticized loan population. In the recent high interest rate environment, most multifamily borrowers with adjustable-rate mortgages have been receiving payments from their interest rate cap providers, which helps to defray the higher cost of debt service and escrow payments. We actively monitor these interest-rate related risks as part of our risk management process.</w:t>
      </w:r>
    </w:p>
    <w:p>
      <w:pPr>
        <w:spacing w:after="0" w:line="4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also monitor for risks manifesting within specific property types. A property type we continue to monitor closely is seniors housing, which in Fannie Mae’s book of business is primarily comprised of independent living and assisted living facilities, some of which may have a limited capacity devoted to memory care. Seniors housing loans constituted 3% of our multifamily guaranty book of business as of March 31, 2024, based on unpaid principal balance, of which 37% were adjustable-rate mortgages. While the overall performance of seniors housing properties in our book of business has improved, many of these properties are still being negatively affected by economic trends, higher operating costs, and higher interest rates for adjustable-rate mortgages. We continue to monitor seniors housing loans in our multifamily guaranty book of business closely and actively manage loans that may be at risk of further deterioration or default.</w:t>
      </w:r>
    </w:p>
    <w:p>
      <w:pPr>
        <w:spacing w:after="0" w:line="4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information on our multifamily acquisition policy and underwriting standards, see “MD&amp;A—Multifamily Business—Multifamily Mortgage Credit Risk Management—Multifamily Acquisition Policy and Underwriting Standards” in our 2023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9" w:name="page40"/>
    <w:bookmarkEnd w:id="39"/>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We provide additional information on the credit characteristics of our multifamily loans in quarterly financial supplements, which we furnish to the SEC with current reports on Form 8-K and make available on our website. Information in our quarterly financial supplements is not incorporated by reference into this report.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1390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Multifamily Business Volume at Acquisition</w:t>
            </w:r>
            <w:r>
              <w:rPr>
                <w:rFonts w:ascii="Arial" w:cs="Arial" w:eastAsia="Arial" w:hAnsi="Arial"/>
                <w:sz w:val="17"/>
                <w:szCs w:val="17"/>
                <w:b w:val="1"/>
                <w:bCs w:val="1"/>
                <w:color w:val="auto"/>
                <w:w w:val="96"/>
                <w:vertAlign w:val="superscript"/>
              </w:rPr>
              <w:t>(1)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4"/>
            <w:vMerge w:val="restart"/>
          </w:tcPr>
          <w:p>
            <w:pPr>
              <w:jc w:val="center"/>
              <w:ind w:right="143"/>
              <w:spacing w:after="0"/>
              <w:rPr>
                <w:sz w:val="20"/>
                <w:szCs w:val="20"/>
                <w:color w:val="auto"/>
              </w:rPr>
            </w:pPr>
            <w:r>
              <w:rPr>
                <w:rFonts w:ascii="Arial" w:cs="Arial" w:eastAsia="Arial" w:hAnsi="Arial"/>
                <w:sz w:val="14"/>
                <w:szCs w:val="14"/>
                <w:b w:val="1"/>
                <w:bCs w:val="1"/>
                <w:color w:val="auto"/>
                <w:w w:val="96"/>
              </w:rPr>
              <w:t>Multifamily Guaranty Book of Business</w:t>
            </w:r>
            <w:r>
              <w:rPr>
                <w:rFonts w:ascii="Arial" w:cs="Arial" w:eastAsia="Arial" w:hAnsi="Arial"/>
                <w:sz w:val="17"/>
                <w:szCs w:val="17"/>
                <w:b w:val="1"/>
                <w:bCs w:val="1"/>
                <w:color w:val="auto"/>
                <w:w w:val="96"/>
                <w:vertAlign w:val="superscript"/>
              </w:rPr>
              <w:t>(2)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2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7"/>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Borders>
              <w:bottom w:val="single" w:sz="8" w:color="2C6937"/>
            </w:tcBorders>
            <w:gridSpan w:val="4"/>
          </w:tcPr>
          <w:p>
            <w:pPr>
              <w:jc w:val="center"/>
              <w:ind w:left="329"/>
              <w:spacing w:after="0"/>
              <w:rPr>
                <w:sz w:val="20"/>
                <w:szCs w:val="20"/>
                <w:color w:val="auto"/>
              </w:rPr>
            </w:pPr>
            <w:r>
              <w:rPr>
                <w:rFonts w:ascii="Arial" w:cs="Arial" w:eastAsia="Arial" w:hAnsi="Arial"/>
                <w:sz w:val="14"/>
                <w:szCs w:val="14"/>
                <w:b w:val="1"/>
                <w:bCs w:val="1"/>
                <w:color w:val="auto"/>
                <w:w w:val="98"/>
              </w:rPr>
              <w:t>For the Three Months Ended March 31,</w:t>
            </w:r>
          </w:p>
        </w:tc>
        <w:tc>
          <w:tcPr>
            <w:tcW w:w="400" w:type="dxa"/>
            <w:vAlign w:val="bottom"/>
            <w:tcBorders>
              <w:bottom w:val="single" w:sz="8" w:color="2C6937"/>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420" w:type="dxa"/>
            <w:vAlign w:val="bottom"/>
            <w:tcBorders>
              <w:bottom w:val="single" w:sz="8" w:color="2C6937"/>
            </w:tcBorders>
          </w:tcPr>
          <w:p>
            <w:pPr>
              <w:spacing w:after="0"/>
              <w:rPr>
                <w:sz w:val="24"/>
                <w:szCs w:val="24"/>
                <w:color w:val="auto"/>
              </w:rPr>
            </w:pPr>
          </w:p>
        </w:tc>
        <w:tc>
          <w:tcPr>
            <w:tcW w:w="480" w:type="dxa"/>
            <w:vAlign w:val="bottom"/>
            <w:tcBorders>
              <w:bottom w:val="single" w:sz="8" w:color="2C6937"/>
            </w:tcBorders>
            <w:gridSpan w:val="2"/>
          </w:tcPr>
          <w:p>
            <w:pPr>
              <w:jc w:val="center"/>
              <w:ind w:right="20"/>
              <w:spacing w:after="0"/>
              <w:rPr>
                <w:sz w:val="20"/>
                <w:szCs w:val="20"/>
                <w:color w:val="auto"/>
              </w:rPr>
            </w:pPr>
            <w:r>
              <w:rPr>
                <w:rFonts w:ascii="Arial" w:cs="Arial" w:eastAsia="Arial" w:hAnsi="Arial"/>
                <w:sz w:val="14"/>
                <w:szCs w:val="14"/>
                <w:b w:val="1"/>
                <w:bCs w:val="1"/>
                <w:color w:val="auto"/>
                <w:w w:val="97"/>
              </w:rPr>
              <w:t>As of</w:t>
            </w:r>
          </w:p>
        </w:tc>
        <w:tc>
          <w:tcPr>
            <w:tcW w:w="1620" w:type="dxa"/>
            <w:vAlign w:val="bottom"/>
            <w:tcBorders>
              <w:bottom w:val="single" w:sz="8" w:color="2C6937"/>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43"/>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23"/>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1140" w:type="dxa"/>
            <w:vAlign w:val="bottom"/>
            <w:tcBorders>
              <w:top w:val="single" w:sz="8" w:color="2C6937"/>
            </w:tcBorders>
          </w:tcPr>
          <w:p>
            <w:pPr>
              <w:spacing w:after="0"/>
              <w:rPr>
                <w:sz w:val="16"/>
                <w:szCs w:val="16"/>
                <w:color w:val="auto"/>
              </w:rPr>
            </w:pPr>
          </w:p>
        </w:tc>
        <w:tc>
          <w:tcPr>
            <w:tcW w:w="500" w:type="dxa"/>
            <w:vAlign w:val="bottom"/>
            <w:tcBorders>
              <w:top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top w:val="single" w:sz="8" w:color="2C6937"/>
            </w:tcBorders>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1420" w:type="dxa"/>
            <w:vAlign w:val="bottom"/>
            <w:tcBorders>
              <w:top w:val="single" w:sz="8" w:color="2C6937"/>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2C6937"/>
            </w:tcBorders>
          </w:tcPr>
          <w:p>
            <w:pPr>
              <w:spacing w:after="0"/>
              <w:rPr>
                <w:sz w:val="16"/>
                <w:szCs w:val="16"/>
                <w:color w:val="auto"/>
              </w:rPr>
            </w:pPr>
          </w:p>
        </w:tc>
        <w:tc>
          <w:tcPr>
            <w:tcW w:w="1620" w:type="dxa"/>
            <w:vAlign w:val="bottom"/>
            <w:tcBorders>
              <w:top w:val="single" w:sz="8" w:color="2C6937"/>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1140" w:type="dxa"/>
            <w:vAlign w:val="bottom"/>
          </w:tcPr>
          <w:p>
            <w:pPr>
              <w:spacing w:after="0"/>
              <w:rPr>
                <w:sz w:val="20"/>
                <w:szCs w:val="20"/>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62</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58</w:t>
            </w:r>
          </w:p>
        </w:tc>
        <w:tc>
          <w:tcPr>
            <w:tcW w:w="28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63</w:t>
            </w: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63</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DSCR:</w:t>
            </w: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(1)</w:t>
            </w:r>
          </w:p>
        </w:tc>
        <w:tc>
          <w:tcPr>
            <w:tcW w:w="1140" w:type="dxa"/>
            <w:vAlign w:val="bottom"/>
          </w:tcPr>
          <w:p>
            <w:pPr>
              <w:spacing w:after="0"/>
              <w:rPr>
                <w:sz w:val="21"/>
                <w:szCs w:val="21"/>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1.6</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(1)</w:t>
            </w:r>
          </w:p>
        </w:tc>
        <w:tc>
          <w:tcPr>
            <w:tcW w:w="114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4</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1140" w:type="dxa"/>
            <w:vAlign w:val="bottom"/>
          </w:tcPr>
          <w:p>
            <w:pPr>
              <w:jc w:val="right"/>
              <w:ind w:right="969"/>
              <w:spacing w:after="0"/>
              <w:rPr>
                <w:sz w:val="20"/>
                <w:szCs w:val="20"/>
                <w:color w:val="auto"/>
              </w:rPr>
            </w:pPr>
            <w:r>
              <w:rPr>
                <w:rFonts w:ascii="Arial" w:cs="Arial" w:eastAsia="Arial" w:hAnsi="Arial"/>
                <w:sz w:val="15"/>
                <w:szCs w:val="15"/>
                <w:b w:val="1"/>
                <w:bCs w:val="1"/>
                <w:color w:val="auto"/>
                <w:w w:val="95"/>
              </w:rPr>
              <w:t>$</w:t>
            </w: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18</w:t>
            </w:r>
          </w:p>
        </w:tc>
        <w:tc>
          <w:tcPr>
            <w:tcW w:w="1500" w:type="dxa"/>
            <w:vAlign w:val="bottom"/>
            <w:gridSpan w:val="2"/>
          </w:tcPr>
          <w:p>
            <w:pPr>
              <w:jc w:val="right"/>
              <w:ind w:right="11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19</w:t>
            </w:r>
          </w:p>
        </w:tc>
        <w:tc>
          <w:tcPr>
            <w:tcW w:w="5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16</w:t>
            </w: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114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552</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29,137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28,926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80" w:type="dxa"/>
            <w:vAlign w:val="bottom"/>
            <w:gridSpan w:val="2"/>
          </w:tcPr>
          <w:p>
            <w:pPr>
              <w:ind w:left="140"/>
              <w:spacing w:after="0"/>
              <w:rPr>
                <w:sz w:val="20"/>
                <w:szCs w:val="20"/>
                <w:color w:val="auto"/>
              </w:rPr>
            </w:pPr>
            <w:r>
              <w:rPr>
                <w:rFonts w:ascii="Arial" w:cs="Arial" w:eastAsia="Arial" w:hAnsi="Arial"/>
                <w:sz w:val="14"/>
                <w:szCs w:val="14"/>
                <w:color w:val="auto"/>
              </w:rPr>
              <w:t>Fixed interest rate</w:t>
            </w:r>
          </w:p>
        </w:tc>
        <w:tc>
          <w:tcPr>
            <w:tcW w:w="1140" w:type="dxa"/>
            <w:vAlign w:val="bottom"/>
          </w:tcPr>
          <w:p>
            <w:pPr>
              <w:spacing w:after="0"/>
              <w:rPr>
                <w:sz w:val="19"/>
                <w:szCs w:val="19"/>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100</w:t>
            </w:r>
          </w:p>
        </w:tc>
        <w:tc>
          <w:tcPr>
            <w:tcW w:w="28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91</w:t>
            </w: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91</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 interest rate</w:t>
            </w:r>
          </w:p>
        </w:tc>
        <w:tc>
          <w:tcPr>
            <w:tcW w:w="22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w:t>
            </w:r>
          </w:p>
        </w:tc>
        <w:tc>
          <w:tcPr>
            <w:tcW w:w="2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c>
          <w:tcPr>
            <w:tcW w:w="28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2C6937"/>
            </w:tcBorders>
          </w:tcPr>
          <w:p>
            <w:pPr>
              <w:spacing w:after="0"/>
              <w:rPr>
                <w:sz w:val="17"/>
                <w:szCs w:val="17"/>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100</w:t>
            </w: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6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2C6937"/>
            </w:tcBorders>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62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38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51</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2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42</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8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(2)</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40</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6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22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9</w:t>
            </w:r>
          </w:p>
        </w:tc>
        <w:tc>
          <w:tcPr>
            <w:tcW w:w="26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2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w:t>
            </w:r>
          </w:p>
        </w:tc>
        <w:tc>
          <w:tcPr>
            <w:tcW w:w="2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2C6937"/>
            </w:tcBorders>
          </w:tcPr>
          <w:p>
            <w:pPr>
              <w:spacing w:after="0"/>
              <w:rPr>
                <w:sz w:val="17"/>
                <w:szCs w:val="17"/>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100</w:t>
            </w:r>
          </w:p>
        </w:tc>
        <w:tc>
          <w:tcPr>
            <w:tcW w:w="28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100</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6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2C6937"/>
            </w:tcBorders>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62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93</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95</w:t>
            </w:r>
          </w:p>
        </w:tc>
        <w:tc>
          <w:tcPr>
            <w:tcW w:w="28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89</w:t>
            </w: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89</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Seniors housing</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2</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1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22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w:t>
            </w:r>
          </w:p>
        </w:tc>
        <w:tc>
          <w:tcPr>
            <w:tcW w:w="26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w:t>
            </w:r>
          </w:p>
        </w:tc>
        <w:tc>
          <w:tcPr>
            <w:tcW w:w="2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2C6937"/>
            </w:tcBorders>
          </w:tcPr>
          <w:p>
            <w:pPr>
              <w:spacing w:after="0"/>
              <w:rPr>
                <w:sz w:val="17"/>
                <w:szCs w:val="17"/>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100</w:t>
            </w:r>
          </w:p>
        </w:tc>
        <w:tc>
          <w:tcPr>
            <w:tcW w:w="28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100</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6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2C6937"/>
            </w:tcBorders>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28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2C6937"/>
            </w:tcBorders>
          </w:tcPr>
          <w:p>
            <w:pPr>
              <w:spacing w:after="0" w:line="20" w:lineRule="exact"/>
              <w:rPr>
                <w:sz w:val="1"/>
                <w:szCs w:val="1"/>
                <w:color w:val="auto"/>
              </w:rPr>
            </w:pPr>
          </w:p>
        </w:tc>
        <w:tc>
          <w:tcPr>
            <w:tcW w:w="1420" w:type="dxa"/>
            <w:vAlign w:val="bottom"/>
            <w:tcBorders>
              <w:bottom w:val="single" w:sz="8" w:color="2C6937"/>
            </w:tcBorders>
          </w:tcPr>
          <w:p>
            <w:pPr>
              <w:spacing w:after="0" w:line="20" w:lineRule="exact"/>
              <w:rPr>
                <w:sz w:val="1"/>
                <w:szCs w:val="1"/>
                <w:color w:val="auto"/>
              </w:rPr>
            </w:pPr>
          </w:p>
        </w:tc>
        <w:tc>
          <w:tcPr>
            <w:tcW w:w="2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2C6937"/>
            </w:tcBorders>
          </w:tcPr>
          <w:p>
            <w:pPr>
              <w:spacing w:after="0" w:line="20" w:lineRule="exact"/>
              <w:rPr>
                <w:sz w:val="1"/>
                <w:szCs w:val="1"/>
                <w:color w:val="auto"/>
              </w:rPr>
            </w:pPr>
          </w:p>
        </w:tc>
        <w:tc>
          <w:tcPr>
            <w:tcW w:w="1620" w:type="dxa"/>
            <w:vAlign w:val="bottom"/>
            <w:tcBorders>
              <w:bottom w:val="single" w:sz="8" w:color="2C6937"/>
            </w:tcBorders>
          </w:tcPr>
          <w:p>
            <w:pPr>
              <w:spacing w:after="0" w:line="20" w:lineRule="exact"/>
              <w:rPr>
                <w:sz w:val="1"/>
                <w:szCs w:val="1"/>
                <w:color w:val="auto"/>
              </w:rPr>
            </w:pPr>
          </w:p>
        </w:tc>
        <w:tc>
          <w:tcPr>
            <w:tcW w:w="20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97"/>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(3)</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12</w:t>
            </w:r>
          </w:p>
        </w:tc>
        <w:tc>
          <w:tcPr>
            <w:tcW w:w="2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12</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80" w:type="dxa"/>
            <w:vAlign w:val="bottom"/>
            <w:gridSpan w:val="2"/>
          </w:tcPr>
          <w:p>
            <w:pPr>
              <w:ind w:left="40"/>
              <w:spacing w:after="0"/>
              <w:rPr>
                <w:sz w:val="20"/>
                <w:szCs w:val="20"/>
                <w:color w:val="auto"/>
              </w:rPr>
            </w:pPr>
            <w:r>
              <w:rPr>
                <w:rFonts w:ascii="Arial" w:cs="Arial" w:eastAsia="Arial" w:hAnsi="Arial"/>
                <w:sz w:val="14"/>
                <w:szCs w:val="14"/>
                <w:color w:val="auto"/>
              </w:rPr>
              <w:t>Small balance loans</w:t>
            </w:r>
            <w:r>
              <w:rPr>
                <w:rFonts w:ascii="Arial" w:cs="Arial" w:eastAsia="Arial" w:hAnsi="Arial"/>
                <w:sz w:val="17"/>
                <w:szCs w:val="17"/>
                <w:color w:val="auto"/>
                <w:vertAlign w:val="superscript"/>
              </w:rPr>
              <w:t>(4)</w:t>
            </w:r>
          </w:p>
        </w:tc>
        <w:tc>
          <w:tcPr>
            <w:tcW w:w="114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44</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40</w:t>
            </w:r>
          </w:p>
        </w:tc>
        <w:tc>
          <w:tcPr>
            <w:tcW w:w="28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48</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3380" w:type="dxa"/>
            <w:vAlign w:val="bottom"/>
            <w:gridSpan w:val="2"/>
          </w:tcPr>
          <w:p>
            <w:pPr>
              <w:ind w:left="20"/>
              <w:spacing w:after="0" w:line="191" w:lineRule="exact"/>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(5)</w:t>
            </w: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13</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15</w:t>
            </w:r>
          </w:p>
        </w:tc>
        <w:tc>
          <w:tcPr>
            <w:tcW w:w="28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28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14</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30</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27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27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25</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220" w:type="dxa"/>
            <w:vAlign w:val="bottom"/>
          </w:tcPr>
          <w:p>
            <w:pPr>
              <w:spacing w:after="0"/>
              <w:rPr>
                <w:sz w:val="18"/>
                <w:szCs w:val="18"/>
                <w:color w:val="auto"/>
              </w:rPr>
            </w:pPr>
          </w:p>
        </w:tc>
        <w:tc>
          <w:tcPr>
            <w:tcW w:w="114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18</w:t>
            </w:r>
          </w:p>
        </w:tc>
        <w:tc>
          <w:tcPr>
            <w:tcW w:w="26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2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w:t>
            </w:r>
          </w:p>
        </w:tc>
        <w:tc>
          <w:tcPr>
            <w:tcW w:w="28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6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100</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100</w:t>
            </w:r>
          </w:p>
        </w:tc>
        <w:tc>
          <w:tcPr>
            <w:tcW w:w="28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color w:val="auto"/>
              </w:rPr>
              <w:t>100</w:t>
            </w: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45" w:lineRule="exact"/>
        <w:rPr>
          <w:sz w:val="20"/>
          <w:szCs w:val="20"/>
          <w:color w:val="auto"/>
        </w:rPr>
      </w:pPr>
    </w:p>
    <w:p>
      <w:pPr>
        <w:ind w:left="240" w:right="140" w:hanging="237"/>
        <w:spacing w:after="0" w:line="237" w:lineRule="auto"/>
        <w:tabs>
          <w:tab w:leader="none" w:pos="233"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covering a 12 month period, from quarterly and annual statements for these properties including the related debt service. When an annual statement is the latest statement available, it is used. When operating statement information is not available, the underwritten DSCR is used. Co-op loans are excluded from this metric.</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5"/>
        </w:numPr>
        <w:rPr>
          <w:rFonts w:ascii="Arial" w:cs="Arial" w:eastAsia="Arial" w:hAnsi="Arial"/>
          <w:sz w:val="9"/>
          <w:szCs w:val="9"/>
          <w:color w:val="auto"/>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45" w:lineRule="exact"/>
        <w:rPr>
          <w:rFonts w:ascii="Arial" w:cs="Arial" w:eastAsia="Arial" w:hAnsi="Arial"/>
          <w:sz w:val="9"/>
          <w:szCs w:val="9"/>
          <w:color w:val="auto"/>
        </w:rPr>
      </w:pPr>
    </w:p>
    <w:p>
      <w:pPr>
        <w:ind w:left="240" w:right="260" w:hanging="237"/>
        <w:spacing w:after="0" w:line="226" w:lineRule="auto"/>
        <w:tabs>
          <w:tab w:leader="none" w:pos="233"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0" w:name="page41"/>
    <w:bookmarkEnd w:id="40"/>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60" w:hanging="237"/>
        <w:spacing w:after="0" w:line="233"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Small balance loans refer to multifamily loans with an original unpaid principal balance of up to $9 million nationwide. We changed our definition of small multifamily loans in the third quarter of 2023 to increase the loan amounts from up to $6 million nationwide to up to $9 million nationwide. The updated definition has been applied to all loans in the current multifamily guaranty book of business, including loans that were acquired under previous small loan definitions. Small balance loans are included within the asset class categories referenced above. We present this metric based on loan count rather than unpaid principal balance.</w:t>
      </w:r>
    </w:p>
    <w:p>
      <w:pPr>
        <w:spacing w:after="0" w:line="26" w:lineRule="exact"/>
        <w:rPr>
          <w:rFonts w:ascii="Arial" w:cs="Arial" w:eastAsia="Arial" w:hAnsi="Arial"/>
          <w:sz w:val="18"/>
          <w:szCs w:val="18"/>
          <w:color w:val="auto"/>
          <w:vertAlign w:val="superscript"/>
        </w:rPr>
      </w:pPr>
    </w:p>
    <w:p>
      <w:pPr>
        <w:ind w:left="240" w:right="160" w:hanging="237"/>
        <w:spacing w:after="0" w:line="318" w:lineRule="auto"/>
        <w:tabs>
          <w:tab w:leader="none" w:pos="233" w:val="left"/>
        </w:tabs>
        <w:numPr>
          <w:ilvl w:val="0"/>
          <w:numId w:val="46"/>
        </w:numPr>
        <w:rPr>
          <w:rFonts w:ascii="Arial" w:cs="Arial" w:eastAsia="Arial" w:hAnsi="Arial"/>
          <w:sz w:val="8"/>
          <w:szCs w:val="8"/>
          <w:color w:val="auto"/>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4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Transfer of Multifamily Mortgage Credit Risk</w:t>
      </w:r>
    </w:p>
    <w:p>
      <w:pPr>
        <w:spacing w:after="0" w:line="112" w:lineRule="exact"/>
        <w:rPr>
          <w:sz w:val="20"/>
          <w:szCs w:val="20"/>
          <w:color w:val="auto"/>
        </w:rPr>
      </w:pPr>
    </w:p>
    <w:p>
      <w:pPr>
        <w:spacing w:after="0"/>
        <w:rPr>
          <w:sz w:val="20"/>
          <w:szCs w:val="20"/>
          <w:color w:val="auto"/>
        </w:rPr>
      </w:pPr>
      <w:r>
        <w:rPr>
          <w:rFonts w:ascii="Georgia" w:cs="Georgia" w:eastAsia="Georgia" w:hAnsi="Georgia"/>
          <w:sz w:val="17"/>
          <w:szCs w:val="17"/>
          <w:u w:val="single" w:color="auto"/>
          <w:color w:val="05314D"/>
        </w:rPr>
        <w:t>Front-End Credit Risk Sharing</w:t>
      </w:r>
    </w:p>
    <w:p>
      <w:pPr>
        <w:spacing w:after="0" w:line="71" w:lineRule="exact"/>
        <w:rPr>
          <w:sz w:val="20"/>
          <w:szCs w:val="20"/>
          <w:color w:val="auto"/>
        </w:rPr>
      </w:pPr>
    </w:p>
    <w:p>
      <w:pPr>
        <w:ind w:right="600"/>
        <w:spacing w:after="0" w:line="246"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See “MD&amp;A— Multifamily Business—Multifamily Mortgage Credit Risk Management—Transfer of Multifamily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2023 Form 10-K for a description of our DUS program.</w:t>
      </w:r>
    </w:p>
    <w:p>
      <w:pPr>
        <w:spacing w:after="0" w:line="50"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Our DUS model typically results in our lenders sharing approximately one-third of the credit risk on our multifamily loans, either on a pro-rated or tiered basis. Loans serviced by DUS lenders and their affiliates represented substantially all of our multifamily guaranty book of business as of March 31, 2024 and December 31, 2023. In certain situations, we do not allow DUS lenders to fully share in one-third of the credit risk, but have them share in a smaller portion, to reduce the risk that the counterparty will fail to meet its loss sharing responsibility to us. We establish lender-specific loss-sharing limits for individual transactions based on loan size, lender financial performance, and lender creditworthiness, among other factors. When loss sharing is reduced on a loan, the servicing fee paid to the lender is reduced and our guaranty fee is increased to reflect the lower credit risk retained by the lender.</w:t>
      </w:r>
    </w:p>
    <w:p>
      <w:pPr>
        <w:spacing w:after="0" w:line="41"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color w:val="auto"/>
        </w:rPr>
        <w:t>Non-DUS lenders, which represent a small portion of our multifamily guaranty book of business, typically share or absorb losses based on a negotiated percentage of the loan or the pool balance.</w:t>
      </w:r>
    </w:p>
    <w:p>
      <w:pPr>
        <w:spacing w:after="0" w:line="47" w:lineRule="exact"/>
        <w:rPr>
          <w:sz w:val="20"/>
          <w:szCs w:val="20"/>
          <w:color w:val="auto"/>
        </w:rPr>
      </w:pPr>
    </w:p>
    <w:p>
      <w:pPr>
        <w:spacing w:after="0"/>
        <w:rPr>
          <w:sz w:val="20"/>
          <w:szCs w:val="20"/>
          <w:color w:val="auto"/>
        </w:rPr>
      </w:pPr>
      <w:r>
        <w:rPr>
          <w:rFonts w:ascii="Georgia" w:cs="Georgia" w:eastAsia="Georgia" w:hAnsi="Georgia"/>
          <w:sz w:val="17"/>
          <w:szCs w:val="17"/>
          <w:u w:val="single" w:color="auto"/>
          <w:color w:val="05314D"/>
        </w:rPr>
        <w:t>Back-End Credit Risk Sharing</w:t>
      </w:r>
    </w:p>
    <w:p>
      <w:pPr>
        <w:spacing w:after="0" w:line="71" w:lineRule="exact"/>
        <w:rPr>
          <w:sz w:val="20"/>
          <w:szCs w:val="20"/>
          <w:color w:val="auto"/>
        </w:rPr>
      </w:pPr>
    </w:p>
    <w:p>
      <w:pPr>
        <w:jc w:val="both"/>
        <w:ind w:right="180"/>
        <w:spacing w:after="0" w:line="272" w:lineRule="auto"/>
        <w:rPr>
          <w:sz w:val="20"/>
          <w:szCs w:val="20"/>
          <w:color w:val="auto"/>
        </w:rPr>
      </w:pPr>
      <w:r>
        <w:rPr>
          <w:rFonts w:ascii="Arial" w:cs="Arial" w:eastAsia="Arial" w:hAnsi="Arial"/>
          <w:sz w:val="16"/>
          <w:szCs w:val="16"/>
          <w:color w:val="auto"/>
        </w:rPr>
        <w:t>Our back-end MCAS and MCIRT credit risk transfer programs transfer a portion of the credit risk associated with a reference pool of multifamily mortgage loans to insurers, reinsurers, or investors. During the first quarter of 2024, we entered into one new multifamily credit risk transfer transaction, transferring multifamily mortgage credit risk through an MCIRT transaction.</w:t>
      </w:r>
    </w:p>
    <w:p>
      <w:pPr>
        <w:spacing w:after="0" w:line="3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80" w:type="dxa"/>
            <w:vAlign w:val="bottom"/>
            <w:tcBorders>
              <w:bottom w:val="single" w:sz="8" w:color="2C6937"/>
            </w:tcBorders>
            <w:gridSpan w:val="3"/>
          </w:tcPr>
          <w:p>
            <w:pPr>
              <w:jc w:val="center"/>
              <w:ind w:left="1388"/>
              <w:spacing w:after="0"/>
              <w:rPr>
                <w:sz w:val="20"/>
                <w:szCs w:val="20"/>
                <w:color w:val="auto"/>
              </w:rPr>
            </w:pPr>
            <w:r>
              <w:rPr>
                <w:rFonts w:ascii="Arial" w:cs="Arial" w:eastAsia="Arial" w:hAnsi="Arial"/>
                <w:sz w:val="14"/>
                <w:szCs w:val="14"/>
                <w:b w:val="1"/>
                <w:bCs w:val="1"/>
                <w:color w:val="auto"/>
                <w:w w:val="97"/>
              </w:rPr>
              <w:t>As of</w:t>
            </w:r>
          </w:p>
        </w:tc>
        <w:tc>
          <w:tcPr>
            <w:tcW w:w="1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3060" w:type="dxa"/>
            <w:vAlign w:val="bottom"/>
            <w:tcBorders>
              <w:bottom w:val="single" w:sz="8" w:color="2C6937"/>
            </w:tcBorders>
            <w:gridSpan w:val="3"/>
          </w:tcPr>
          <w:p>
            <w:pPr>
              <w:ind w:left="960"/>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3060" w:type="dxa"/>
            <w:vAlign w:val="bottom"/>
            <w:tcBorders>
              <w:bottom w:val="single" w:sz="8" w:color="2C6937"/>
            </w:tcBorders>
            <w:gridSpan w:val="3"/>
          </w:tcPr>
          <w:p>
            <w:pPr>
              <w:ind w:left="84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Unpaid Principal</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Percentage of</w:t>
            </w:r>
          </w:p>
        </w:tc>
        <w:tc>
          <w:tcPr>
            <w:tcW w:w="160" w:type="dxa"/>
            <w:vAlign w:val="bottom"/>
          </w:tcPr>
          <w:p>
            <w:pPr>
              <w:spacing w:after="0"/>
              <w:rPr>
                <w:sz w:val="15"/>
                <w:szCs w:val="15"/>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Unpaid Principal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7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720" w:type="dxa"/>
            <w:vAlign w:val="bottom"/>
            <w:tcBorders>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Book of Business</w:t>
            </w:r>
          </w:p>
        </w:tc>
        <w:tc>
          <w:tcPr>
            <w:tcW w:w="16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rPr>
              <w:t>Balance</w:t>
            </w:r>
          </w:p>
        </w:tc>
        <w:tc>
          <w:tcPr>
            <w:tcW w:w="16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p>
        </w:tc>
        <w:tc>
          <w:tcPr>
            <w:tcW w:w="0" w:type="dxa"/>
            <w:vAlign w:val="bottom"/>
          </w:tcPr>
          <w:p>
            <w:pPr>
              <w:spacing w:after="0"/>
              <w:rPr>
                <w:sz w:val="1"/>
                <w:szCs w:val="1"/>
                <w:color w:val="auto"/>
              </w:rPr>
            </w:pPr>
          </w:p>
        </w:tc>
      </w:tr>
      <w:tr>
        <w:trPr>
          <w:trHeight w:val="205"/>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100,249</w:t>
            </w:r>
          </w:p>
        </w:tc>
        <w:tc>
          <w:tcPr>
            <w:tcW w:w="100" w:type="dxa"/>
            <w:vAlign w:val="bottom"/>
          </w:tcPr>
          <w:p>
            <w:pPr>
              <w:spacing w:after="0"/>
              <w:rPr>
                <w:sz w:val="21"/>
                <w:szCs w:val="21"/>
                <w:color w:val="auto"/>
              </w:rPr>
            </w:pPr>
          </w:p>
        </w:tc>
        <w:tc>
          <w:tcPr>
            <w:tcW w:w="1620" w:type="dxa"/>
            <w:vAlign w:val="bottom"/>
          </w:tcPr>
          <w:p>
            <w:pPr>
              <w:ind w:left="1240"/>
              <w:spacing w:after="0"/>
              <w:rPr>
                <w:sz w:val="20"/>
                <w:szCs w:val="20"/>
                <w:color w:val="auto"/>
              </w:rPr>
            </w:pPr>
            <w:r>
              <w:rPr>
                <w:rFonts w:ascii="Arial" w:cs="Arial" w:eastAsia="Arial" w:hAnsi="Arial"/>
                <w:sz w:val="15"/>
                <w:szCs w:val="15"/>
                <w:b w:val="1"/>
                <w:bCs w:val="1"/>
                <w:color w:val="auto"/>
              </w:rPr>
              <w:t>21 %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89,517</w:t>
            </w:r>
          </w:p>
        </w:tc>
        <w:tc>
          <w:tcPr>
            <w:tcW w:w="100" w:type="dxa"/>
            <w:vAlign w:val="bottom"/>
          </w:tcPr>
          <w:p>
            <w:pPr>
              <w:spacing w:after="0"/>
              <w:rPr>
                <w:sz w:val="21"/>
                <w:szCs w:val="21"/>
                <w:color w:val="auto"/>
              </w:rPr>
            </w:pPr>
          </w:p>
        </w:tc>
        <w:tc>
          <w:tcPr>
            <w:tcW w:w="1620" w:type="dxa"/>
            <w:vAlign w:val="bottom"/>
          </w:tcPr>
          <w:p>
            <w:pPr>
              <w:ind w:left="1260"/>
              <w:spacing w:after="0"/>
              <w:rPr>
                <w:sz w:val="20"/>
                <w:szCs w:val="20"/>
                <w:color w:val="auto"/>
              </w:rPr>
            </w:pPr>
            <w:r>
              <w:rPr>
                <w:rFonts w:ascii="Arial" w:cs="Arial" w:eastAsia="Arial" w:hAnsi="Arial"/>
                <w:sz w:val="15"/>
                <w:szCs w:val="15"/>
                <w:color w:val="auto"/>
                <w:w w:val="99"/>
              </w:rPr>
              <w:t>19 %</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3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48,324</w:t>
            </w:r>
          </w:p>
        </w:tc>
        <w:tc>
          <w:tcPr>
            <w:tcW w:w="100" w:type="dxa"/>
            <w:vAlign w:val="bottom"/>
          </w:tcPr>
          <w:p>
            <w:pPr>
              <w:spacing w:after="0"/>
              <w:rPr>
                <w:sz w:val="19"/>
                <w:szCs w:val="19"/>
                <w:color w:val="auto"/>
              </w:rPr>
            </w:pPr>
          </w:p>
        </w:tc>
        <w:tc>
          <w:tcPr>
            <w:tcW w:w="1620" w:type="dxa"/>
            <w:vAlign w:val="bottom"/>
            <w:tcBorders>
              <w:bottom w:val="single" w:sz="8" w:color="2C6937"/>
            </w:tcBorders>
          </w:tcPr>
          <w:p>
            <w:pPr>
              <w:ind w:left="1240"/>
              <w:spacing w:after="0"/>
              <w:rPr>
                <w:sz w:val="20"/>
                <w:szCs w:val="20"/>
                <w:color w:val="auto"/>
              </w:rPr>
            </w:pPr>
            <w:r>
              <w:rPr>
                <w:rFonts w:ascii="Arial" w:cs="Arial" w:eastAsia="Arial" w:hAnsi="Arial"/>
                <w:sz w:val="15"/>
                <w:szCs w:val="15"/>
                <w:b w:val="1"/>
                <w:bCs w:val="1"/>
                <w:color w:val="auto"/>
              </w:rPr>
              <w:t>10</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3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48,476</w:t>
            </w:r>
          </w:p>
        </w:tc>
        <w:tc>
          <w:tcPr>
            <w:tcW w:w="100" w:type="dxa"/>
            <w:vAlign w:val="bottom"/>
          </w:tcPr>
          <w:p>
            <w:pPr>
              <w:spacing w:after="0"/>
              <w:rPr>
                <w:sz w:val="19"/>
                <w:szCs w:val="19"/>
                <w:color w:val="auto"/>
              </w:rPr>
            </w:pPr>
          </w:p>
        </w:tc>
        <w:tc>
          <w:tcPr>
            <w:tcW w:w="1620" w:type="dxa"/>
            <w:vAlign w:val="bottom"/>
            <w:tcBorders>
              <w:bottom w:val="single" w:sz="8" w:color="2C6937"/>
            </w:tcBorders>
          </w:tcPr>
          <w:p>
            <w:pPr>
              <w:ind w:left="12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5"/>
        </w:trPr>
        <w:tc>
          <w:tcPr>
            <w:tcW w:w="470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b w:val="1"/>
                <w:bCs w:val="1"/>
                <w:color w:val="auto"/>
              </w:rPr>
              <w:t>148,573</w:t>
            </w:r>
          </w:p>
        </w:tc>
        <w:tc>
          <w:tcPr>
            <w:tcW w:w="100" w:type="dxa"/>
            <w:vAlign w:val="bottom"/>
          </w:tcPr>
          <w:p>
            <w:pPr>
              <w:spacing w:after="0"/>
              <w:rPr>
                <w:sz w:val="19"/>
                <w:szCs w:val="19"/>
                <w:color w:val="auto"/>
              </w:rPr>
            </w:pPr>
          </w:p>
        </w:tc>
        <w:tc>
          <w:tcPr>
            <w:tcW w:w="1620" w:type="dxa"/>
            <w:vAlign w:val="bottom"/>
          </w:tcPr>
          <w:p>
            <w:pPr>
              <w:ind w:left="1240"/>
              <w:spacing w:after="0"/>
              <w:rPr>
                <w:sz w:val="20"/>
                <w:szCs w:val="20"/>
                <w:color w:val="auto"/>
              </w:rPr>
            </w:pPr>
            <w:r>
              <w:rPr>
                <w:rFonts w:ascii="Arial" w:cs="Arial" w:eastAsia="Arial" w:hAnsi="Arial"/>
                <w:sz w:val="15"/>
                <w:szCs w:val="15"/>
                <w:b w:val="1"/>
                <w:bCs w:val="1"/>
                <w:color w:val="auto"/>
              </w:rPr>
              <w:t>31 %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137,993</w:t>
            </w:r>
          </w:p>
        </w:tc>
        <w:tc>
          <w:tcPr>
            <w:tcW w:w="100" w:type="dxa"/>
            <w:vAlign w:val="bottom"/>
          </w:tcPr>
          <w:p>
            <w:pPr>
              <w:spacing w:after="0"/>
              <w:rPr>
                <w:sz w:val="19"/>
                <w:szCs w:val="19"/>
                <w:color w:val="auto"/>
              </w:rPr>
            </w:pPr>
          </w:p>
        </w:tc>
        <w:tc>
          <w:tcPr>
            <w:tcW w:w="1620" w:type="dxa"/>
            <w:vAlign w:val="bottom"/>
          </w:tcPr>
          <w:p>
            <w:pPr>
              <w:ind w:left="1260"/>
              <w:spacing w:after="0"/>
              <w:rPr>
                <w:sz w:val="20"/>
                <w:szCs w:val="20"/>
                <w:color w:val="auto"/>
              </w:rPr>
            </w:pPr>
            <w:r>
              <w:rPr>
                <w:rFonts w:ascii="Arial" w:cs="Arial" w:eastAsia="Arial" w:hAnsi="Arial"/>
                <w:sz w:val="15"/>
                <w:szCs w:val="15"/>
                <w:color w:val="auto"/>
                <w:w w:val="99"/>
              </w:rPr>
              <w:t>29 %</w:t>
            </w:r>
          </w:p>
        </w:tc>
        <w:tc>
          <w:tcPr>
            <w:tcW w:w="0" w:type="dxa"/>
            <w:vAlign w:val="bottom"/>
          </w:tcPr>
          <w:p>
            <w:pPr>
              <w:spacing w:after="0"/>
              <w:rPr>
                <w:sz w:val="1"/>
                <w:szCs w:val="1"/>
                <w:color w:val="auto"/>
              </w:rPr>
            </w:pPr>
          </w:p>
        </w:tc>
      </w:tr>
      <w:tr>
        <w:trPr>
          <w:trHeight w:val="20"/>
        </w:trPr>
        <w:tc>
          <w:tcPr>
            <w:tcW w:w="4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10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percentage of criticized loans in our multifamily guaranty book of business decreased as of March 31, 2024 compared with December 31, 2023, due to improving financial performance reflected in their latest operating statements and active management of the criticized loan population. However, our criticized loan population remains elevated, largely driven by properties financed with adjustable-rate mortgages. The criticized loans category substantially consists of loans classified as “Substandard” and also includes loans classified as “Special Mention” or “Doubtful.” Substandard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1" w:name="page42"/>
    <w:bookmarkEnd w:id="41"/>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7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Our multifamily serious delinquency rate decreased to 0.44% as of March 31, 2024, compared with 0.46% as of December 31, 2023, primarily driven by the repayment of forbearance agreements that brought some loans current and seriously delinquent loans that liquidated from our multifamily guaranty book of business, including through a loss event. Over half of our seriously delinquent multifamily loan population as of March 31, 2024 was comprised of seniors housing loans. Our multifamily serious delinquency rate consists of multifamily loans that were 60 days or more past due based on unpaid principal balance, expressed as a percentage of our multifamily guaranty book of business. The percentage of loans in our multifamily guaranty book of business that were 180 days or more delinquent was 0.34% as of March 31, 2024, compared with 0.29% as of December 31, 2023.</w:t>
      </w:r>
    </w:p>
    <w:p>
      <w:pPr>
        <w:spacing w:after="0" w:line="4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Typically, higher serious delinquency rates result in a higher allowance for loan losses. We expect that our multifamily serious delinquency rate may continue to decrease as we complete loan workouts, which may resolve delinquencies, or, if an appropriate workout cannot be achieved, the loans are foreclosed upon.</w:t>
      </w:r>
    </w:p>
    <w:p>
      <w:pPr>
        <w:spacing w:after="0" w:line="79"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107"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we held 72 multifamily REO properties with a carrying value of $444 million, compared with 61 properties with a carrying value of</w:t>
      </w:r>
    </w:p>
    <w:p>
      <w:pPr>
        <w:spacing w:after="0" w:line="2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$378 million as of December 31, 2023. The increase in foreclosure activity was primarily driven by properties included in a specific seniors housing portfolio that had write-offs during 2023. We expect a majority of properties in this portfolio will have completed the foreclosure process by the second quarter of 2024; however, we expect the foreclosure process to take longer for properties in the portfolio that are located in certain judicial foreclosure states with historically long foreclosure timelines.</w:t>
      </w:r>
    </w:p>
    <w:p>
      <w:pPr>
        <w:spacing w:after="0" w:line="78"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8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 write-offs net of recoveries and foreclosed property income or expense.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2" w:name="page43"/>
    <w:bookmarkEnd w:id="42"/>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80" w:type="dxa"/>
            <w:vAlign w:val="bottom"/>
            <w:tcBorders>
              <w:top w:val="single" w:sz="8" w:color="2C6937"/>
            </w:tcBorders>
          </w:tcPr>
          <w:p>
            <w:pPr>
              <w:spacing w:after="0"/>
              <w:rPr>
                <w:sz w:val="20"/>
                <w:szCs w:val="20"/>
                <w:color w:val="auto"/>
              </w:rPr>
            </w:pPr>
          </w:p>
        </w:tc>
        <w:tc>
          <w:tcPr>
            <w:tcW w:w="100" w:type="dxa"/>
            <w:vAlign w:val="bottom"/>
            <w:tcBorders>
              <w:top w:val="single" w:sz="8" w:color="2C6937"/>
            </w:tcBorders>
          </w:tcPr>
          <w:p>
            <w:pPr>
              <w:spacing w:after="0"/>
              <w:rPr>
                <w:sz w:val="20"/>
                <w:szCs w:val="20"/>
                <w:color w:val="auto"/>
              </w:rPr>
            </w:pPr>
          </w:p>
        </w:tc>
        <w:tc>
          <w:tcPr>
            <w:tcW w:w="3600" w:type="dxa"/>
            <w:vAlign w:val="bottom"/>
            <w:tcBorders>
              <w:top w:val="single" w:sz="8" w:color="2C6937"/>
              <w:bottom w:val="single" w:sz="8" w:color="2C6937"/>
            </w:tcBorders>
            <w:gridSpan w:val="4"/>
          </w:tcPr>
          <w:p>
            <w:pPr>
              <w:jc w:val="right"/>
              <w:ind w:right="63"/>
              <w:spacing w:after="0"/>
              <w:rPr>
                <w:sz w:val="20"/>
                <w:szCs w:val="20"/>
                <w:color w:val="auto"/>
              </w:rPr>
            </w:pPr>
            <w:r>
              <w:rPr>
                <w:rFonts w:ascii="Arial" w:cs="Arial" w:eastAsia="Arial" w:hAnsi="Arial"/>
                <w:sz w:val="15"/>
                <w:szCs w:val="15"/>
                <w:b w:val="1"/>
                <w:bCs w:val="1"/>
                <w:color w:val="auto"/>
              </w:rPr>
              <w:t>For the Three Months Ended March 31,</w:t>
            </w:r>
          </w:p>
        </w:tc>
        <w:tc>
          <w:tcPr>
            <w:tcW w:w="480" w:type="dxa"/>
            <w:vAlign w:val="bottom"/>
            <w:tcBorders>
              <w:top w:val="single" w:sz="8" w:color="2C6937"/>
              <w:bottom w:val="single" w:sz="8" w:color="2C6937"/>
            </w:tcBorders>
          </w:tcPr>
          <w:p>
            <w:pPr>
              <w:spacing w:after="0"/>
              <w:rPr>
                <w:sz w:val="20"/>
                <w:szCs w:val="20"/>
                <w:color w:val="auto"/>
              </w:rPr>
            </w:pPr>
          </w:p>
        </w:tc>
        <w:tc>
          <w:tcPr>
            <w:tcW w:w="380" w:type="dxa"/>
            <w:vAlign w:val="bottom"/>
            <w:tcBorders>
              <w:top w:val="single" w:sz="8" w:color="2C6937"/>
              <w:bottom w:val="single" w:sz="8" w:color="2C6937"/>
            </w:tcBorders>
          </w:tcPr>
          <w:p>
            <w:pPr>
              <w:spacing w:after="0"/>
              <w:rPr>
                <w:sz w:val="20"/>
                <w:szCs w:val="20"/>
                <w:color w:val="auto"/>
              </w:rPr>
            </w:pPr>
          </w:p>
        </w:tc>
      </w:tr>
      <w:tr>
        <w:trPr>
          <w:trHeight w:val="199"/>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13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2023</w:t>
            </w:r>
          </w:p>
        </w:tc>
        <w:tc>
          <w:tcPr>
            <w:tcW w:w="480" w:type="dxa"/>
            <w:vAlign w:val="bottom"/>
            <w:tcBorders>
              <w:bottom w:val="single" w:sz="8" w:color="2C6937"/>
            </w:tcBorders>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r>
      <w:tr>
        <w:trPr>
          <w:trHeight w:val="29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00" w:type="dxa"/>
            <w:vAlign w:val="bottom"/>
            <w:gridSpan w:val="3"/>
          </w:tcPr>
          <w:p>
            <w:pPr>
              <w:jc w:val="right"/>
              <w:ind w:right="583"/>
              <w:spacing w:after="0"/>
              <w:rPr>
                <w:sz w:val="20"/>
                <w:szCs w:val="20"/>
                <w:color w:val="auto"/>
              </w:rPr>
            </w:pPr>
            <w:r>
              <w:rPr>
                <w:rFonts w:ascii="Arial" w:cs="Arial" w:eastAsia="Arial" w:hAnsi="Arial"/>
                <w:sz w:val="15"/>
                <w:szCs w:val="15"/>
                <w:b w:val="1"/>
                <w:bCs w:val="1"/>
                <w:color w:val="auto"/>
              </w:rPr>
              <w:t>(Dollars in millions)</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8"/>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tc>
        <w:tc>
          <w:tcPr>
            <w:tcW w:w="1300" w:type="dxa"/>
            <w:vAlign w:val="bottom"/>
          </w:tcPr>
          <w:p>
            <w:pPr>
              <w:jc w:val="right"/>
              <w:ind w:right="1123"/>
              <w:spacing w:after="0"/>
              <w:rPr>
                <w:sz w:val="20"/>
                <w:szCs w:val="20"/>
                <w:color w:val="auto"/>
              </w:rPr>
            </w:pPr>
            <w:r>
              <w:rPr>
                <w:rFonts w:ascii="Arial" w:cs="Arial" w:eastAsia="Arial" w:hAnsi="Arial"/>
                <w:sz w:val="15"/>
                <w:szCs w:val="15"/>
                <w:b w:val="1"/>
                <w:bCs w:val="1"/>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(133)</w:t>
            </w:r>
          </w:p>
        </w:tc>
        <w:tc>
          <w:tcPr>
            <w:tcW w:w="500" w:type="dxa"/>
            <w:vAlign w:val="bottom"/>
          </w:tcPr>
          <w:p>
            <w:pPr>
              <w:spacing w:after="0"/>
              <w:rPr>
                <w:sz w:val="24"/>
                <w:szCs w:val="24"/>
                <w:color w:val="auto"/>
              </w:rPr>
            </w:pPr>
          </w:p>
        </w:tc>
        <w:tc>
          <w:tcPr>
            <w:tcW w:w="1320" w:type="dxa"/>
            <w:vAlign w:val="bottom"/>
          </w:tcPr>
          <w:p>
            <w:pPr>
              <w:jc w:val="right"/>
              <w:ind w:right="1143"/>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(237)</w:t>
            </w:r>
          </w:p>
        </w:tc>
        <w:tc>
          <w:tcPr>
            <w:tcW w:w="380" w:type="dxa"/>
            <w:vAlign w:val="bottom"/>
          </w:tcPr>
          <w:p>
            <w:pPr>
              <w:spacing w:after="0"/>
              <w:rPr>
                <w:sz w:val="24"/>
                <w:szCs w:val="24"/>
                <w:color w:val="auto"/>
              </w:rPr>
            </w:pPr>
          </w:p>
        </w:tc>
      </w:tr>
      <w:tr>
        <w:trPr>
          <w:trHeight w:val="263"/>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13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5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9</w:t>
            </w:r>
          </w:p>
        </w:tc>
        <w:tc>
          <w:tcPr>
            <w:tcW w:w="380" w:type="dxa"/>
            <w:vAlign w:val="bottom"/>
          </w:tcPr>
          <w:p>
            <w:pPr>
              <w:spacing w:after="0"/>
              <w:rPr>
                <w:sz w:val="22"/>
                <w:szCs w:val="22"/>
                <w:color w:val="auto"/>
              </w:rPr>
            </w:pPr>
          </w:p>
        </w:tc>
      </w:tr>
      <w:tr>
        <w:trPr>
          <w:trHeight w:val="303"/>
        </w:trPr>
        <w:tc>
          <w:tcPr>
            <w:tcW w:w="66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expense</w:t>
            </w:r>
          </w:p>
        </w:tc>
        <w:tc>
          <w:tcPr>
            <w:tcW w:w="100" w:type="dxa"/>
            <w:vAlign w:val="bottom"/>
          </w:tcPr>
          <w:p>
            <w:pPr>
              <w:spacing w:after="0"/>
              <w:rPr>
                <w:sz w:val="24"/>
                <w:szCs w:val="24"/>
                <w:color w:val="auto"/>
              </w:rPr>
            </w:pPr>
          </w:p>
        </w:tc>
        <w:tc>
          <w:tcPr>
            <w:tcW w:w="1300" w:type="dxa"/>
            <w:vAlign w:val="bottom"/>
            <w:tcBorders>
              <w:bottom w:val="single" w:sz="8" w:color="2C6937"/>
            </w:tcBorders>
          </w:tcPr>
          <w:p>
            <w:pPr>
              <w:spacing w:after="0"/>
              <w:rPr>
                <w:sz w:val="24"/>
                <w:szCs w:val="24"/>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w:t>
            </w:r>
          </w:p>
        </w:tc>
        <w:tc>
          <w:tcPr>
            <w:tcW w:w="500" w:type="dxa"/>
            <w:vAlign w:val="bottom"/>
          </w:tcPr>
          <w:p>
            <w:pPr>
              <w:spacing w:after="0"/>
              <w:rPr>
                <w:sz w:val="24"/>
                <w:szCs w:val="24"/>
                <w:color w:val="auto"/>
              </w:rPr>
            </w:pPr>
          </w:p>
        </w:tc>
        <w:tc>
          <w:tcPr>
            <w:tcW w:w="1320" w:type="dxa"/>
            <w:vAlign w:val="bottom"/>
            <w:tcBorders>
              <w:bottom w:val="single" w:sz="8" w:color="2C6937"/>
            </w:tcBorders>
          </w:tcPr>
          <w:p>
            <w:pPr>
              <w:spacing w:after="0"/>
              <w:rPr>
                <w:sz w:val="24"/>
                <w:szCs w:val="24"/>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380" w:type="dxa"/>
            <w:vAlign w:val="bottom"/>
          </w:tcPr>
          <w:p>
            <w:pPr>
              <w:spacing w:after="0"/>
              <w:rPr>
                <w:sz w:val="24"/>
                <w:szCs w:val="24"/>
                <w:color w:val="auto"/>
              </w:rPr>
            </w:pPr>
          </w:p>
        </w:tc>
      </w:tr>
      <w:tr>
        <w:trPr>
          <w:trHeight w:val="309"/>
        </w:trPr>
        <w:tc>
          <w:tcPr>
            <w:tcW w:w="6780" w:type="dxa"/>
            <w:vAlign w:val="bottom"/>
            <w:gridSpan w:val="2"/>
          </w:tcPr>
          <w:p>
            <w:pPr>
              <w:ind w:left="180"/>
              <w:spacing w:after="0"/>
              <w:rPr>
                <w:sz w:val="20"/>
                <w:szCs w:val="20"/>
                <w:color w:val="auto"/>
              </w:rPr>
            </w:pPr>
            <w:r>
              <w:rPr>
                <w:rFonts w:ascii="Arial" w:cs="Arial" w:eastAsia="Arial" w:hAnsi="Arial"/>
                <w:sz w:val="15"/>
                <w:szCs w:val="15"/>
                <w:color w:val="auto"/>
              </w:rPr>
              <w:t>Credit losses</w:t>
            </w:r>
          </w:p>
        </w:tc>
        <w:tc>
          <w:tcPr>
            <w:tcW w:w="1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(132)</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(232)</w:t>
            </w:r>
          </w:p>
        </w:tc>
        <w:tc>
          <w:tcPr>
            <w:tcW w:w="380" w:type="dxa"/>
            <w:vAlign w:val="bottom"/>
          </w:tcPr>
          <w:p>
            <w:pPr>
              <w:spacing w:after="0"/>
              <w:rPr>
                <w:sz w:val="24"/>
                <w:szCs w:val="24"/>
                <w:color w:val="auto"/>
              </w:rPr>
            </w:pPr>
          </w:p>
        </w:tc>
      </w:tr>
      <w:tr>
        <w:trPr>
          <w:trHeight w:val="303"/>
        </w:trPr>
        <w:tc>
          <w:tcPr>
            <w:tcW w:w="66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1300" w:type="dxa"/>
            <w:vAlign w:val="bottom"/>
            <w:tcBorders>
              <w:bottom w:val="single" w:sz="8" w:color="2C6937"/>
            </w:tcBorders>
          </w:tcPr>
          <w:p>
            <w:pPr>
              <w:spacing w:after="0"/>
              <w:rPr>
                <w:sz w:val="24"/>
                <w:szCs w:val="24"/>
                <w:color w:val="auto"/>
              </w:rPr>
            </w:pP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w:t>
            </w:r>
          </w:p>
        </w:tc>
        <w:tc>
          <w:tcPr>
            <w:tcW w:w="500" w:type="dxa"/>
            <w:vAlign w:val="bottom"/>
          </w:tcPr>
          <w:p>
            <w:pPr>
              <w:spacing w:after="0"/>
              <w:rPr>
                <w:sz w:val="24"/>
                <w:szCs w:val="24"/>
                <w:color w:val="auto"/>
              </w:rPr>
            </w:pPr>
          </w:p>
        </w:tc>
        <w:tc>
          <w:tcPr>
            <w:tcW w:w="1320" w:type="dxa"/>
            <w:vAlign w:val="bottom"/>
            <w:tcBorders>
              <w:bottom w:val="single" w:sz="8" w:color="2C6937"/>
            </w:tcBorders>
          </w:tcPr>
          <w:p>
            <w:pPr>
              <w:spacing w:after="0"/>
              <w:rPr>
                <w:sz w:val="24"/>
                <w:szCs w:val="24"/>
                <w:color w:val="auto"/>
              </w:rPr>
            </w:pPr>
          </w:p>
        </w:tc>
        <w:tc>
          <w:tcPr>
            <w:tcW w:w="4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w:t>
            </w:r>
          </w:p>
        </w:tc>
        <w:tc>
          <w:tcPr>
            <w:tcW w:w="380" w:type="dxa"/>
            <w:vAlign w:val="bottom"/>
          </w:tcPr>
          <w:p>
            <w:pPr>
              <w:spacing w:after="0"/>
              <w:rPr>
                <w:sz w:val="24"/>
                <w:szCs w:val="24"/>
                <w:color w:val="auto"/>
              </w:rPr>
            </w:pPr>
          </w:p>
        </w:tc>
      </w:tr>
      <w:tr>
        <w:trPr>
          <w:trHeight w:val="302"/>
        </w:trPr>
        <w:tc>
          <w:tcPr>
            <w:tcW w:w="6780" w:type="dxa"/>
            <w:vAlign w:val="bottom"/>
            <w:gridSpan w:val="2"/>
          </w:tcPr>
          <w:p>
            <w:pPr>
              <w:ind w:left="180"/>
              <w:spacing w:after="0"/>
              <w:rPr>
                <w:sz w:val="20"/>
                <w:szCs w:val="20"/>
                <w:color w:val="auto"/>
              </w:rPr>
            </w:pPr>
            <w:r>
              <w:rPr>
                <w:rFonts w:ascii="Arial" w:cs="Arial" w:eastAsia="Arial" w:hAnsi="Arial"/>
                <w:sz w:val="15"/>
                <w:szCs w:val="15"/>
                <w:color w:val="auto"/>
              </w:rPr>
              <w:t>Credit losses, net of freestanding loss-sharing arrangements</w:t>
            </w:r>
          </w:p>
        </w:tc>
        <w:tc>
          <w:tcPr>
            <w:tcW w:w="1300" w:type="dxa"/>
            <w:vAlign w:val="bottom"/>
          </w:tcPr>
          <w:p>
            <w:pPr>
              <w:jc w:val="right"/>
              <w:ind w:right="1123"/>
              <w:spacing w:after="0"/>
              <w:rPr>
                <w:sz w:val="20"/>
                <w:szCs w:val="20"/>
                <w:color w:val="auto"/>
              </w:rPr>
            </w:pPr>
            <w:r>
              <w:rPr>
                <w:rFonts w:ascii="Arial" w:cs="Arial" w:eastAsia="Arial" w:hAnsi="Arial"/>
                <w:sz w:val="15"/>
                <w:szCs w:val="15"/>
                <w:b w:val="1"/>
                <w:bCs w:val="1"/>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(95)</w:t>
            </w:r>
          </w:p>
        </w:tc>
        <w:tc>
          <w:tcPr>
            <w:tcW w:w="500" w:type="dxa"/>
            <w:vAlign w:val="bottom"/>
          </w:tcPr>
          <w:p>
            <w:pPr>
              <w:spacing w:after="0"/>
              <w:rPr>
                <w:sz w:val="24"/>
                <w:szCs w:val="24"/>
                <w:color w:val="auto"/>
              </w:rPr>
            </w:pPr>
          </w:p>
        </w:tc>
        <w:tc>
          <w:tcPr>
            <w:tcW w:w="1320" w:type="dxa"/>
            <w:vAlign w:val="bottom"/>
          </w:tcPr>
          <w:p>
            <w:pPr>
              <w:jc w:val="right"/>
              <w:ind w:right="1143"/>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(224)</w:t>
            </w:r>
          </w:p>
        </w:tc>
        <w:tc>
          <w:tcPr>
            <w:tcW w:w="380" w:type="dxa"/>
            <w:vAlign w:val="bottom"/>
          </w:tcPr>
          <w:p>
            <w:pPr>
              <w:spacing w:after="0"/>
              <w:rPr>
                <w:sz w:val="24"/>
                <w:szCs w:val="24"/>
                <w:color w:val="auto"/>
              </w:rPr>
            </w:pPr>
          </w:p>
        </w:tc>
      </w:tr>
      <w:tr>
        <w:trPr>
          <w:trHeight w:val="20"/>
        </w:trPr>
        <w:tc>
          <w:tcPr>
            <w:tcW w:w="6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Borders>
              <w:top w:val="single" w:sz="8" w:color="2C6937"/>
              <w:bottom w:val="single" w:sz="8" w:color="2C6937"/>
            </w:tcBorders>
          </w:tcPr>
          <w:p>
            <w:pPr>
              <w:spacing w:after="0" w:line="20" w:lineRule="exact"/>
              <w:rPr>
                <w:sz w:val="1"/>
                <w:szCs w:val="1"/>
                <w:color w:val="auto"/>
              </w:rPr>
            </w:pPr>
          </w:p>
        </w:tc>
        <w:tc>
          <w:tcPr>
            <w:tcW w:w="48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1"/>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Credit loss ratio (in bps)</w:t>
            </w:r>
            <w:r>
              <w:rPr>
                <w:rFonts w:ascii="Arial" w:cs="Arial" w:eastAsia="Arial" w:hAnsi="Arial"/>
                <w:sz w:val="20"/>
                <w:szCs w:val="20"/>
                <w:color w:val="auto"/>
                <w:vertAlign w:val="superscript"/>
              </w:rPr>
              <w:t>(3)</w:t>
            </w:r>
          </w:p>
        </w:tc>
        <w:tc>
          <w:tcPr>
            <w:tcW w:w="1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(11.1)</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(20.9)</w:t>
            </w:r>
          </w:p>
        </w:tc>
        <w:tc>
          <w:tcPr>
            <w:tcW w:w="380" w:type="dxa"/>
            <w:vAlign w:val="bottom"/>
          </w:tcPr>
          <w:p>
            <w:pPr>
              <w:spacing w:after="0"/>
              <w:rPr>
                <w:sz w:val="24"/>
                <w:szCs w:val="24"/>
                <w:color w:val="auto"/>
              </w:rPr>
            </w:pPr>
          </w:p>
        </w:tc>
      </w:tr>
      <w:tr>
        <w:trPr>
          <w:trHeight w:val="309"/>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Credit loss ratio, net of freestanding loss-sharing arrangements (in bps)</w:t>
            </w:r>
            <w:r>
              <w:rPr>
                <w:rFonts w:ascii="Arial" w:cs="Arial" w:eastAsia="Arial" w:hAnsi="Arial"/>
                <w:sz w:val="20"/>
                <w:szCs w:val="20"/>
                <w:color w:val="auto"/>
                <w:vertAlign w:val="superscript"/>
              </w:rPr>
              <w:t>(2)(3)</w:t>
            </w:r>
          </w:p>
        </w:tc>
        <w:tc>
          <w:tcPr>
            <w:tcW w:w="1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(8.0)</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(20.2)</w:t>
            </w:r>
          </w:p>
        </w:tc>
        <w:tc>
          <w:tcPr>
            <w:tcW w:w="380" w:type="dxa"/>
            <w:vAlign w:val="bottom"/>
          </w:tcPr>
          <w:p>
            <w:pPr>
              <w:spacing w:after="0"/>
              <w:rPr>
                <w:sz w:val="24"/>
                <w:szCs w:val="24"/>
                <w:color w:val="auto"/>
              </w:rPr>
            </w:pPr>
          </w:p>
        </w:tc>
      </w:tr>
      <w:tr>
        <w:trPr>
          <w:trHeight w:val="309"/>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(4)(5)</w:t>
            </w:r>
          </w:p>
        </w:tc>
        <w:tc>
          <w:tcPr>
            <w:tcW w:w="13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36.7 %</w:t>
            </w:r>
          </w:p>
        </w:tc>
        <w:tc>
          <w:tcPr>
            <w:tcW w:w="1320" w:type="dxa"/>
            <w:vAlign w:val="bottom"/>
          </w:tcPr>
          <w:p>
            <w:pPr>
              <w:spacing w:after="0"/>
              <w:rPr>
                <w:sz w:val="24"/>
                <w:szCs w:val="24"/>
                <w:color w:val="auto"/>
              </w:rPr>
            </w:pPr>
          </w:p>
        </w:tc>
        <w:tc>
          <w:tcPr>
            <w:tcW w:w="860" w:type="dxa"/>
            <w:vAlign w:val="bottom"/>
            <w:gridSpan w:val="2"/>
          </w:tcPr>
          <w:p>
            <w:pPr>
              <w:ind w:left="260"/>
              <w:spacing w:after="0"/>
              <w:rPr>
                <w:sz w:val="20"/>
                <w:szCs w:val="20"/>
                <w:color w:val="auto"/>
              </w:rPr>
            </w:pPr>
            <w:r>
              <w:rPr>
                <w:rFonts w:ascii="Arial" w:cs="Arial" w:eastAsia="Arial" w:hAnsi="Arial"/>
                <w:sz w:val="15"/>
                <w:szCs w:val="15"/>
                <w:color w:val="auto"/>
              </w:rPr>
              <w:t>— %</w:t>
            </w:r>
          </w:p>
        </w:tc>
      </w:tr>
      <w:tr>
        <w:trPr>
          <w:trHeight w:val="309"/>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(6)</w:t>
            </w:r>
          </w:p>
        </w:tc>
        <w:tc>
          <w:tcPr>
            <w:tcW w:w="1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color w:val="auto"/>
              </w:rPr>
              <w:t>2</w:t>
            </w:r>
          </w:p>
        </w:tc>
        <w:tc>
          <w:tcPr>
            <w:tcW w:w="380" w:type="dxa"/>
            <w:vAlign w:val="bottom"/>
          </w:tcPr>
          <w:p>
            <w:pPr>
              <w:spacing w:after="0"/>
              <w:rPr>
                <w:sz w:val="24"/>
                <w:szCs w:val="24"/>
                <w:color w:val="auto"/>
              </w:rPr>
            </w:pPr>
          </w:p>
        </w:tc>
      </w:tr>
    </w:tbl>
    <w:p>
      <w:pPr>
        <w:spacing w:after="0" w:line="69" w:lineRule="exact"/>
        <w:rPr>
          <w:sz w:val="20"/>
          <w:szCs w:val="20"/>
          <w:color w:val="auto"/>
        </w:rPr>
      </w:pPr>
    </w:p>
    <w:p>
      <w:pPr>
        <w:ind w:left="240" w:right="80" w:hanging="237"/>
        <w:spacing w:after="0" w:line="226"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prior to a liquidation event, which includes foreclosure, a deed-in-lieu of foreclosure or a short-sale (collectively a “liquidation event”), as well as write-offs at liquidation.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380" w:hanging="237"/>
        <w:spacing w:after="0" w:line="228"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“Change in expected credit enhancement recoveries”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losses” and “Credit losses, net of freestanding loss-sharing arrangements,” divided by the average multifamily guaranty book of business during the period.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average defaulted unpaid principal balance.</w:t>
      </w:r>
    </w:p>
    <w:p>
      <w:pPr>
        <w:spacing w:after="0" w:line="37" w:lineRule="exact"/>
        <w:rPr>
          <w:rFonts w:ascii="Arial" w:cs="Arial" w:eastAsia="Arial" w:hAnsi="Arial"/>
          <w:sz w:val="18"/>
          <w:szCs w:val="18"/>
          <w:color w:val="auto"/>
          <w:vertAlign w:val="superscript"/>
        </w:rPr>
      </w:pPr>
    </w:p>
    <w:p>
      <w:pPr>
        <w:ind w:left="240" w:right="100" w:hanging="237"/>
        <w:spacing w:after="0" w:line="210"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Consists of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7"/>
        </w:numPr>
        <w:rPr>
          <w:rFonts w:ascii="Arial" w:cs="Arial" w:eastAsia="Arial" w:hAnsi="Arial"/>
          <w:sz w:val="9"/>
          <w:szCs w:val="9"/>
          <w:color w:val="auto"/>
        </w:rPr>
      </w:pPr>
      <w:r>
        <w:rPr>
          <w:rFonts w:ascii="Arial" w:cs="Arial" w:eastAsia="Arial" w:hAnsi="Arial"/>
          <w:sz w:val="14"/>
          <w:szCs w:val="14"/>
          <w:color w:val="auto"/>
        </w:rPr>
        <w:t>The multifamily write-off loan count includes only write-offs associated with a liquidation event.</w:t>
      </w:r>
    </w:p>
    <w:p>
      <w:pPr>
        <w:spacing w:after="0" w:line="95"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Our multifamily credit losses decreased in the first quarter of 2024 compared with the first quarter of 2023 primarily as a result of fewer write-offs in the first quarter of 2024. Our multifamily credit losses in the first quarter of 2023 were primarily driven by write-offs on a seniors housing portfolio during that quarter.</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3" w:name="page44"/>
    <w:bookmarkEnd w:id="43"/>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p>
      <w:pPr>
        <w:ind w:left="7000"/>
        <w:spacing w:after="0"/>
        <w:rPr>
          <w:sz w:val="20"/>
          <w:szCs w:val="20"/>
          <w:color w:val="auto"/>
        </w:rPr>
      </w:pPr>
      <w:r>
        <w:rPr>
          <w:rFonts w:ascii="Arial" w:cs="Arial" w:eastAsia="Arial" w:hAnsi="Arial"/>
          <w:sz w:val="15"/>
          <w:szCs w:val="15"/>
          <w:b w:val="1"/>
          <w:bCs w:val="1"/>
          <w:color w:val="auto"/>
        </w:rPr>
        <w:t>As of</w:t>
      </w:r>
    </w:p>
    <w:p>
      <w:pPr>
        <w:spacing w:after="0" w:line="31" w:lineRule="exact"/>
        <w:rPr>
          <w:sz w:val="20"/>
          <w:szCs w:val="20"/>
          <w:color w:val="auto"/>
        </w:rPr>
      </w:pPr>
    </w:p>
    <w:tbl>
      <w:tblPr>
        <w:tblLayout w:type="fixed"/>
        <w:tblInd w:w="3120" w:type="dxa"/>
        <w:tblCellMar>
          <w:top w:w="0" w:type="dxa"/>
          <w:left w:w="0" w:type="dxa"/>
          <w:bottom w:w="0" w:type="dxa"/>
          <w:right w:w="0" w:type="dxa"/>
        </w:tblCellMar>
      </w:tblPr>
      <w:tr>
        <w:trPr>
          <w:trHeight w:val="206"/>
        </w:trPr>
        <w:tc>
          <w:tcPr>
            <w:tcW w:w="1260" w:type="dxa"/>
            <w:vAlign w:val="bottom"/>
            <w:tcBorders>
              <w:top w:val="single" w:sz="8" w:color="216C2B"/>
              <w:bottom w:val="single" w:sz="8" w:color="2C6937"/>
            </w:tcBorders>
          </w:tcPr>
          <w:p>
            <w:pPr>
              <w:spacing w:after="0"/>
              <w:rPr>
                <w:sz w:val="17"/>
                <w:szCs w:val="17"/>
                <w:color w:val="auto"/>
              </w:rPr>
            </w:pPr>
          </w:p>
        </w:tc>
        <w:tc>
          <w:tcPr>
            <w:tcW w:w="1340" w:type="dxa"/>
            <w:vAlign w:val="bottom"/>
            <w:tcBorders>
              <w:top w:val="single" w:sz="8" w:color="216C2B"/>
              <w:bottom w:val="single" w:sz="8" w:color="2C6937"/>
            </w:tcBorders>
          </w:tcPr>
          <w:p>
            <w:pPr>
              <w:ind w:left="220"/>
              <w:spacing w:after="0"/>
              <w:rPr>
                <w:sz w:val="20"/>
                <w:szCs w:val="20"/>
                <w:color w:val="auto"/>
              </w:rPr>
            </w:pPr>
            <w:r>
              <w:rPr>
                <w:rFonts w:ascii="Arial" w:cs="Arial" w:eastAsia="Arial" w:hAnsi="Arial"/>
                <w:sz w:val="15"/>
                <w:szCs w:val="15"/>
                <w:b w:val="1"/>
                <w:bCs w:val="1"/>
                <w:color w:val="auto"/>
              </w:rPr>
              <w:t>March 31, 2024</w:t>
            </w:r>
          </w:p>
        </w:tc>
        <w:tc>
          <w:tcPr>
            <w:tcW w:w="140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1220" w:type="dxa"/>
            <w:vAlign w:val="bottom"/>
            <w:tcBorders>
              <w:top w:val="single" w:sz="8" w:color="216C2B"/>
              <w:bottom w:val="single" w:sz="8" w:color="2C6937"/>
            </w:tcBorders>
          </w:tcPr>
          <w:p>
            <w:pPr>
              <w:spacing w:after="0"/>
              <w:rPr>
                <w:sz w:val="17"/>
                <w:szCs w:val="17"/>
                <w:color w:val="auto"/>
              </w:rPr>
            </w:pPr>
          </w:p>
        </w:tc>
        <w:tc>
          <w:tcPr>
            <w:tcW w:w="1560" w:type="dxa"/>
            <w:vAlign w:val="bottom"/>
            <w:tcBorders>
              <w:top w:val="single" w:sz="8" w:color="216C2B"/>
              <w:bottom w:val="single" w:sz="8" w:color="2C6937"/>
            </w:tcBorders>
          </w:tcPr>
          <w:p>
            <w:pPr>
              <w:ind w:left="140"/>
              <w:spacing w:after="0"/>
              <w:rPr>
                <w:sz w:val="20"/>
                <w:szCs w:val="20"/>
                <w:color w:val="auto"/>
              </w:rPr>
            </w:pPr>
            <w:r>
              <w:rPr>
                <w:rFonts w:ascii="Arial" w:cs="Arial" w:eastAsia="Arial" w:hAnsi="Arial"/>
                <w:sz w:val="15"/>
                <w:szCs w:val="15"/>
                <w:b w:val="1"/>
                <w:bCs w:val="1"/>
                <w:color w:val="auto"/>
              </w:rPr>
              <w:t>December 31, 2023</w:t>
            </w:r>
          </w:p>
        </w:tc>
        <w:tc>
          <w:tcPr>
            <w:tcW w:w="1240" w:type="dxa"/>
            <w:vAlign w:val="bottom"/>
            <w:tcBorders>
              <w:top w:val="single" w:sz="8" w:color="216C2B"/>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2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Single-family</w:t>
            </w:r>
          </w:p>
        </w:tc>
        <w:tc>
          <w:tcPr>
            <w:tcW w:w="13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Multifamily</w:t>
            </w:r>
          </w:p>
        </w:tc>
        <w:tc>
          <w:tcPr>
            <w:tcW w:w="15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Consolidated Total</w:t>
            </w:r>
          </w:p>
        </w:tc>
        <w:tc>
          <w:tcPr>
            <w:tcW w:w="12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Single-family</w:t>
            </w:r>
          </w:p>
        </w:tc>
        <w:tc>
          <w:tcPr>
            <w:tcW w:w="156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Multifamily</w:t>
            </w:r>
          </w:p>
        </w:tc>
        <w:tc>
          <w:tcPr>
            <w:tcW w:w="1240" w:type="dxa"/>
            <w:vAlign w:val="bottom"/>
          </w:tcPr>
          <w:p>
            <w:pPr>
              <w:jc w:val="center"/>
              <w:ind w:right="7"/>
              <w:spacing w:after="0" w:line="144" w:lineRule="exact"/>
              <w:rPr>
                <w:sz w:val="20"/>
                <w:szCs w:val="20"/>
                <w:color w:val="auto"/>
              </w:rPr>
            </w:pPr>
            <w:r>
              <w:rPr>
                <w:rFonts w:ascii="Arial" w:cs="Arial" w:eastAsia="Arial" w:hAnsi="Arial"/>
                <w:sz w:val="15"/>
                <w:szCs w:val="15"/>
                <w:b w:val="1"/>
                <w:bCs w:val="1"/>
                <w:color w:val="auto"/>
                <w:w w:val="96"/>
              </w:rPr>
              <w:t>Consolidated</w:t>
            </w:r>
          </w:p>
        </w:tc>
        <w:tc>
          <w:tcPr>
            <w:tcW w:w="0" w:type="dxa"/>
            <w:vAlign w:val="bottom"/>
          </w:tcPr>
          <w:p>
            <w:pPr>
              <w:spacing w:after="0"/>
              <w:rPr>
                <w:sz w:val="1"/>
                <w:szCs w:val="1"/>
                <w:color w:val="auto"/>
              </w:rPr>
            </w:pPr>
          </w:p>
        </w:tc>
      </w:tr>
      <w:tr>
        <w:trPr>
          <w:trHeight w:val="200"/>
        </w:trPr>
        <w:tc>
          <w:tcPr>
            <w:tcW w:w="12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-635</wp:posOffset>
            </wp:positionV>
            <wp:extent cx="516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65725" cy="82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5"/>
          <w:szCs w:val="15"/>
          <w:b w:val="1"/>
          <w:b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Credit loss reserves as a percentage of:</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6"/>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0.17</w:t>
            </w:r>
          </w:p>
        </w:tc>
        <w:tc>
          <w:tcPr>
            <w:tcW w:w="360" w:type="dxa"/>
            <w:vAlign w:val="bottom"/>
          </w:tcPr>
          <w:p>
            <w:pPr>
              <w:jc w:val="right"/>
              <w:ind w:right="1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0.44</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0.20</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0.18</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0.44</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0.21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Nonaccrual loans at amortized cost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25.87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116.22</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32.13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28.50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109.21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34.51</w:t>
            </w:r>
          </w:p>
        </w:tc>
        <w:tc>
          <w:tcPr>
            <w:tcW w:w="240" w:type="dxa"/>
            <w:vAlign w:val="bottom"/>
          </w:tcPr>
          <w:p>
            <w:pPr>
              <w:spacing w:after="0"/>
              <w:rPr>
                <w:sz w:val="20"/>
                <w:szCs w:val="20"/>
                <w:color w:val="auto"/>
              </w:rPr>
            </w:pPr>
          </w:p>
        </w:tc>
      </w:tr>
      <w:tr>
        <w:trPr>
          <w:trHeight w:val="438"/>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Nonaccrual loans as a percentage of:</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0.67</w:t>
            </w:r>
          </w:p>
        </w:tc>
        <w:tc>
          <w:tcPr>
            <w:tcW w:w="360" w:type="dxa"/>
            <w:vAlign w:val="bottom"/>
          </w:tcPr>
          <w:p>
            <w:pPr>
              <w:jc w:val="right"/>
              <w:ind w:right="1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0.38</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0.64</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0.65</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0.40</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0.62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93"/>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0"/>
        </w:trPr>
        <w:tc>
          <w:tcPr>
            <w:tcW w:w="3120" w:type="dxa"/>
            <w:vAlign w:val="bottom"/>
            <w:gridSpan w:val="2"/>
          </w:tcPr>
          <w:p>
            <w:pPr>
              <w:ind w:left="180"/>
              <w:spacing w:after="0"/>
              <w:rPr>
                <w:sz w:val="20"/>
                <w:szCs w:val="20"/>
                <w:color w:val="auto"/>
              </w:rPr>
            </w:pPr>
            <w:r>
              <w:rPr>
                <w:rFonts w:ascii="Arial" w:cs="Arial" w:eastAsia="Arial" w:hAnsi="Arial"/>
                <w:sz w:val="15"/>
                <w:szCs w:val="15"/>
                <w:b w:val="1"/>
                <w:bCs w:val="1"/>
                <w:color w:val="auto"/>
              </w:rPr>
              <w:t>calculating credit ratios: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8"/>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(6,300)</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(2,107)</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(8,407)</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(6,696)</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(2,064)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(8,760)</w:t>
            </w:r>
          </w:p>
        </w:tc>
        <w:tc>
          <w:tcPr>
            <w:tcW w:w="240" w:type="dxa"/>
            <w:vAlign w:val="bottom"/>
          </w:tcPr>
          <w:p>
            <w:pPr>
              <w:spacing w:after="0"/>
              <w:rPr>
                <w:sz w:val="20"/>
                <w:szCs w:val="20"/>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3,625,634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476,931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4,102,565</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3,636,735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470,398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4,107,133</w:t>
            </w:r>
          </w:p>
        </w:tc>
        <w:tc>
          <w:tcPr>
            <w:tcW w:w="240" w:type="dxa"/>
            <w:vAlign w:val="bottom"/>
          </w:tcPr>
          <w:p>
            <w:pPr>
              <w:spacing w:after="0"/>
              <w:rPr>
                <w:sz w:val="20"/>
                <w:szCs w:val="20"/>
                <w:color w:val="auto"/>
              </w:rPr>
            </w:pPr>
          </w:p>
        </w:tc>
      </w:tr>
      <w:tr>
        <w:trPr>
          <w:trHeight w:val="226"/>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Nonaccrual loans at amortized cost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24,350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1,813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26,163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23,497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25,387</w:t>
            </w:r>
          </w:p>
        </w:tc>
        <w:tc>
          <w:tcPr>
            <w:tcW w:w="240" w:type="dxa"/>
            <w:vAlign w:val="bottom"/>
          </w:tcPr>
          <w:p>
            <w:pPr>
              <w:spacing w:after="0"/>
              <w:rPr>
                <w:sz w:val="19"/>
                <w:szCs w:val="19"/>
                <w:color w:val="auto"/>
              </w:rPr>
            </w:pPr>
          </w:p>
        </w:tc>
      </w:tr>
      <w:tr>
        <w:trPr>
          <w:trHeight w:val="438"/>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Components of credit loss reserves: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loan losses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(6,275)</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(2,104)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(8,379)</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(6,671)</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(2,059)</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(8,730)</w:t>
            </w:r>
          </w:p>
        </w:tc>
        <w:tc>
          <w:tcPr>
            <w:tcW w:w="240" w:type="dxa"/>
            <w:vAlign w:val="bottom"/>
          </w:tcPr>
          <w:p>
            <w:pPr>
              <w:spacing w:after="0"/>
              <w:rPr>
                <w:sz w:val="20"/>
                <w:szCs w:val="20"/>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accrued interest receivable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20"/>
                <w:szCs w:val="20"/>
                <w:color w:val="auto"/>
              </w:rPr>
            </w:pPr>
          </w:p>
        </w:tc>
      </w:tr>
      <w:tr>
        <w:trPr>
          <w:trHeight w:val="230"/>
        </w:trPr>
        <w:tc>
          <w:tcPr>
            <w:tcW w:w="30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Reserve for guaranty losses</w:t>
            </w:r>
            <w:r>
              <w:rPr>
                <w:rFonts w:ascii="Arial" w:cs="Arial" w:eastAsia="Arial" w:hAnsi="Arial"/>
                <w:sz w:val="18"/>
                <w:szCs w:val="18"/>
                <w:color w:val="auto"/>
                <w:vertAlign w:val="superscript"/>
              </w:rPr>
              <w:t>(3)</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3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9"/>
                <w:szCs w:val="19"/>
                <w:color w:val="auto"/>
              </w:rPr>
            </w:pPr>
          </w:p>
        </w:tc>
      </w:tr>
      <w:tr>
        <w:trPr>
          <w:trHeight w:val="225"/>
        </w:trPr>
        <w:tc>
          <w:tcPr>
            <w:tcW w:w="3120" w:type="dxa"/>
            <w:vAlign w:val="bottom"/>
            <w:gridSpan w:val="2"/>
          </w:tcPr>
          <w:p>
            <w:pPr>
              <w:ind w:left="320"/>
              <w:spacing w:after="0"/>
              <w:rPr>
                <w:sz w:val="20"/>
                <w:szCs w:val="20"/>
                <w:color w:val="auto"/>
              </w:rPr>
            </w:pPr>
            <w:r>
              <w:rPr>
                <w:rFonts w:ascii="Arial" w:cs="Arial" w:eastAsia="Arial" w:hAnsi="Arial"/>
                <w:sz w:val="15"/>
                <w:szCs w:val="15"/>
                <w:color w:val="auto"/>
              </w:rPr>
              <w:t>Total 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(6,300)</w:t>
            </w:r>
          </w:p>
        </w:tc>
        <w:tc>
          <w:tcPr>
            <w:tcW w:w="36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(2,107)</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(8,407)</w:t>
            </w:r>
          </w:p>
        </w:tc>
        <w:tc>
          <w:tcPr>
            <w:tcW w:w="380" w:type="dxa"/>
            <w:vAlign w:val="bottom"/>
          </w:tcPr>
          <w:p>
            <w:pPr>
              <w:spacing w:after="0"/>
              <w:rPr>
                <w:sz w:val="19"/>
                <w:szCs w:val="19"/>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(6,696)</w:t>
            </w:r>
          </w:p>
        </w:tc>
        <w:tc>
          <w:tcPr>
            <w:tcW w:w="38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(2,064)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(8,760)</w:t>
            </w:r>
          </w:p>
        </w:tc>
        <w:tc>
          <w:tcPr>
            <w:tcW w:w="240" w:type="dxa"/>
            <w:vAlign w:val="bottom"/>
          </w:tcPr>
          <w:p>
            <w:pPr>
              <w:spacing w:after="0"/>
              <w:rPr>
                <w:sz w:val="19"/>
                <w:szCs w:val="19"/>
                <w:color w:val="auto"/>
              </w:rPr>
            </w:pPr>
          </w:p>
        </w:tc>
      </w:tr>
      <w:tr>
        <w:trPr>
          <w:trHeight w:val="20"/>
        </w:trPr>
        <w:tc>
          <w:tcPr>
            <w:tcW w:w="30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100" w:hanging="237"/>
        <w:spacing w:after="0" w:line="226"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Our multifamily credit loss reserves exclude the expected benefit of freestanding credit enhancements on multifamily loans of $701 million as of March 31, 2024 and $599 million as of December 31, 2023, which are recorded in “Other assets” in our condensed consolidated balance sheets.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conventional guaranty book of business for single-family.</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Reserve for guaranty losses is recorded in “Other liabilities” in our condensed consolidated balance sheets.</w:t>
      </w:r>
    </w:p>
    <w:p>
      <w:pPr>
        <w:spacing w:after="0" w:line="5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single-family credit loss reserves decreased as of March 31, 2024 compared with December 31, 2023 primarily as a result of a benefit for credit losses, which reduced our single-family allowance for loan losses. Our multifamily credit loss reserves increased as of March 31, 2024 compared with December 31, 2023 primarily as a result of a provision for credit losses, which increased our multifamily allowance for loan losses. See “Consolidated Results of Operations—Benefit (Provision) for Credit Losses” for more information on our single-family benefit for credit losses and our multifamily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4" w:name="page45"/>
    <w:bookmarkEnd w:id="44"/>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60" w:type="dxa"/>
            <w:vAlign w:val="bottom"/>
            <w:gridSpan w:val="9"/>
          </w:tcPr>
          <w:p>
            <w:pPr>
              <w:jc w:val="center"/>
              <w:spacing w:after="0"/>
              <w:rPr>
                <w:sz w:val="20"/>
                <w:szCs w:val="20"/>
                <w:color w:val="auto"/>
              </w:rPr>
            </w:pPr>
            <w:r>
              <w:rPr>
                <w:rFonts w:ascii="Arial" w:cs="Arial" w:eastAsia="Arial" w:hAnsi="Arial"/>
                <w:sz w:val="15"/>
                <w:szCs w:val="15"/>
                <w:b w:val="1"/>
                <w:bCs w:val="1"/>
                <w:color w:val="auto"/>
                <w:w w:val="97"/>
              </w:rPr>
              <w:t>For the Three Months Ended March 31,</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20" w:type="dxa"/>
            <w:vAlign w:val="bottom"/>
            <w:tcBorders>
              <w:bottom w:val="single" w:sz="8" w:color="216C2B"/>
            </w:tcBorders>
          </w:tcPr>
          <w:p>
            <w:pPr>
              <w:spacing w:after="0"/>
              <w:rPr>
                <w:sz w:val="2"/>
                <w:szCs w:val="2"/>
                <w:color w:val="auto"/>
              </w:rPr>
            </w:pPr>
          </w:p>
        </w:tc>
        <w:tc>
          <w:tcPr>
            <w:tcW w:w="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0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9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24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920" w:type="dxa"/>
            <w:vAlign w:val="bottom"/>
            <w:tcBorders>
              <w:bottom w:val="single" w:sz="8" w:color="2C6937"/>
            </w:tcBorders>
          </w:tcPr>
          <w:p>
            <w:pPr>
              <w:jc w:val="right"/>
              <w:ind w:right="47"/>
              <w:spacing w:after="0"/>
              <w:rPr>
                <w:sz w:val="20"/>
                <w:szCs w:val="20"/>
                <w:color w:val="auto"/>
              </w:rPr>
            </w:pPr>
            <w:r>
              <w:rPr>
                <w:rFonts w:ascii="Arial" w:cs="Arial" w:eastAsia="Arial" w:hAnsi="Arial"/>
                <w:sz w:val="15"/>
                <w:szCs w:val="15"/>
                <w:b w:val="1"/>
                <w:bCs w:val="1"/>
                <w:color w:val="auto"/>
                <w:w w:val="99"/>
              </w:rPr>
              <w:t>Multifamily</w:t>
            </w: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980" w:type="dxa"/>
            <w:vAlign w:val="bottom"/>
            <w:tcBorders>
              <w:bottom w:val="single" w:sz="8" w:color="2C6937"/>
            </w:tcBorders>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2C6937"/>
            </w:tcBorders>
          </w:tcPr>
          <w:p>
            <w:pPr>
              <w:spacing w:after="0"/>
              <w:rPr>
                <w:sz w:val="22"/>
                <w:szCs w:val="22"/>
                <w:color w:val="auto"/>
              </w:rPr>
            </w:pPr>
          </w:p>
        </w:tc>
        <w:tc>
          <w:tcPr>
            <w:tcW w:w="112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40" w:type="dxa"/>
            <w:vAlign w:val="bottom"/>
            <w:tcBorders>
              <w:bottom w:val="single" w:sz="8" w:color="2C6937"/>
            </w:tcBorders>
          </w:tcPr>
          <w:p>
            <w:pPr>
              <w:spacing w:after="0"/>
              <w:rPr>
                <w:sz w:val="22"/>
                <w:szCs w:val="22"/>
                <w:color w:val="auto"/>
              </w:rPr>
            </w:pPr>
          </w:p>
        </w:tc>
        <w:tc>
          <w:tcPr>
            <w:tcW w:w="88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6"/>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credit 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 annualized, as a percentage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of the average guaranty book of business (in bps)</w:t>
            </w:r>
          </w:p>
        </w:tc>
        <w:tc>
          <w:tcPr>
            <w:tcW w:w="100" w:type="dxa"/>
            <w:vAlign w:val="bottom"/>
          </w:tcPr>
          <w:p>
            <w:pPr>
              <w:spacing w:after="0"/>
              <w:rPr>
                <w:sz w:val="18"/>
                <w:szCs w:val="18"/>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384"/>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 calculating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020" w:type="dxa"/>
            <w:vAlign w:val="bottom"/>
            <w:gridSpan w:val="2"/>
          </w:tcPr>
          <w:p>
            <w:pPr>
              <w:ind w:left="180"/>
              <w:spacing w:after="0"/>
              <w:rPr>
                <w:sz w:val="20"/>
                <w:szCs w:val="20"/>
                <w:color w:val="auto"/>
              </w:rPr>
            </w:pPr>
            <w:r>
              <w:rPr>
                <w:rFonts w:ascii="Arial" w:cs="Arial" w:eastAsia="Arial" w:hAnsi="Arial"/>
                <w:sz w:val="15"/>
                <w:szCs w:val="15"/>
                <w:b w:val="1"/>
                <w:bCs w:val="1"/>
                <w:color w:val="auto"/>
              </w:rPr>
              <w:t>ratio: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7"/>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117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133</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250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21"/>
                <w:szCs w:val="21"/>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281</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(59)</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(80)</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58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170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228</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3,631,184</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473,665</w:t>
            </w:r>
          </w:p>
        </w:tc>
        <w:tc>
          <w:tcPr>
            <w:tcW w:w="42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4,104,849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3,631,814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442,924</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4,074,738</w:t>
            </w:r>
          </w:p>
        </w:tc>
      </w:tr>
    </w:tbl>
    <w:p>
      <w:pPr>
        <w:spacing w:after="0" w:line="65" w:lineRule="exact"/>
        <w:rPr>
          <w:sz w:val="20"/>
          <w:szCs w:val="20"/>
          <w:color w:val="auto"/>
        </w:rPr>
      </w:pPr>
    </w:p>
    <w:p>
      <w:pPr>
        <w:ind w:left="220" w:hanging="217"/>
        <w:spacing w:after="0"/>
        <w:tabs>
          <w:tab w:leader="none" w:pos="22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quarter-end balances.</w:t>
      </w:r>
    </w:p>
    <w:p>
      <w:pPr>
        <w:spacing w:after="0" w:line="1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2023 Form 10-K. See “MD&amp;A—Liquidity and Capital Management —Liquidity Management” in our 2023 Form 10-K for additional information, including discussions of our primary sources and uses of funds, our liquidity and funding risk management practices and contingency planning, our liquidity requirements, factors that influence our debt funding activity, factors that may impact our access to or the cost of our debt funding and factors that could adversely affect our liquidity and funding. As of March 31, 2024, we were in compliance with all four components of the liquidity requirements outlined in our 2023 Form 10-K. Also see “Risk Factors—Liquidity and Funding Risk” in our 2023 Form 10-K for a discussion of liquidity and funding risks.</w:t>
      </w:r>
    </w:p>
    <w:p>
      <w:pPr>
        <w:spacing w:after="0" w:line="13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9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are currently subject to a $270 billion debt limit under our senior preferred stock purchase agreement with Treasury. The unpaid principal balance of our aggregate indebtedness was $122.7 billion as of March 31, 2024. Pursuant to the terms of the senior preferred stock purchase agreement, we are prohibited from issuing debt without the prior consent of Treasury if it would result in our aggregate indebtedness exceeding our outstanding debt limit. The calculation of our indebtedness for purposes of complying with our debt limit reflects the unpaid principal balance and excludes debt basis adjustments and debt of consolidated trusts.</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5" w:name="page46"/>
    <w:bookmarkEnd w:id="45"/>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w:t>
      </w:r>
    </w:p>
    <w:p>
      <w:pPr>
        <w:spacing w:after="0" w:line="88"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7620</wp:posOffset>
            </wp:positionV>
            <wp:extent cx="4886960" cy="284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86960" cy="284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40" w:right="540" w:hanging="237"/>
        <w:spacing w:after="0" w:line="233" w:lineRule="auto"/>
        <w:tabs>
          <w:tab w:leader="none" w:pos="233"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$4.2 billion and $4.0 billion as of March 31, 2024 and December 31, 2023, respectively.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280" w:type="dxa"/>
            <w:vAlign w:val="bottom"/>
            <w:tcBorders>
              <w:top w:val="single" w:sz="8" w:color="2C6937"/>
              <w:bottom w:val="single" w:sz="8" w:color="2C6937"/>
            </w:tcBorders>
          </w:tcPr>
          <w:p>
            <w:pPr>
              <w:spacing w:after="0"/>
              <w:rPr>
                <w:sz w:val="18"/>
                <w:szCs w:val="18"/>
                <w:color w:val="auto"/>
              </w:rPr>
            </w:pPr>
          </w:p>
        </w:tc>
        <w:tc>
          <w:tcPr>
            <w:tcW w:w="1460" w:type="dxa"/>
            <w:vAlign w:val="bottom"/>
            <w:tcBorders>
              <w:top w:val="single" w:sz="8" w:color="2C6937"/>
              <w:bottom w:val="single" w:sz="8" w:color="2C6937"/>
            </w:tcBorders>
          </w:tcPr>
          <w:p>
            <w:pPr>
              <w:spacing w:after="0"/>
              <w:rPr>
                <w:sz w:val="18"/>
                <w:szCs w:val="18"/>
                <w:color w:val="auto"/>
              </w:rPr>
            </w:pPr>
          </w:p>
        </w:tc>
        <w:tc>
          <w:tcPr>
            <w:tcW w:w="46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w w:val="97"/>
              </w:rPr>
              <w:t>As of</w:t>
            </w:r>
          </w:p>
        </w:tc>
        <w:tc>
          <w:tcPr>
            <w:tcW w:w="1640" w:type="dxa"/>
            <w:vAlign w:val="bottom"/>
            <w:tcBorders>
              <w:top w:val="single" w:sz="8" w:color="2C6937"/>
              <w:bottom w:val="single" w:sz="8" w:color="2C6937"/>
            </w:tcBorders>
          </w:tcPr>
          <w:p>
            <w:pPr>
              <w:spacing w:after="0"/>
              <w:rPr>
                <w:sz w:val="18"/>
                <w:szCs w:val="18"/>
                <w:color w:val="auto"/>
              </w:rPr>
            </w:pPr>
          </w:p>
        </w:tc>
      </w:tr>
      <w:tr>
        <w:trPr>
          <w:trHeight w:val="186"/>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rPr>
              <w:t>March 31, 2024</w:t>
            </w:r>
          </w:p>
        </w:tc>
        <w:tc>
          <w:tcPr>
            <w:tcW w:w="46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3"/>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208"/>
        </w:trPr>
        <w:tc>
          <w:tcPr>
            <w:tcW w:w="72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2"/>
          </w:tcPr>
          <w:p>
            <w:pPr>
              <w:jc w:val="right"/>
              <w:ind w:right="227"/>
              <w:spacing w:after="0"/>
              <w:rPr>
                <w:sz w:val="20"/>
                <w:szCs w:val="20"/>
                <w:color w:val="auto"/>
              </w:rPr>
            </w:pPr>
            <w:r>
              <w:rPr>
                <w:rFonts w:ascii="Arial" w:cs="Arial" w:eastAsia="Arial" w:hAnsi="Arial"/>
                <w:sz w:val="15"/>
                <w:szCs w:val="15"/>
                <w:b w:val="1"/>
                <w:bCs w:val="1"/>
                <w:color w:val="auto"/>
              </w:rPr>
              <w:t>5.18 %</w:t>
            </w:r>
          </w:p>
        </w:tc>
        <w:tc>
          <w:tcPr>
            <w:tcW w:w="1640" w:type="dxa"/>
            <w:vAlign w:val="bottom"/>
          </w:tcPr>
          <w:p>
            <w:pPr>
              <w:jc w:val="right"/>
              <w:spacing w:after="0"/>
              <w:rPr>
                <w:sz w:val="20"/>
                <w:szCs w:val="20"/>
                <w:color w:val="auto"/>
              </w:rPr>
            </w:pPr>
            <w:r>
              <w:rPr>
                <w:rFonts w:ascii="Arial" w:cs="Arial" w:eastAsia="Arial" w:hAnsi="Arial"/>
                <w:sz w:val="15"/>
                <w:szCs w:val="15"/>
                <w:color w:val="auto"/>
              </w:rPr>
              <w:t>5.13 %</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2.76</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2.63</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2.55</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2.41</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131</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135</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460" w:type="dxa"/>
            <w:vAlign w:val="bottom"/>
          </w:tcPr>
          <w:p>
            <w:pPr>
              <w:spacing w:after="0"/>
              <w:rPr>
                <w:sz w:val="17"/>
                <w:szCs w:val="17"/>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46</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8"/>
        </w:trPr>
        <w:tc>
          <w:tcPr>
            <w:tcW w:w="7200" w:type="dxa"/>
            <w:vAlign w:val="bottom"/>
          </w:tcPr>
          <w:p>
            <w:pPr>
              <w:ind w:left="180"/>
              <w:spacing w:after="0" w:line="198"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43.1</w:t>
            </w:r>
          </w:p>
        </w:tc>
        <w:tc>
          <w:tcPr>
            <w:tcW w:w="4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43.8</w:t>
            </w:r>
          </w:p>
        </w:tc>
      </w:tr>
      <w:tr>
        <w:trPr>
          <w:trHeight w:val="273"/>
        </w:trPr>
        <w:tc>
          <w:tcPr>
            <w:tcW w:w="7200" w:type="dxa"/>
            <w:vAlign w:val="bottom"/>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460" w:type="dxa"/>
            <w:vAlign w:val="bottom"/>
          </w:tcPr>
          <w:p>
            <w:pPr>
              <w:spacing w:after="0"/>
              <w:rPr>
                <w:sz w:val="23"/>
                <w:szCs w:val="23"/>
                <w:color w:val="auto"/>
              </w:rPr>
            </w:pPr>
          </w:p>
        </w:tc>
        <w:tc>
          <w:tcPr>
            <w:tcW w:w="1640" w:type="dxa"/>
            <w:vAlign w:val="bottom"/>
          </w:tcPr>
          <w:p>
            <w:pPr>
              <w:jc w:val="right"/>
              <w:ind w:right="124"/>
              <w:spacing w:after="0"/>
              <w:rPr>
                <w:sz w:val="20"/>
                <w:szCs w:val="20"/>
                <w:color w:val="auto"/>
              </w:rPr>
            </w:pPr>
            <w:r>
              <w:rPr>
                <w:rFonts w:ascii="Arial" w:cs="Arial" w:eastAsia="Arial" w:hAnsi="Arial"/>
                <w:sz w:val="15"/>
                <w:szCs w:val="15"/>
                <w:color w:val="auto"/>
              </w:rPr>
              <w:t>2.8</w:t>
            </w:r>
          </w:p>
        </w:tc>
      </w:tr>
    </w:tbl>
    <w:p>
      <w:pPr>
        <w:spacing w:after="0" w:line="29" w:lineRule="exact"/>
        <w:rPr>
          <w:sz w:val="20"/>
          <w:szCs w:val="20"/>
          <w:color w:val="auto"/>
        </w:rPr>
      </w:pPr>
    </w:p>
    <w:p>
      <w:pPr>
        <w:ind w:left="220" w:hanging="217"/>
        <w:spacing w:after="0"/>
        <w:tabs>
          <w:tab w:leader="none" w:pos="2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Includes short-term callable debt of $1.5 billion and $2.6 billion as of March 31, 2024 and December 31, 2023, respectively.</w:t>
      </w:r>
    </w:p>
    <w:p>
      <w:pPr>
        <w:spacing w:after="0" w:line="38" w:lineRule="exact"/>
        <w:rPr>
          <w:rFonts w:ascii="Arial" w:cs="Arial" w:eastAsia="Arial" w:hAnsi="Arial"/>
          <w:sz w:val="18"/>
          <w:szCs w:val="18"/>
          <w:color w:val="auto"/>
          <w:vertAlign w:val="superscript"/>
        </w:rPr>
      </w:pPr>
    </w:p>
    <w:p>
      <w:pPr>
        <w:ind w:left="240" w:right="460" w:hanging="237"/>
        <w:spacing w:after="0" w:line="246" w:lineRule="auto"/>
        <w:tabs>
          <w:tab w:leader="none" w:pos="233" w:val="left"/>
        </w:tabs>
        <w:numPr>
          <w:ilvl w:val="0"/>
          <w:numId w:val="51"/>
        </w:numPr>
        <w:rPr>
          <w:rFonts w:ascii="Arial" w:cs="Arial" w:eastAsia="Arial" w:hAnsi="Arial"/>
          <w:sz w:val="17"/>
          <w:szCs w:val="17"/>
          <w:color w:val="auto"/>
          <w:vertAlign w:val="superscript"/>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2023 Form 10-K for information regarding our Connecticut Avenue Securities</w:t>
      </w:r>
      <w:r>
        <w:rPr>
          <w:rFonts w:ascii="Arial" w:cs="Arial" w:eastAsia="Arial" w:hAnsi="Arial"/>
          <w:sz w:val="16"/>
          <w:szCs w:val="16"/>
          <w:color w:val="auto"/>
          <w:vertAlign w:val="superscript"/>
        </w:rPr>
        <w:t>®</w:t>
      </w:r>
      <w:r>
        <w:rPr>
          <w:rFonts w:ascii="Arial" w:cs="Arial" w:eastAsia="Arial" w:hAnsi="Arial"/>
          <w:sz w:val="13"/>
          <w:szCs w:val="13"/>
          <w:color w:val="auto"/>
        </w:rPr>
        <w:t>.</w:t>
      </w:r>
    </w:p>
    <w:p>
      <w:pPr>
        <w:ind w:right="160"/>
        <w:spacing w:after="0" w:line="289"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assets in our corporate liquidity portfolio and the issuance of additional debt securities.</w:t>
      </w:r>
    </w:p>
    <w:p>
      <w:pPr>
        <w:spacing w:after="0" w:line="1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2023 Form 10-K.</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6" w:name="page47"/>
    <w:bookmarkEnd w:id="4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2216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800" w:type="dxa"/>
            <w:vAlign w:val="bottom"/>
            <w:tcBorders>
              <w:bottom w:val="single" w:sz="8" w:color="2C6937"/>
            </w:tcBorders>
            <w:gridSpan w:val="4"/>
          </w:tcPr>
          <w:p>
            <w:pPr>
              <w:jc w:val="right"/>
              <w:ind w:right="143"/>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w w:val="96"/>
              </w:rPr>
              <w:t>2023</w:t>
            </w:r>
          </w:p>
        </w:tc>
      </w:tr>
      <w:tr>
        <w:trPr>
          <w:trHeight w:val="173"/>
        </w:trPr>
        <w:tc>
          <w:tcPr>
            <w:tcW w:w="8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640"/>
              <w:spacing w:after="0"/>
              <w:rPr>
                <w:sz w:val="20"/>
                <w:szCs w:val="20"/>
                <w:color w:val="auto"/>
              </w:rPr>
            </w:pPr>
            <w:r>
              <w:rPr>
                <w:rFonts w:ascii="Arial" w:cs="Arial" w:eastAsia="Arial" w:hAnsi="Arial"/>
                <w:sz w:val="14"/>
                <w:szCs w:val="14"/>
                <w:b w:val="1"/>
                <w:bCs w:val="1"/>
                <w:color w:val="auto"/>
              </w:rPr>
              <w:t>(Dollars in</w:t>
            </w:r>
          </w:p>
        </w:tc>
        <w:tc>
          <w:tcPr>
            <w:tcW w:w="540" w:type="dxa"/>
            <w:vAlign w:val="bottom"/>
          </w:tcPr>
          <w:p>
            <w:pPr>
              <w:spacing w:after="0"/>
              <w:rPr>
                <w:sz w:val="20"/>
                <w:szCs w:val="20"/>
                <w:color w:val="auto"/>
              </w:rPr>
            </w:pPr>
            <w:r>
              <w:rPr>
                <w:rFonts w:ascii="Arial" w:cs="Arial" w:eastAsia="Arial" w:hAnsi="Arial"/>
                <w:sz w:val="14"/>
                <w:szCs w:val="14"/>
                <w:b w:val="1"/>
                <w:bCs w:val="1"/>
                <w:color w:val="auto"/>
                <w:w w:val="90"/>
              </w:rPr>
              <w:t>millions)</w:t>
            </w:r>
          </w:p>
        </w:tc>
        <w:tc>
          <w:tcPr>
            <w:tcW w:w="880" w:type="dxa"/>
            <w:vAlign w:val="bottom"/>
          </w:tcPr>
          <w:p>
            <w:pPr>
              <w:spacing w:after="0"/>
              <w:rPr>
                <w:sz w:val="15"/>
                <w:szCs w:val="15"/>
                <w:color w:val="auto"/>
              </w:rPr>
            </w:pPr>
          </w:p>
        </w:tc>
      </w:tr>
      <w:tr>
        <w:trPr>
          <w:trHeight w:val="208"/>
        </w:trPr>
        <w:tc>
          <w:tcPr>
            <w:tcW w:w="81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8"/>
        </w:trPr>
        <w:tc>
          <w:tcPr>
            <w:tcW w:w="81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79,501</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55,106</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5.28 %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4.37 %</w:t>
            </w:r>
          </w:p>
        </w:tc>
      </w:tr>
      <w:tr>
        <w:trPr>
          <w:trHeight w:val="204"/>
        </w:trPr>
        <w:tc>
          <w:tcPr>
            <w:tcW w:w="8160" w:type="dxa"/>
            <w:vAlign w:val="bottom"/>
          </w:tcPr>
          <w:p>
            <w:pPr>
              <w:ind w:left="160"/>
              <w:spacing w:after="0" w:line="205"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3,992</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2,868</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4.93 %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5.39 %</w:t>
            </w:r>
          </w:p>
        </w:tc>
      </w:tr>
      <w:tr>
        <w:trPr>
          <w:trHeight w:val="204"/>
        </w:trPr>
        <w:tc>
          <w:tcPr>
            <w:tcW w:w="8160" w:type="dxa"/>
            <w:vAlign w:val="bottom"/>
          </w:tcPr>
          <w:p>
            <w:pPr>
              <w:ind w:left="160"/>
              <w:spacing w:after="0"/>
              <w:rPr>
                <w:sz w:val="20"/>
                <w:szCs w:val="20"/>
                <w:color w:val="auto"/>
              </w:rPr>
            </w:pPr>
            <w:r>
              <w:rPr>
                <w:rFonts w:ascii="Arial" w:cs="Arial" w:eastAsia="Arial" w:hAnsi="Arial"/>
                <w:sz w:val="15"/>
                <w:szCs w:val="15"/>
                <w:color w:val="auto"/>
              </w:rPr>
              <w:t>Total issued: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83,493</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57,974</w:t>
            </w:r>
          </w:p>
        </w:tc>
      </w:tr>
      <w:tr>
        <w:trPr>
          <w:trHeight w:val="206"/>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5.26 %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4.42 %</w:t>
            </w:r>
          </w:p>
        </w:tc>
      </w:tr>
      <w:tr>
        <w:trPr>
          <w:trHeight w:val="208"/>
        </w:trPr>
        <w:tc>
          <w:tcPr>
            <w:tcW w:w="81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8"/>
        </w:trPr>
        <w:tc>
          <w:tcPr>
            <w:tcW w:w="81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82,564</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51,306</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4.70 %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3.98 %</w:t>
            </w:r>
          </w:p>
        </w:tc>
      </w:tr>
      <w:tr>
        <w:trPr>
          <w:trHeight w:val="204"/>
        </w:trPr>
        <w:tc>
          <w:tcPr>
            <w:tcW w:w="8160" w:type="dxa"/>
            <w:vAlign w:val="bottom"/>
          </w:tcPr>
          <w:p>
            <w:pPr>
              <w:ind w:left="160"/>
              <w:spacing w:after="0" w:line="205"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6,415</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2,105</w:t>
            </w:r>
          </w:p>
        </w:tc>
      </w:tr>
      <w:tr>
        <w:trPr>
          <w:trHeight w:val="208"/>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3.28 %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2.83 %</w:t>
            </w:r>
          </w:p>
        </w:tc>
      </w:tr>
      <w:tr>
        <w:trPr>
          <w:trHeight w:val="204"/>
        </w:trPr>
        <w:tc>
          <w:tcPr>
            <w:tcW w:w="8160" w:type="dxa"/>
            <w:vAlign w:val="bottom"/>
          </w:tcPr>
          <w:p>
            <w:pPr>
              <w:ind w:left="160"/>
              <w:spacing w:after="0"/>
              <w:rPr>
                <w:sz w:val="20"/>
                <w:szCs w:val="20"/>
                <w:color w:val="auto"/>
              </w:rPr>
            </w:pPr>
            <w:r>
              <w:rPr>
                <w:rFonts w:ascii="Arial" w:cs="Arial" w:eastAsia="Arial" w:hAnsi="Arial"/>
                <w:sz w:val="15"/>
                <w:szCs w:val="15"/>
                <w:color w:val="auto"/>
              </w:rPr>
              <w:t>Total paid off: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160" w:type="dxa"/>
            <w:vAlign w:val="bottom"/>
          </w:tcPr>
          <w:p>
            <w:pPr>
              <w:ind w:left="320"/>
              <w:spacing w:after="0"/>
              <w:rPr>
                <w:sz w:val="20"/>
                <w:szCs w:val="20"/>
                <w:color w:val="auto"/>
              </w:rPr>
            </w:pPr>
            <w:r>
              <w:rPr>
                <w:rFonts w:ascii="Arial" w:cs="Arial" w:eastAsia="Arial" w:hAnsi="Arial"/>
                <w:sz w:val="15"/>
                <w:szCs w:val="15"/>
                <w:color w:val="auto"/>
              </w:rPr>
              <w:t>Amount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88,979</w:t>
            </w:r>
          </w:p>
        </w:tc>
        <w:tc>
          <w:tcPr>
            <w:tcW w:w="10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3"/>
              <w:spacing w:after="0"/>
              <w:rPr>
                <w:sz w:val="20"/>
                <w:szCs w:val="20"/>
                <w:color w:val="auto"/>
              </w:rPr>
            </w:pPr>
            <w:r>
              <w:rPr>
                <w:rFonts w:ascii="Arial" w:cs="Arial" w:eastAsia="Arial" w:hAnsi="Arial"/>
                <w:sz w:val="15"/>
                <w:szCs w:val="15"/>
                <w:color w:val="auto"/>
              </w:rPr>
              <w:t>53,411</w:t>
            </w:r>
          </w:p>
        </w:tc>
      </w:tr>
      <w:tr>
        <w:trPr>
          <w:trHeight w:val="214"/>
        </w:trPr>
        <w:tc>
          <w:tcPr>
            <w:tcW w:w="81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4.60 %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3.94 %</w:t>
            </w:r>
          </w:p>
        </w:tc>
      </w:tr>
    </w:tbl>
    <w:p>
      <w:pPr>
        <w:spacing w:after="0" w:line="115" w:lineRule="exact"/>
        <w:rPr>
          <w:sz w:val="20"/>
          <w:szCs w:val="20"/>
          <w:color w:val="auto"/>
        </w:rPr>
      </w:pPr>
    </w:p>
    <w:p>
      <w:pPr>
        <w:ind w:left="240" w:right="140" w:hanging="237"/>
        <w:spacing w:after="0" w:line="228" w:lineRule="auto"/>
        <w:tabs>
          <w:tab w:leader="none" w:pos="233"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2023 Form 10-K.</w:t>
      </w:r>
    </w:p>
    <w:p>
      <w:pPr>
        <w:spacing w:after="0" w:line="26" w:lineRule="exact"/>
        <w:rPr>
          <w:rFonts w:ascii="Arial" w:cs="Arial" w:eastAsia="Arial" w:hAnsi="Arial"/>
          <w:sz w:val="18"/>
          <w:szCs w:val="18"/>
          <w:color w:val="auto"/>
          <w:vertAlign w:val="superscript"/>
        </w:rPr>
      </w:pPr>
    </w:p>
    <w:p>
      <w:pPr>
        <w:ind w:left="240" w:right="260" w:hanging="237"/>
        <w:spacing w:after="0" w:line="226" w:lineRule="auto"/>
        <w:tabs>
          <w:tab w:leader="none" w:pos="233"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7" w:name="page48"/>
    <w:bookmarkEnd w:id="47"/>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changes in our cash flows, liquidity in the fixed-income markets, and our liquidity risk management framework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-25400</wp:posOffset>
            </wp:positionV>
            <wp:extent cx="4911725" cy="23495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53975</wp:posOffset>
            </wp:positionV>
            <wp:extent cx="130810" cy="1308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Securities purchased under agreements to resell</w:t>
      </w:r>
    </w:p>
    <w:p>
      <w:pPr>
        <w:spacing w:after="0" w:line="7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-138430</wp:posOffset>
            </wp:positionV>
            <wp:extent cx="130810" cy="1308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76" w:lineRule="exact"/>
        <w:rPr>
          <w:sz w:val="20"/>
          <w:szCs w:val="20"/>
          <w:color w:val="auto"/>
        </w:rPr>
      </w:pPr>
    </w:p>
    <w:p>
      <w:pPr>
        <w:ind w:left="220" w:hanging="217"/>
        <w:spacing w:after="0"/>
        <w:tabs>
          <w:tab w:leader="none" w:pos="220" w:val="left"/>
        </w:tabs>
        <w:numPr>
          <w:ilvl w:val="0"/>
          <w:numId w:val="53"/>
        </w:numPr>
        <w:rPr>
          <w:rFonts w:ascii="Arial" w:cs="Arial" w:eastAsia="Arial" w:hAnsi="Arial"/>
          <w:sz w:val="9"/>
          <w:szCs w:val="9"/>
          <w:color w:val="auto"/>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293"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$224.1 billion as of March 31, 2024 and $227.5 billion as of December 31, 2023.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5"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$4.5 billion as of March 31, 2024 and December 31, 2023. These commitments require us to advance funds to third parties that enable them to repurchase tendered bonds or securities that are unable to be remarketed. We hold cash and cash equivalents in our corporate liquidity portfolio in excess of these commitments to advance funds.</w:t>
      </w:r>
    </w:p>
    <w:p>
      <w:pPr>
        <w:spacing w:after="0" w:line="3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have investments in various limited partnerships and similar legal entities, which consist of LIHTC investments, community investments and investments in other entities. When we do not have a controlling financial interest in those entities, our condensed consolidated balance sheets reflect only our investment rather than the full amount of the partnership’s assets and liabilities. See “Note 3, Consolidations and Transfers of Financial Assets— Unconsolidated VIEs” for information regarding our investments in limited partnerships and similar legal entities.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8" w:name="page49"/>
    <w:bookmarkEnd w:id="48"/>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80"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i w:val="1"/>
          <w:iCs w:val="1"/>
          <w:u w:val="single" w:color="auto"/>
          <w:color w:val="auto"/>
        </w:rPr>
        <w:t>Three Months Ended March 31, 2024</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$68.7 billion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2023 to $33.3 billion as of March 31, 2024. The decrease was primarily driven by cash outflows from (1) investments in securities purchased under agreements to resell, (2) redemptions of debt outpacing issuances, (3) purchases of loans held for investment and (4) advances to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these cash outflows were cash inflows primarily from proceeds from repayments of loans.</w:t>
      </w:r>
    </w:p>
    <w:p>
      <w:pPr>
        <w:spacing w:after="0" w:line="87"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u w:val="single" w:color="auto"/>
          <w:color w:val="auto"/>
        </w:rPr>
        <w:t>Three Months Ended March 31, 2023</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increased from $87.8 billion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to $90.8 billion as of March 31, 2023. The increase was primarily driven by cash inflows from (1) proceeds from repayments and sales of loans, (2) the sale of Fannie Mae MBS to third parties, and (3) the issuances of funding debt, which outpaced redemptions.</w:t>
      </w:r>
    </w:p>
    <w:p>
      <w:pPr>
        <w:spacing w:after="0" w:line="24"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Partially offsetting these cash inflows were cash outflows from (1) payments on outstanding debt of consolidated trusts,(2) purchases of loans held for investment, and (3) advances to lenders.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8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March 31, 2024, our credit ratings issued by the three major credit rating agencies have not changed since December 31, 2023. For information on these credit ratings, see “MD&amp;A—Liquidity and Capital Management—Liquidity Management—Credit Ratings” in our 2023 Form 10-K.</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10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for purposes of the enterprise regulatory capital framework excludes the stated value of the senior preferred stock ($120.8 billion) and other amounts specified in the Regulatory Capital Components table below. Because of these exclusions, we had a deficit in available capital as of March 31, 2024, even though we had positive net worth under accounting principles generally accepted in the United States of America (“GAAP”) of $82.0 billion as of March 31, 2024. See “Business—Legislation and Regulation—Capital Requirements” in our 2023 Form 10-K for a description of our capital requirements under the enterprise regulatory capital framework.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255" w:lineRule="exact"/>
        <w:rPr>
          <w:sz w:val="20"/>
          <w:szCs w:val="20"/>
          <w:color w:val="auto"/>
        </w:rPr>
      </w:pPr>
    </w:p>
    <w:p>
      <w:pPr>
        <w:jc w:val="both"/>
        <w:ind w:right="740"/>
        <w:spacing w:after="0" w:line="272" w:lineRule="auto"/>
        <w:rPr>
          <w:sz w:val="20"/>
          <w:szCs w:val="20"/>
          <w:color w:val="auto"/>
        </w:rPr>
      </w:pPr>
      <w:r>
        <w:rPr>
          <w:rFonts w:ascii="Arial" w:cs="Arial" w:eastAsia="Arial" w:hAnsi="Arial"/>
          <w:sz w:val="16"/>
          <w:szCs w:val="16"/>
          <w:color w:val="auto"/>
        </w:rPr>
        <w:t>We had a $238 billion shortfall of our available capital (deficit) to the adjusted total capital requirement (including buffers) of $188 billion under the standardized approach of the enterprise regulatory capital framework as of March 31, 2024. Our capital shortfall decreased from $243 billion as of December 31, 2023 to $238 billion as of March 31, 2024, primarily as a result of an increase in our retained earnings.</w:t>
      </w:r>
    </w:p>
    <w:p>
      <w:pPr>
        <w:spacing w:after="0" w:line="32"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Risk-weighted assets decreased from $1,357 billion as of December 31, 2023 to $1,323 billion as of March 31, 2024, primarily due to continued single-family home price appreciation and ongoing credit risk transfer issuances.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9" w:name="page50"/>
    <w:bookmarkEnd w:id="49"/>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Capital Metrics under the Enterprise Regulatory Capital Framework as of March 31, 2024</w:t>
      </w:r>
      <w:r>
        <w:rPr>
          <w:rFonts w:ascii="Arial" w:cs="Arial" w:eastAsia="Arial" w:hAnsi="Arial"/>
          <w:sz w:val="24"/>
          <w:szCs w:val="24"/>
          <w:b w:val="1"/>
          <w:bCs w:val="1"/>
          <w:color w:val="auto"/>
          <w:vertAlign w:val="superscript"/>
        </w:rPr>
        <w:t>(1)</w:t>
      </w:r>
    </w:p>
    <w:tbl>
      <w:tblPr>
        <w:tblLayout w:type="fixed"/>
        <w:tblInd w:w="0" w:type="dxa"/>
        <w:tblCellMar>
          <w:top w:w="0" w:type="dxa"/>
          <w:left w:w="0" w:type="dxa"/>
          <w:bottom w:w="0" w:type="dxa"/>
          <w:right w:w="0" w:type="dxa"/>
        </w:tblCellMar>
      </w:tblPr>
      <w:tr>
        <w:trPr>
          <w:trHeight w:val="198"/>
        </w:trPr>
        <w:tc>
          <w:tcPr>
            <w:tcW w:w="2760" w:type="dxa"/>
            <w:vAlign w:val="bottom"/>
            <w:tcBorders>
              <w:top w:val="single" w:sz="8" w:color="2C6937"/>
            </w:tcBorders>
          </w:tcPr>
          <w:p>
            <w:pPr>
              <w:spacing w:after="0"/>
              <w:rPr>
                <w:sz w:val="17"/>
                <w:szCs w:val="17"/>
                <w:color w:val="auto"/>
              </w:rPr>
            </w:pPr>
          </w:p>
        </w:tc>
        <w:tc>
          <w:tcPr>
            <w:tcW w:w="200" w:type="dxa"/>
            <w:vAlign w:val="bottom"/>
            <w:tcBorders>
              <w:top w:val="single" w:sz="8" w:color="2C6937"/>
            </w:tcBorders>
          </w:tcPr>
          <w:p>
            <w:pPr>
              <w:spacing w:after="0"/>
              <w:rPr>
                <w:sz w:val="17"/>
                <w:szCs w:val="17"/>
                <w:color w:val="auto"/>
              </w:rPr>
            </w:pPr>
          </w:p>
        </w:tc>
        <w:tc>
          <w:tcPr>
            <w:tcW w:w="11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0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2140" w:type="dxa"/>
            <w:vAlign w:val="bottom"/>
            <w:tcBorders>
              <w:top w:val="single" w:sz="8" w:color="2C6937"/>
            </w:tcBorders>
            <w:gridSpan w:val="9"/>
          </w:tcPr>
          <w:p>
            <w:pPr>
              <w:jc w:val="center"/>
              <w:ind w:right="380"/>
              <w:spacing w:after="0"/>
              <w:rPr>
                <w:sz w:val="20"/>
                <w:szCs w:val="20"/>
                <w:color w:val="auto"/>
              </w:rPr>
            </w:pPr>
            <w:r>
              <w:rPr>
                <w:rFonts w:ascii="Arial" w:cs="Arial" w:eastAsia="Arial" w:hAnsi="Arial"/>
                <w:sz w:val="14"/>
                <w:szCs w:val="14"/>
                <w:b w:val="1"/>
                <w:bCs w:val="1"/>
                <w:color w:val="auto"/>
                <w:w w:val="98"/>
              </w:rPr>
              <w:t>(Dollars in billions)</w:t>
            </w:r>
          </w:p>
        </w:tc>
        <w:tc>
          <w:tcPr>
            <w:tcW w:w="6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7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20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50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5"/>
          </w:tcPr>
          <w:p>
            <w:pPr>
              <w:jc w:val="right"/>
              <w:ind w:right="531"/>
              <w:spacing w:after="0"/>
              <w:rPr>
                <w:sz w:val="20"/>
                <w:szCs w:val="20"/>
                <w:color w:val="auto"/>
              </w:rPr>
            </w:pPr>
            <w:r>
              <w:rPr>
                <w:rFonts w:ascii="Arial" w:cs="Arial" w:eastAsia="Arial" w:hAnsi="Arial"/>
                <w:sz w:val="15"/>
                <w:szCs w:val="15"/>
                <w:color w:val="auto"/>
              </w:rPr>
              <w:t>$</w:t>
            </w:r>
          </w:p>
        </w:tc>
        <w:tc>
          <w:tcPr>
            <w:tcW w:w="620" w:type="dxa"/>
            <w:vAlign w:val="bottom"/>
            <w:gridSpan w:val="5"/>
          </w:tcPr>
          <w:p>
            <w:pPr>
              <w:jc w:val="right"/>
              <w:ind w:right="11"/>
              <w:spacing w:after="0"/>
              <w:rPr>
                <w:sz w:val="20"/>
                <w:szCs w:val="20"/>
                <w:color w:val="auto"/>
              </w:rPr>
            </w:pPr>
            <w:r>
              <w:rPr>
                <w:rFonts w:ascii="Arial" w:cs="Arial" w:eastAsia="Arial" w:hAnsi="Arial"/>
                <w:sz w:val="15"/>
                <w:szCs w:val="15"/>
                <w:color w:val="auto"/>
              </w:rPr>
              <w:t>4,549</w:t>
            </w:r>
          </w:p>
        </w:tc>
        <w:tc>
          <w:tcPr>
            <w:tcW w:w="140" w:type="dxa"/>
            <w:vAlign w:val="bottom"/>
          </w:tcPr>
          <w:p>
            <w:pPr>
              <w:spacing w:after="0"/>
              <w:rPr>
                <w:sz w:val="17"/>
                <w:szCs w:val="17"/>
                <w:color w:val="auto"/>
              </w:rPr>
            </w:pPr>
          </w:p>
        </w:tc>
        <w:tc>
          <w:tcPr>
            <w:tcW w:w="2000" w:type="dxa"/>
            <w:vAlign w:val="bottom"/>
            <w:gridSpan w:val="6"/>
          </w:tcPr>
          <w:p>
            <w:pPr>
              <w:ind w:left="20"/>
              <w:spacing w:after="0"/>
              <w:rPr>
                <w:sz w:val="20"/>
                <w:szCs w:val="20"/>
                <w:color w:val="auto"/>
              </w:rPr>
            </w:pPr>
            <w:r>
              <w:rPr>
                <w:rFonts w:ascii="Arial" w:cs="Arial" w:eastAsia="Arial" w:hAnsi="Arial"/>
                <w:sz w:val="15"/>
                <w:szCs w:val="15"/>
                <w:color w:val="auto"/>
              </w:rPr>
              <w:t>Stress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91"/>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6"/>
        </w:trPr>
        <w:tc>
          <w:tcPr>
            <w:tcW w:w="4240" w:type="dxa"/>
            <w:vAlign w:val="bottom"/>
            <w:gridSpan w:val="4"/>
          </w:tcPr>
          <w:p>
            <w:pPr>
              <w:ind w:left="20"/>
              <w:spacing w:after="0"/>
              <w:rPr>
                <w:sz w:val="20"/>
                <w:szCs w:val="20"/>
                <w:color w:val="auto"/>
              </w:rPr>
            </w:pPr>
            <w:r>
              <w:rPr>
                <w:rFonts w:ascii="Arial" w:cs="Arial" w:eastAsia="Arial" w:hAnsi="Arial"/>
                <w:sz w:val="15"/>
                <w:szCs w:val="15"/>
                <w:color w:val="auto"/>
              </w:rPr>
              <w:t>Risk-weighted assets (standardized approach):</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6"/>
          </w:tcPr>
          <w:p>
            <w:pPr>
              <w:ind w:left="20"/>
              <w:spacing w:after="0"/>
              <w:rPr>
                <w:sz w:val="20"/>
                <w:szCs w:val="20"/>
                <w:color w:val="auto"/>
              </w:rPr>
            </w:pPr>
            <w:r>
              <w:rPr>
                <w:rFonts w:ascii="Arial" w:cs="Arial" w:eastAsia="Arial" w:hAnsi="Arial"/>
                <w:sz w:val="15"/>
                <w:szCs w:val="15"/>
                <w:color w:val="auto"/>
              </w:rPr>
              <w:t>Stability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2760" w:type="dxa"/>
            <w:vAlign w:val="bottom"/>
          </w:tcPr>
          <w:p>
            <w:pPr>
              <w:ind w:left="120"/>
              <w:spacing w:after="0"/>
              <w:rPr>
                <w:sz w:val="20"/>
                <w:szCs w:val="20"/>
                <w:color w:val="auto"/>
              </w:rPr>
            </w:pPr>
            <w:r>
              <w:rPr>
                <w:rFonts w:ascii="Arial" w:cs="Arial" w:eastAsia="Arial" w:hAnsi="Arial"/>
                <w:sz w:val="15"/>
                <w:szCs w:val="15"/>
                <w:color w:val="auto"/>
              </w:rPr>
              <w:t>Credit risk</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5"/>
          </w:tcPr>
          <w:p>
            <w:pPr>
              <w:jc w:val="right"/>
              <w:ind w:right="11"/>
              <w:spacing w:after="0"/>
              <w:rPr>
                <w:sz w:val="20"/>
                <w:szCs w:val="20"/>
                <w:color w:val="auto"/>
              </w:rPr>
            </w:pPr>
            <w:r>
              <w:rPr>
                <w:rFonts w:ascii="Arial" w:cs="Arial" w:eastAsia="Arial" w:hAnsi="Arial"/>
                <w:sz w:val="15"/>
                <w:szCs w:val="15"/>
                <w:color w:val="auto"/>
              </w:rPr>
              <w:t>1,209</w:t>
            </w:r>
          </w:p>
        </w:tc>
        <w:tc>
          <w:tcPr>
            <w:tcW w:w="140" w:type="dxa"/>
            <w:vAlign w:val="bottom"/>
          </w:tcPr>
          <w:p>
            <w:pPr>
              <w:spacing w:after="0"/>
              <w:rPr>
                <w:sz w:val="17"/>
                <w:szCs w:val="17"/>
                <w:color w:val="auto"/>
              </w:rPr>
            </w:pPr>
          </w:p>
        </w:tc>
        <w:tc>
          <w:tcPr>
            <w:tcW w:w="2000" w:type="dxa"/>
            <w:vAlign w:val="bottom"/>
            <w:tcBorders>
              <w:bottom w:val="single" w:sz="8" w:color="2C6937"/>
            </w:tcBorders>
            <w:gridSpan w:val="6"/>
          </w:tcPr>
          <w:p>
            <w:pPr>
              <w:ind w:left="20"/>
              <w:spacing w:after="0"/>
              <w:rPr>
                <w:sz w:val="20"/>
                <w:szCs w:val="20"/>
                <w:color w:val="auto"/>
              </w:rPr>
            </w:pPr>
            <w:r>
              <w:rPr>
                <w:rFonts w:ascii="Arial" w:cs="Arial" w:eastAsia="Arial" w:hAnsi="Arial"/>
                <w:sz w:val="15"/>
                <w:szCs w:val="15"/>
                <w:color w:val="auto"/>
              </w:rPr>
              <w:t>Countercyclical capital buffer</w:t>
            </w:r>
          </w:p>
        </w:tc>
        <w:tc>
          <w:tcPr>
            <w:tcW w:w="3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2760" w:type="dxa"/>
            <w:vAlign w:val="bottom"/>
          </w:tcPr>
          <w:p>
            <w:pPr>
              <w:ind w:left="120"/>
              <w:spacing w:after="0"/>
              <w:rPr>
                <w:sz w:val="20"/>
                <w:szCs w:val="20"/>
                <w:color w:val="auto"/>
              </w:rPr>
            </w:pPr>
            <w:r>
              <w:rPr>
                <w:rFonts w:ascii="Arial" w:cs="Arial" w:eastAsia="Arial" w:hAnsi="Arial"/>
                <w:sz w:val="15"/>
                <w:szCs w:val="15"/>
                <w:color w:val="auto"/>
              </w:rPr>
              <w:t>Market risk</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ind w:right="11"/>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60" w:type="dxa"/>
            <w:vAlign w:val="bottom"/>
          </w:tcPr>
          <w:p>
            <w:pPr>
              <w:ind w:left="120"/>
              <w:spacing w:after="0"/>
              <w:rPr>
                <w:sz w:val="20"/>
                <w:szCs w:val="20"/>
                <w:color w:val="auto"/>
              </w:rPr>
            </w:pPr>
            <w:r>
              <w:rPr>
                <w:rFonts w:ascii="Arial" w:cs="Arial" w:eastAsia="Arial" w:hAnsi="Arial"/>
                <w:sz w:val="15"/>
                <w:szCs w:val="15"/>
                <w:color w:val="auto"/>
              </w:rPr>
              <w:t>Operational risk</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ind w:right="11"/>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9"/>
                <w:szCs w:val="19"/>
                <w:color w:val="auto"/>
              </w:rPr>
            </w:pPr>
          </w:p>
        </w:tc>
        <w:tc>
          <w:tcPr>
            <w:tcW w:w="3700" w:type="dxa"/>
            <w:vAlign w:val="bottom"/>
            <w:gridSpan w:val="14"/>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560" w:type="dxa"/>
            <w:vAlign w:val="bottom"/>
            <w:gridSpan w:val="2"/>
          </w:tcPr>
          <w:p>
            <w:pPr>
              <w:jc w:val="right"/>
              <w:ind w:right="391"/>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40"/>
        </w:trPr>
        <w:tc>
          <w:tcPr>
            <w:tcW w:w="2760" w:type="dxa"/>
            <w:vAlign w:val="bottom"/>
            <w:tcBorders>
              <w:bottom w:val="single" w:sz="8" w:color="2C6937"/>
            </w:tcBorders>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118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2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2C6937"/>
            </w:tcBorders>
          </w:tcPr>
          <w:p>
            <w:pPr>
              <w:spacing w:after="0"/>
              <w:rPr>
                <w:sz w:val="3"/>
                <w:szCs w:val="3"/>
                <w:color w:val="auto"/>
              </w:rPr>
            </w:pPr>
          </w:p>
        </w:tc>
        <w:tc>
          <w:tcPr>
            <w:tcW w:w="4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22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top w:val="single" w:sz="8" w:color="2C6937"/>
              <w:bottom w:val="single" w:sz="8" w:color="2C6937"/>
            </w:tcBorders>
          </w:tcPr>
          <w:p>
            <w:pPr>
              <w:spacing w:after="0"/>
              <w:rPr>
                <w:sz w:val="3"/>
                <w:szCs w:val="3"/>
                <w:color w:val="auto"/>
              </w:rPr>
            </w:pPr>
          </w:p>
        </w:tc>
        <w:tc>
          <w:tcPr>
            <w:tcW w:w="40" w:type="dxa"/>
            <w:vAlign w:val="bottom"/>
            <w:tcBorders>
              <w:top w:val="single" w:sz="8" w:color="2C6937"/>
              <w:bottom w:val="single" w:sz="8" w:color="2C6937"/>
            </w:tcBorders>
          </w:tcPr>
          <w:p>
            <w:pPr>
              <w:spacing w:after="0"/>
              <w:rPr>
                <w:sz w:val="3"/>
                <w:szCs w:val="3"/>
                <w:color w:val="auto"/>
              </w:rPr>
            </w:pPr>
          </w:p>
        </w:tc>
        <w:tc>
          <w:tcPr>
            <w:tcW w:w="60" w:type="dxa"/>
            <w:vAlign w:val="bottom"/>
            <w:tcBorders>
              <w:top w:val="single" w:sz="8" w:color="2C6937"/>
              <w:bottom w:val="single" w:sz="8" w:color="2C6937"/>
            </w:tcBorders>
          </w:tcPr>
          <w:p>
            <w:pPr>
              <w:spacing w:after="0"/>
              <w:rPr>
                <w:sz w:val="3"/>
                <w:szCs w:val="3"/>
                <w:color w:val="auto"/>
              </w:rPr>
            </w:pPr>
          </w:p>
        </w:tc>
        <w:tc>
          <w:tcPr>
            <w:tcW w:w="220" w:type="dxa"/>
            <w:vAlign w:val="bottom"/>
            <w:tcBorders>
              <w:top w:val="single" w:sz="8" w:color="2C6937"/>
              <w:bottom w:val="single" w:sz="8" w:color="2C6937"/>
            </w:tcBorders>
          </w:tcPr>
          <w:p>
            <w:pPr>
              <w:spacing w:after="0"/>
              <w:rPr>
                <w:sz w:val="3"/>
                <w:szCs w:val="3"/>
                <w:color w:val="auto"/>
              </w:rPr>
            </w:pPr>
          </w:p>
        </w:tc>
        <w:tc>
          <w:tcPr>
            <w:tcW w:w="80" w:type="dxa"/>
            <w:vAlign w:val="bottom"/>
            <w:tcBorders>
              <w:top w:val="single" w:sz="8" w:color="2C6937"/>
              <w:bottom w:val="single" w:sz="8" w:color="2C6937"/>
            </w:tcBorders>
          </w:tcPr>
          <w:p>
            <w:pPr>
              <w:spacing w:after="0"/>
              <w:rPr>
                <w:sz w:val="3"/>
                <w:szCs w:val="3"/>
                <w:color w:val="auto"/>
              </w:rPr>
            </w:pPr>
          </w:p>
        </w:tc>
        <w:tc>
          <w:tcPr>
            <w:tcW w:w="980" w:type="dxa"/>
            <w:vAlign w:val="bottom"/>
            <w:tcBorders>
              <w:top w:val="single" w:sz="8" w:color="2C6937"/>
              <w:bottom w:val="single" w:sz="8" w:color="2C6937"/>
            </w:tcBorders>
          </w:tcPr>
          <w:p>
            <w:pPr>
              <w:spacing w:after="0"/>
              <w:rPr>
                <w:sz w:val="3"/>
                <w:szCs w:val="3"/>
                <w:color w:val="auto"/>
              </w:rPr>
            </w:pPr>
          </w:p>
        </w:tc>
        <w:tc>
          <w:tcPr>
            <w:tcW w:w="340" w:type="dxa"/>
            <w:vAlign w:val="bottom"/>
            <w:tcBorders>
              <w:top w:val="single" w:sz="8" w:color="2C6937"/>
              <w:bottom w:val="single" w:sz="8" w:color="2C6937"/>
            </w:tcBorders>
          </w:tcPr>
          <w:p>
            <w:pPr>
              <w:spacing w:after="0"/>
              <w:rPr>
                <w:sz w:val="3"/>
                <w:szCs w:val="3"/>
                <w:color w:val="auto"/>
              </w:rPr>
            </w:pPr>
          </w:p>
        </w:tc>
        <w:tc>
          <w:tcPr>
            <w:tcW w:w="80" w:type="dxa"/>
            <w:vAlign w:val="bottom"/>
            <w:tcBorders>
              <w:top w:val="single" w:sz="8" w:color="2C6937"/>
              <w:bottom w:val="single" w:sz="8" w:color="2C6937"/>
            </w:tcBorders>
          </w:tcPr>
          <w:p>
            <w:pPr>
              <w:spacing w:after="0"/>
              <w:rPr>
                <w:sz w:val="3"/>
                <w:szCs w:val="3"/>
                <w:color w:val="auto"/>
              </w:rPr>
            </w:pPr>
          </w:p>
        </w:tc>
        <w:tc>
          <w:tcPr>
            <w:tcW w:w="780" w:type="dxa"/>
            <w:vAlign w:val="bottom"/>
            <w:tcBorders>
              <w:top w:val="single" w:sz="8" w:color="2C6937"/>
              <w:bottom w:val="single" w:sz="8" w:color="2C6937"/>
            </w:tcBorders>
          </w:tcPr>
          <w:p>
            <w:pPr>
              <w:spacing w:after="0"/>
              <w:rPr>
                <w:sz w:val="3"/>
                <w:szCs w:val="3"/>
                <w:color w:val="auto"/>
              </w:rPr>
            </w:pPr>
          </w:p>
        </w:tc>
        <w:tc>
          <w:tcPr>
            <w:tcW w:w="140" w:type="dxa"/>
            <w:vAlign w:val="bottom"/>
            <w:tcBorders>
              <w:top w:val="single" w:sz="8" w:color="2C6937"/>
              <w:bottom w:val="single" w:sz="8" w:color="2C6937"/>
            </w:tcBorders>
          </w:tcPr>
          <w:p>
            <w:pPr>
              <w:spacing w:after="0"/>
              <w:rPr>
                <w:sz w:val="3"/>
                <w:szCs w:val="3"/>
                <w:color w:val="auto"/>
              </w:rPr>
            </w:pPr>
          </w:p>
        </w:tc>
        <w:tc>
          <w:tcPr>
            <w:tcW w:w="20" w:type="dxa"/>
            <w:vAlign w:val="bottom"/>
            <w:tcBorders>
              <w:top w:val="single" w:sz="8" w:color="2C6937"/>
              <w:bottom w:val="single" w:sz="8" w:color="2C6937"/>
            </w:tcBorders>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top w:val="single" w:sz="8" w:color="2C6937"/>
              <w:bottom w:val="single" w:sz="8" w:color="2C6937"/>
            </w:tcBorders>
          </w:tcPr>
          <w:p>
            <w:pPr>
              <w:spacing w:after="0"/>
              <w:rPr>
                <w:sz w:val="3"/>
                <w:szCs w:val="3"/>
                <w:color w:val="auto"/>
              </w:rPr>
            </w:pPr>
          </w:p>
        </w:tc>
        <w:tc>
          <w:tcPr>
            <w:tcW w:w="500" w:type="dxa"/>
            <w:vAlign w:val="bottom"/>
            <w:tcBorders>
              <w:top w:val="single" w:sz="8" w:color="2C6937"/>
              <w:bottom w:val="single" w:sz="8" w:color="2C6937"/>
            </w:tcBorders>
          </w:tcPr>
          <w:p>
            <w:pPr>
              <w:spacing w:after="0"/>
              <w:rPr>
                <w:sz w:val="3"/>
                <w:szCs w:val="3"/>
                <w:color w:val="auto"/>
              </w:rPr>
            </w:pPr>
          </w:p>
        </w:tc>
        <w:tc>
          <w:tcPr>
            <w:tcW w:w="760" w:type="dxa"/>
            <w:vAlign w:val="bottom"/>
            <w:tcBorders>
              <w:top w:val="single" w:sz="8" w:color="2C6937"/>
              <w:bottom w:val="single" w:sz="8" w:color="2C6937"/>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7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Total risk-weighted assets</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5"/>
          </w:tcPr>
          <w:p>
            <w:pPr>
              <w:jc w:val="right"/>
              <w:ind w:right="531"/>
              <w:spacing w:after="0" w:line="165" w:lineRule="exact"/>
              <w:rPr>
                <w:sz w:val="20"/>
                <w:szCs w:val="20"/>
                <w:color w:val="auto"/>
              </w:rPr>
            </w:pPr>
            <w:r>
              <w:rPr>
                <w:rFonts w:ascii="Arial" w:cs="Arial" w:eastAsia="Arial" w:hAnsi="Arial"/>
                <w:sz w:val="15"/>
                <w:szCs w:val="15"/>
                <w:color w:val="auto"/>
              </w:rPr>
              <w:t>$</w:t>
            </w:r>
          </w:p>
        </w:tc>
        <w:tc>
          <w:tcPr>
            <w:tcW w:w="620" w:type="dxa"/>
            <w:vAlign w:val="bottom"/>
            <w:gridSpan w:val="5"/>
          </w:tcPr>
          <w:p>
            <w:pPr>
              <w:jc w:val="right"/>
              <w:ind w:right="11"/>
              <w:spacing w:after="0" w:line="165" w:lineRule="exact"/>
              <w:rPr>
                <w:sz w:val="20"/>
                <w:szCs w:val="20"/>
                <w:color w:val="auto"/>
              </w:rPr>
            </w:pPr>
            <w:r>
              <w:rPr>
                <w:rFonts w:ascii="Arial" w:cs="Arial" w:eastAsia="Arial" w:hAnsi="Arial"/>
                <w:sz w:val="15"/>
                <w:szCs w:val="15"/>
                <w:color w:val="auto"/>
              </w:rPr>
              <w:t>1,323</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Total Capital</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w w:val="95"/>
              </w:rPr>
              <w:t>Applicable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Requirement</w:t>
            </w:r>
          </w:p>
        </w:tc>
        <w:tc>
          <w:tcPr>
            <w:tcW w:w="1280" w:type="dxa"/>
            <w:vAlign w:val="bottom"/>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8"/>
              </w:rPr>
              <w:t>Available Capital</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Ratio Requirement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Requirement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(including Buffers)</w:t>
            </w:r>
          </w:p>
        </w:tc>
        <w:tc>
          <w:tcPr>
            <w:tcW w:w="94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rPr>
              <w:t>(Deficit)</w:t>
            </w:r>
            <w:r>
              <w:rPr>
                <w:rFonts w:ascii="Arial" w:cs="Arial" w:eastAsia="Arial" w:hAnsi="Arial"/>
                <w:sz w:val="8"/>
                <w:szCs w:val="8"/>
                <w:b w:val="1"/>
                <w:bCs w:val="1"/>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Capital Shortfall</w:t>
            </w:r>
            <w:r>
              <w:rPr>
                <w:rFonts w:ascii="Arial" w:cs="Arial" w:eastAsia="Arial" w:hAnsi="Arial"/>
                <w:sz w:val="17"/>
                <w:szCs w:val="17"/>
                <w:b w:val="1"/>
                <w:bCs w:val="1"/>
                <w:color w:val="auto"/>
                <w:w w:val="98"/>
                <w:vertAlign w:val="superscript"/>
              </w:rPr>
              <w:t>(4)</w:t>
            </w:r>
          </w:p>
        </w:tc>
        <w:tc>
          <w:tcPr>
            <w:tcW w:w="0" w:type="dxa"/>
            <w:vAlign w:val="bottom"/>
          </w:tcPr>
          <w:p>
            <w:pPr>
              <w:spacing w:after="0"/>
              <w:rPr>
                <w:sz w:val="1"/>
                <w:szCs w:val="1"/>
                <w:color w:val="auto"/>
              </w:rPr>
            </w:pPr>
          </w:p>
        </w:tc>
      </w:tr>
      <w:tr>
        <w:trPr>
          <w:trHeight w:val="176"/>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Pr>
          <w:p>
            <w:pPr>
              <w:spacing w:after="0"/>
              <w:rPr>
                <w:sz w:val="15"/>
                <w:szCs w:val="15"/>
                <w:color w:val="auto"/>
              </w:rPr>
            </w:pPr>
          </w:p>
        </w:tc>
        <w:tc>
          <w:tcPr>
            <w:tcW w:w="118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0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spacing w:after="0"/>
              <w:rPr>
                <w:sz w:val="15"/>
                <w:szCs w:val="15"/>
                <w:color w:val="auto"/>
              </w:rPr>
            </w:pPr>
          </w:p>
        </w:tc>
        <w:tc>
          <w:tcPr>
            <w:tcW w:w="4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620" w:type="dxa"/>
            <w:vAlign w:val="bottom"/>
            <w:tcBorders>
              <w:top w:val="single" w:sz="8" w:color="2C6937"/>
            </w:tcBorders>
          </w:tcPr>
          <w:p>
            <w:pPr>
              <w:spacing w:after="0"/>
              <w:rPr>
                <w:sz w:val="15"/>
                <w:szCs w:val="15"/>
                <w:color w:val="auto"/>
              </w:rPr>
            </w:pPr>
          </w:p>
        </w:tc>
        <w:tc>
          <w:tcPr>
            <w:tcW w:w="40" w:type="dxa"/>
            <w:vAlign w:val="bottom"/>
            <w:tcBorders>
              <w:top w:val="single" w:sz="8" w:color="2C6937"/>
            </w:tcBorders>
          </w:tcPr>
          <w:p>
            <w:pPr>
              <w:spacing w:after="0"/>
              <w:rPr>
                <w:sz w:val="15"/>
                <w:szCs w:val="15"/>
                <w:color w:val="auto"/>
              </w:rPr>
            </w:pPr>
          </w:p>
        </w:tc>
        <w:tc>
          <w:tcPr>
            <w:tcW w:w="60" w:type="dxa"/>
            <w:vAlign w:val="bottom"/>
            <w:tcBorders>
              <w:top w:val="single" w:sz="8" w:color="2C6937"/>
            </w:tcBorders>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2C6937"/>
            </w:tcBorders>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200" w:type="dxa"/>
            <w:vAlign w:val="bottom"/>
            <w:tcBorders>
              <w:top w:val="single" w:sz="8" w:color="2C6937"/>
            </w:tcBorders>
          </w:tcPr>
          <w:p>
            <w:pPr>
              <w:spacing w:after="0"/>
              <w:rPr>
                <w:sz w:val="15"/>
                <w:szCs w:val="15"/>
                <w:color w:val="auto"/>
              </w:rPr>
            </w:pPr>
          </w:p>
        </w:tc>
        <w:tc>
          <w:tcPr>
            <w:tcW w:w="120" w:type="dxa"/>
            <w:vAlign w:val="bottom"/>
            <w:tcBorders>
              <w:top w:val="single" w:sz="8" w:color="2C6937"/>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240"/>
              <w:spacing w:after="0" w:line="218"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1680" w:type="dxa"/>
            <w:vAlign w:val="bottom"/>
            <w:gridSpan w:val="4"/>
          </w:tcPr>
          <w:p>
            <w:pPr>
              <w:ind w:left="1280"/>
              <w:spacing w:after="0"/>
              <w:rPr>
                <w:sz w:val="20"/>
                <w:szCs w:val="20"/>
                <w:color w:val="auto"/>
              </w:rPr>
            </w:pPr>
            <w:r>
              <w:rPr>
                <w:rFonts w:ascii="Arial" w:cs="Arial" w:eastAsia="Arial" w:hAnsi="Arial"/>
                <w:sz w:val="15"/>
                <w:szCs w:val="15"/>
                <w:color w:val="auto"/>
                <w:w w:val="98"/>
              </w:rPr>
              <w:t>8.0 %</w:t>
            </w:r>
          </w:p>
        </w:tc>
        <w:tc>
          <w:tcPr>
            <w:tcW w:w="300" w:type="dxa"/>
            <w:vAlign w:val="bottom"/>
            <w:gridSpan w:val="4"/>
          </w:tcPr>
          <w:p>
            <w:pPr>
              <w:jc w:val="right"/>
              <w:ind w:right="31"/>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center"/>
              <w:ind w:right="100"/>
              <w:spacing w:after="0"/>
              <w:rPr>
                <w:sz w:val="20"/>
                <w:szCs w:val="20"/>
                <w:color w:val="auto"/>
              </w:rPr>
            </w:pPr>
            <w:r>
              <w:rPr>
                <w:rFonts w:ascii="Arial" w:cs="Arial" w:eastAsia="Arial" w:hAnsi="Arial"/>
                <w:sz w:val="15"/>
                <w:szCs w:val="15"/>
                <w:color w:val="auto"/>
              </w:rPr>
              <w:t>N/A</w:t>
            </w:r>
          </w:p>
        </w:tc>
        <w:tc>
          <w:tcPr>
            <w:tcW w:w="980" w:type="dxa"/>
            <w:vAlign w:val="bottom"/>
          </w:tcPr>
          <w:p>
            <w:pPr>
              <w:jc w:val="right"/>
              <w:ind w:right="79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106</w:t>
            </w:r>
          </w:p>
        </w:tc>
        <w:tc>
          <w:tcPr>
            <w:tcW w:w="80" w:type="dxa"/>
            <w:vAlign w:val="bottom"/>
          </w:tcPr>
          <w:p>
            <w:pPr>
              <w:spacing w:after="0"/>
              <w:rPr>
                <w:sz w:val="18"/>
                <w:szCs w:val="18"/>
                <w:color w:val="auto"/>
              </w:rPr>
            </w:pPr>
          </w:p>
        </w:tc>
        <w:tc>
          <w:tcPr>
            <w:tcW w:w="780" w:type="dxa"/>
            <w:vAlign w:val="bottom"/>
          </w:tcPr>
          <w:p>
            <w:pPr>
              <w:jc w:val="right"/>
              <w:ind w:right="608"/>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8"/>
                <w:szCs w:val="18"/>
                <w:color w:val="auto"/>
              </w:rPr>
            </w:pPr>
          </w:p>
        </w:tc>
        <w:tc>
          <w:tcPr>
            <w:tcW w:w="560" w:type="dxa"/>
            <w:vAlign w:val="bottom"/>
            <w:gridSpan w:val="2"/>
          </w:tcPr>
          <w:p>
            <w:pPr>
              <w:jc w:val="right"/>
              <w:ind w:right="33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680" w:type="dxa"/>
            <w:vAlign w:val="bottom"/>
            <w:gridSpan w:val="4"/>
          </w:tcPr>
          <w:p>
            <w:pPr>
              <w:ind w:left="128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5"/>
                <w:szCs w:val="15"/>
                <w:color w:val="auto"/>
              </w:rPr>
              <w:t>60</w:t>
            </w:r>
          </w:p>
        </w:tc>
        <w:tc>
          <w:tcPr>
            <w:tcW w:w="28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center"/>
              <w:spacing w:after="0"/>
              <w:rPr>
                <w:sz w:val="20"/>
                <w:szCs w:val="20"/>
                <w:color w:val="auto"/>
              </w:rPr>
            </w:pPr>
            <w:r>
              <w:rPr>
                <w:rFonts w:ascii="Arial" w:cs="Arial" w:eastAsia="Arial" w:hAnsi="Arial"/>
                <w:sz w:val="15"/>
                <w:szCs w:val="15"/>
                <w:color w:val="auto"/>
                <w:w w:val="95"/>
              </w:rPr>
              <w:t>82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142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680" w:type="dxa"/>
            <w:vAlign w:val="bottom"/>
            <w:gridSpan w:val="4"/>
          </w:tcPr>
          <w:p>
            <w:pPr>
              <w:ind w:left="1280"/>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center"/>
              <w:spacing w:after="0"/>
              <w:rPr>
                <w:sz w:val="20"/>
                <w:szCs w:val="20"/>
                <w:color w:val="auto"/>
              </w:rPr>
            </w:pPr>
            <w:r>
              <w:rPr>
                <w:rFonts w:ascii="Arial" w:cs="Arial" w:eastAsia="Arial" w:hAnsi="Arial"/>
                <w:sz w:val="15"/>
                <w:szCs w:val="15"/>
                <w:color w:val="auto"/>
                <w:w w:val="95"/>
              </w:rPr>
              <w:t>82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161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680" w:type="dxa"/>
            <w:vAlign w:val="bottom"/>
            <w:gridSpan w:val="4"/>
          </w:tcPr>
          <w:p>
            <w:pPr>
              <w:ind w:left="1280"/>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center"/>
              <w:spacing w:after="0"/>
              <w:rPr>
                <w:sz w:val="20"/>
                <w:szCs w:val="20"/>
                <w:color w:val="auto"/>
              </w:rPr>
            </w:pPr>
            <w:r>
              <w:rPr>
                <w:rFonts w:ascii="Arial" w:cs="Arial" w:eastAsia="Arial" w:hAnsi="Arial"/>
                <w:sz w:val="15"/>
                <w:szCs w:val="15"/>
                <w:color w:val="auto"/>
                <w:w w:val="95"/>
              </w:rPr>
              <w:t>82</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188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97"/>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240"/>
              <w:spacing w:after="0" w:line="218"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1680" w:type="dxa"/>
            <w:vAlign w:val="bottom"/>
            <w:gridSpan w:val="4"/>
          </w:tcPr>
          <w:p>
            <w:pPr>
              <w:ind w:left="1280"/>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center"/>
              <w:ind w:right="100"/>
              <w:spacing w:after="0"/>
              <w:rPr>
                <w:sz w:val="20"/>
                <w:szCs w:val="20"/>
                <w:color w:val="auto"/>
              </w:rPr>
            </w:pPr>
            <w:r>
              <w:rPr>
                <w:rFonts w:ascii="Arial" w:cs="Arial" w:eastAsia="Arial" w:hAnsi="Arial"/>
                <w:sz w:val="15"/>
                <w:szCs w:val="15"/>
                <w:color w:val="auto"/>
              </w:rPr>
              <w:t>N/A</w:t>
            </w:r>
          </w:p>
        </w:tc>
        <w:tc>
          <w:tcPr>
            <w:tcW w:w="980" w:type="dxa"/>
            <w:vAlign w:val="bottom"/>
          </w:tcPr>
          <w:p>
            <w:pPr>
              <w:spacing w:after="0"/>
              <w:rPr>
                <w:sz w:val="18"/>
                <w:szCs w:val="18"/>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114</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680" w:type="dxa"/>
            <w:vAlign w:val="bottom"/>
            <w:gridSpan w:val="4"/>
          </w:tcPr>
          <w:p>
            <w:pPr>
              <w:ind w:left="1280"/>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center"/>
              <w:spacing w:after="0"/>
              <w:rPr>
                <w:sz w:val="20"/>
                <w:szCs w:val="20"/>
                <w:color w:val="auto"/>
              </w:rPr>
            </w:pPr>
            <w:r>
              <w:rPr>
                <w:rFonts w:ascii="Arial" w:cs="Arial" w:eastAsia="Arial" w:hAnsi="Arial"/>
                <w:sz w:val="15"/>
                <w:szCs w:val="15"/>
                <w:color w:val="auto"/>
                <w:w w:val="95"/>
              </w:rPr>
              <w:t>24</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138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484"/>
        </w:trPr>
        <w:tc>
          <w:tcPr>
            <w:tcW w:w="8640" w:type="dxa"/>
            <w:vAlign w:val="bottom"/>
            <w:tcBorders>
              <w:bottom w:val="single" w:sz="8" w:color="2C6937"/>
            </w:tcBorders>
            <w:gridSpan w:val="24"/>
          </w:tcPr>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2023</w:t>
            </w:r>
            <w:r>
              <w:rPr>
                <w:rFonts w:ascii="Arial" w:cs="Arial" w:eastAsia="Arial" w:hAnsi="Arial"/>
                <w:sz w:val="24"/>
                <w:szCs w:val="24"/>
                <w:b w:val="1"/>
                <w:bCs w:val="1"/>
                <w:color w:val="05314D"/>
                <w:vertAlign w:val="superscript"/>
              </w:rPr>
              <w:t>(1)</w:t>
            </w:r>
          </w:p>
        </w:tc>
        <w:tc>
          <w:tcPr>
            <w:tcW w:w="7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8"/>
              </w:rPr>
              <w:t>(Dollars in billions)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5"/>
          </w:tcPr>
          <w:p>
            <w:pPr>
              <w:jc w:val="right"/>
              <w:ind w:right="531"/>
              <w:spacing w:after="0"/>
              <w:rPr>
                <w:sz w:val="20"/>
                <w:szCs w:val="20"/>
                <w:color w:val="auto"/>
              </w:rPr>
            </w:pPr>
            <w:r>
              <w:rPr>
                <w:rFonts w:ascii="Arial" w:cs="Arial" w:eastAsia="Arial" w:hAnsi="Arial"/>
                <w:sz w:val="15"/>
                <w:szCs w:val="15"/>
                <w:color w:val="auto"/>
              </w:rPr>
              <w:t>$</w:t>
            </w:r>
          </w:p>
        </w:tc>
        <w:tc>
          <w:tcPr>
            <w:tcW w:w="620" w:type="dxa"/>
            <w:vAlign w:val="bottom"/>
            <w:gridSpan w:val="5"/>
          </w:tcPr>
          <w:p>
            <w:pPr>
              <w:jc w:val="right"/>
              <w:ind w:right="11"/>
              <w:spacing w:after="0"/>
              <w:rPr>
                <w:sz w:val="20"/>
                <w:szCs w:val="20"/>
                <w:color w:val="auto"/>
              </w:rPr>
            </w:pPr>
            <w:r>
              <w:rPr>
                <w:rFonts w:ascii="Arial" w:cs="Arial" w:eastAsia="Arial" w:hAnsi="Arial"/>
                <w:sz w:val="15"/>
                <w:szCs w:val="15"/>
                <w:color w:val="auto"/>
              </w:rPr>
              <w:t>4,552</w:t>
            </w:r>
          </w:p>
        </w:tc>
        <w:tc>
          <w:tcPr>
            <w:tcW w:w="140" w:type="dxa"/>
            <w:vAlign w:val="bottom"/>
          </w:tcPr>
          <w:p>
            <w:pPr>
              <w:spacing w:after="0"/>
              <w:rPr>
                <w:sz w:val="17"/>
                <w:szCs w:val="17"/>
                <w:color w:val="auto"/>
              </w:rPr>
            </w:pPr>
          </w:p>
        </w:tc>
        <w:tc>
          <w:tcPr>
            <w:tcW w:w="2000" w:type="dxa"/>
            <w:vAlign w:val="bottom"/>
            <w:gridSpan w:val="6"/>
          </w:tcPr>
          <w:p>
            <w:pPr>
              <w:ind w:left="20"/>
              <w:spacing w:after="0"/>
              <w:rPr>
                <w:sz w:val="20"/>
                <w:szCs w:val="20"/>
                <w:color w:val="auto"/>
              </w:rPr>
            </w:pPr>
            <w:r>
              <w:rPr>
                <w:rFonts w:ascii="Arial" w:cs="Arial" w:eastAsia="Arial" w:hAnsi="Arial"/>
                <w:sz w:val="15"/>
                <w:szCs w:val="15"/>
                <w:color w:val="auto"/>
              </w:rPr>
              <w:t>Stress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6"/>
        </w:trPr>
        <w:tc>
          <w:tcPr>
            <w:tcW w:w="4240" w:type="dxa"/>
            <w:vAlign w:val="bottom"/>
            <w:gridSpan w:val="4"/>
          </w:tcPr>
          <w:p>
            <w:pPr>
              <w:ind w:left="20"/>
              <w:spacing w:after="0"/>
              <w:rPr>
                <w:sz w:val="20"/>
                <w:szCs w:val="20"/>
                <w:color w:val="auto"/>
              </w:rPr>
            </w:pPr>
            <w:r>
              <w:rPr>
                <w:rFonts w:ascii="Arial" w:cs="Arial" w:eastAsia="Arial" w:hAnsi="Arial"/>
                <w:sz w:val="15"/>
                <w:szCs w:val="15"/>
                <w:color w:val="auto"/>
              </w:rPr>
              <w:t>Risk-weighted assets (standardized approach):</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6"/>
          </w:tcPr>
          <w:p>
            <w:pPr>
              <w:ind w:left="20"/>
              <w:spacing w:after="0"/>
              <w:rPr>
                <w:sz w:val="20"/>
                <w:szCs w:val="20"/>
                <w:color w:val="auto"/>
              </w:rPr>
            </w:pPr>
            <w:r>
              <w:rPr>
                <w:rFonts w:ascii="Arial" w:cs="Arial" w:eastAsia="Arial" w:hAnsi="Arial"/>
                <w:sz w:val="15"/>
                <w:szCs w:val="15"/>
                <w:color w:val="auto"/>
              </w:rPr>
              <w:t>Stability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6"/>
        </w:trPr>
        <w:tc>
          <w:tcPr>
            <w:tcW w:w="2760" w:type="dxa"/>
            <w:vAlign w:val="bottom"/>
          </w:tcPr>
          <w:p>
            <w:pPr>
              <w:ind w:left="120"/>
              <w:spacing w:after="0"/>
              <w:rPr>
                <w:sz w:val="20"/>
                <w:szCs w:val="20"/>
                <w:color w:val="auto"/>
              </w:rPr>
            </w:pPr>
            <w:r>
              <w:rPr>
                <w:rFonts w:ascii="Arial" w:cs="Arial" w:eastAsia="Arial" w:hAnsi="Arial"/>
                <w:sz w:val="15"/>
                <w:szCs w:val="15"/>
                <w:color w:val="auto"/>
              </w:rPr>
              <w:t>Credit risk</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5"/>
          </w:tcPr>
          <w:p>
            <w:pPr>
              <w:jc w:val="right"/>
              <w:ind w:right="11"/>
              <w:spacing w:after="0"/>
              <w:rPr>
                <w:sz w:val="20"/>
                <w:szCs w:val="20"/>
                <w:color w:val="auto"/>
              </w:rPr>
            </w:pPr>
            <w:r>
              <w:rPr>
                <w:rFonts w:ascii="Arial" w:cs="Arial" w:eastAsia="Arial" w:hAnsi="Arial"/>
                <w:sz w:val="15"/>
                <w:szCs w:val="15"/>
                <w:color w:val="auto"/>
              </w:rPr>
              <w:t>1,241</w:t>
            </w:r>
          </w:p>
        </w:tc>
        <w:tc>
          <w:tcPr>
            <w:tcW w:w="140" w:type="dxa"/>
            <w:vAlign w:val="bottom"/>
          </w:tcPr>
          <w:p>
            <w:pPr>
              <w:spacing w:after="0"/>
              <w:rPr>
                <w:sz w:val="17"/>
                <w:szCs w:val="17"/>
                <w:color w:val="auto"/>
              </w:rPr>
            </w:pPr>
          </w:p>
        </w:tc>
        <w:tc>
          <w:tcPr>
            <w:tcW w:w="2000" w:type="dxa"/>
            <w:vAlign w:val="bottom"/>
            <w:tcBorders>
              <w:bottom w:val="single" w:sz="8" w:color="2C6937"/>
            </w:tcBorders>
            <w:gridSpan w:val="6"/>
          </w:tcPr>
          <w:p>
            <w:pPr>
              <w:ind w:left="20"/>
              <w:spacing w:after="0"/>
              <w:rPr>
                <w:sz w:val="20"/>
                <w:szCs w:val="20"/>
                <w:color w:val="auto"/>
              </w:rPr>
            </w:pPr>
            <w:r>
              <w:rPr>
                <w:rFonts w:ascii="Arial" w:cs="Arial" w:eastAsia="Arial" w:hAnsi="Arial"/>
                <w:sz w:val="15"/>
                <w:szCs w:val="15"/>
                <w:color w:val="auto"/>
              </w:rPr>
              <w:t>Countercyclical capital buffer</w:t>
            </w:r>
          </w:p>
        </w:tc>
        <w:tc>
          <w:tcPr>
            <w:tcW w:w="3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2760" w:type="dxa"/>
            <w:vAlign w:val="bottom"/>
          </w:tcPr>
          <w:p>
            <w:pPr>
              <w:ind w:left="120"/>
              <w:spacing w:after="0"/>
              <w:rPr>
                <w:sz w:val="20"/>
                <w:szCs w:val="20"/>
                <w:color w:val="auto"/>
              </w:rPr>
            </w:pPr>
            <w:r>
              <w:rPr>
                <w:rFonts w:ascii="Arial" w:cs="Arial" w:eastAsia="Arial" w:hAnsi="Arial"/>
                <w:sz w:val="15"/>
                <w:szCs w:val="15"/>
                <w:color w:val="auto"/>
              </w:rPr>
              <w:t>Market risk</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gridSpan w:val="2"/>
          </w:tcPr>
          <w:p>
            <w:pPr>
              <w:jc w:val="right"/>
              <w:ind w:right="11"/>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20"/>
                <w:szCs w:val="20"/>
                <w:color w:val="auto"/>
              </w:rPr>
            </w:pPr>
          </w:p>
        </w:tc>
        <w:tc>
          <w:tcPr>
            <w:tcW w:w="3360" w:type="dxa"/>
            <w:vAlign w:val="bottom"/>
            <w:gridSpan w:val="11"/>
            <w:vMerge w:val="restart"/>
          </w:tcPr>
          <w:p>
            <w:pPr>
              <w:ind w:left="20"/>
              <w:spacing w:after="0"/>
              <w:rPr>
                <w:sz w:val="20"/>
                <w:szCs w:val="20"/>
                <w:color w:val="auto"/>
              </w:rPr>
            </w:pPr>
            <w:r>
              <w:rPr>
                <w:rFonts w:ascii="Arial" w:cs="Arial" w:eastAsia="Arial" w:hAnsi="Arial"/>
                <w:sz w:val="15"/>
                <w:szCs w:val="15"/>
                <w:b w:val="1"/>
                <w:bCs w:val="1"/>
                <w:color w:val="auto"/>
              </w:rPr>
              <w:t>Prescribed capital conservation buffer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6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60" w:type="dxa"/>
            <w:vAlign w:val="bottom"/>
          </w:tcPr>
          <w:p>
            <w:pPr>
              <w:ind w:left="120"/>
              <w:spacing w:after="0"/>
              <w:rPr>
                <w:sz w:val="20"/>
                <w:szCs w:val="20"/>
                <w:color w:val="auto"/>
              </w:rPr>
            </w:pPr>
            <w:r>
              <w:rPr>
                <w:rFonts w:ascii="Arial" w:cs="Arial" w:eastAsia="Arial" w:hAnsi="Arial"/>
                <w:sz w:val="15"/>
                <w:szCs w:val="15"/>
                <w:color w:val="auto"/>
              </w:rPr>
              <w:t>Operational risk</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jc w:val="right"/>
              <w:ind w:right="11"/>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66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40"/>
        </w:trPr>
        <w:tc>
          <w:tcPr>
            <w:tcW w:w="2760" w:type="dxa"/>
            <w:vAlign w:val="bottom"/>
            <w:tcBorders>
              <w:bottom w:val="single" w:sz="8" w:color="2C6937"/>
            </w:tcBorders>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118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2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2C6937"/>
            </w:tcBorders>
          </w:tcPr>
          <w:p>
            <w:pPr>
              <w:spacing w:after="0"/>
              <w:rPr>
                <w:sz w:val="3"/>
                <w:szCs w:val="3"/>
                <w:color w:val="auto"/>
              </w:rPr>
            </w:pPr>
          </w:p>
        </w:tc>
        <w:tc>
          <w:tcPr>
            <w:tcW w:w="4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22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2C6937"/>
            </w:tcBorders>
          </w:tcPr>
          <w:p>
            <w:pPr>
              <w:spacing w:after="0"/>
              <w:rPr>
                <w:sz w:val="3"/>
                <w:szCs w:val="3"/>
                <w:color w:val="auto"/>
              </w:rPr>
            </w:pPr>
          </w:p>
        </w:tc>
        <w:tc>
          <w:tcPr>
            <w:tcW w:w="4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22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980" w:type="dxa"/>
            <w:vAlign w:val="bottom"/>
            <w:tcBorders>
              <w:bottom w:val="single" w:sz="8" w:color="2C6937"/>
            </w:tcBorders>
          </w:tcPr>
          <w:p>
            <w:pPr>
              <w:spacing w:after="0"/>
              <w:rPr>
                <w:sz w:val="3"/>
                <w:szCs w:val="3"/>
                <w:color w:val="auto"/>
              </w:rPr>
            </w:pPr>
          </w:p>
        </w:tc>
        <w:tc>
          <w:tcPr>
            <w:tcW w:w="34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78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2C6937"/>
            </w:tcBorders>
          </w:tcPr>
          <w:p>
            <w:pPr>
              <w:spacing w:after="0"/>
              <w:rPr>
                <w:sz w:val="3"/>
                <w:szCs w:val="3"/>
                <w:color w:val="auto"/>
              </w:rPr>
            </w:pPr>
          </w:p>
        </w:tc>
        <w:tc>
          <w:tcPr>
            <w:tcW w:w="200" w:type="dxa"/>
            <w:vAlign w:val="bottom"/>
            <w:tcBorders>
              <w:bottom w:val="single" w:sz="8" w:color="2C6937"/>
            </w:tcBorders>
          </w:tcPr>
          <w:p>
            <w:pPr>
              <w:spacing w:after="0"/>
              <w:rPr>
                <w:sz w:val="3"/>
                <w:szCs w:val="3"/>
                <w:color w:val="auto"/>
              </w:rPr>
            </w:pPr>
          </w:p>
        </w:tc>
        <w:tc>
          <w:tcPr>
            <w:tcW w:w="120" w:type="dxa"/>
            <w:vAlign w:val="bottom"/>
            <w:tcBorders>
              <w:bottom w:val="single" w:sz="8" w:color="2C6937"/>
            </w:tcBorders>
          </w:tcPr>
          <w:p>
            <w:pPr>
              <w:spacing w:after="0"/>
              <w:rPr>
                <w:sz w:val="3"/>
                <w:szCs w:val="3"/>
                <w:color w:val="auto"/>
              </w:rPr>
            </w:pPr>
          </w:p>
        </w:tc>
        <w:tc>
          <w:tcPr>
            <w:tcW w:w="2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500" w:type="dxa"/>
            <w:vAlign w:val="bottom"/>
            <w:tcBorders>
              <w:bottom w:val="single" w:sz="8" w:color="2C6937"/>
            </w:tcBorders>
          </w:tcPr>
          <w:p>
            <w:pPr>
              <w:spacing w:after="0"/>
              <w:rPr>
                <w:sz w:val="3"/>
                <w:szCs w:val="3"/>
                <w:color w:val="auto"/>
              </w:rPr>
            </w:pPr>
          </w:p>
        </w:tc>
        <w:tc>
          <w:tcPr>
            <w:tcW w:w="760" w:type="dxa"/>
            <w:vAlign w:val="bottom"/>
            <w:tcBorders>
              <w:bottom w:val="single" w:sz="8" w:color="2C6937"/>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7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Total risk-weighted assets</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5"/>
          </w:tcPr>
          <w:p>
            <w:pPr>
              <w:jc w:val="right"/>
              <w:ind w:right="531"/>
              <w:spacing w:after="0" w:line="165" w:lineRule="exact"/>
              <w:rPr>
                <w:sz w:val="20"/>
                <w:szCs w:val="20"/>
                <w:color w:val="auto"/>
              </w:rPr>
            </w:pPr>
            <w:r>
              <w:rPr>
                <w:rFonts w:ascii="Arial" w:cs="Arial" w:eastAsia="Arial" w:hAnsi="Arial"/>
                <w:sz w:val="15"/>
                <w:szCs w:val="15"/>
                <w:color w:val="auto"/>
              </w:rPr>
              <w:t>$</w:t>
            </w:r>
          </w:p>
        </w:tc>
        <w:tc>
          <w:tcPr>
            <w:tcW w:w="620" w:type="dxa"/>
            <w:vAlign w:val="bottom"/>
            <w:gridSpan w:val="5"/>
          </w:tcPr>
          <w:p>
            <w:pPr>
              <w:jc w:val="right"/>
              <w:ind w:right="11"/>
              <w:spacing w:after="0" w:line="165" w:lineRule="exact"/>
              <w:rPr>
                <w:sz w:val="20"/>
                <w:szCs w:val="20"/>
                <w:color w:val="auto"/>
              </w:rPr>
            </w:pPr>
            <w:r>
              <w:rPr>
                <w:rFonts w:ascii="Arial" w:cs="Arial" w:eastAsia="Arial" w:hAnsi="Arial"/>
                <w:sz w:val="15"/>
                <w:szCs w:val="15"/>
                <w:color w:val="auto"/>
              </w:rPr>
              <w:t>1,357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Capital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2760" w:type="dxa"/>
            <w:vAlign w:val="bottom"/>
          </w:tcPr>
          <w:p>
            <w:pPr>
              <w:spacing w:after="0"/>
              <w:rPr>
                <w:sz w:val="24"/>
                <w:szCs w:val="24"/>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2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Minimum Capital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8"/>
              </w:rPr>
              <w:t>Applicable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98"/>
              </w:rPr>
              <w:t>Available Capital</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22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5"/>
          </w:tcPr>
          <w:p>
            <w:pPr>
              <w:jc w:val="right"/>
              <w:ind w:right="120"/>
              <w:spacing w:after="0" w:line="153" w:lineRule="exact"/>
              <w:rPr>
                <w:sz w:val="20"/>
                <w:szCs w:val="20"/>
                <w:color w:val="auto"/>
              </w:rPr>
            </w:pPr>
            <w:r>
              <w:rPr>
                <w:rFonts w:ascii="Arial" w:cs="Arial" w:eastAsia="Arial" w:hAnsi="Arial"/>
                <w:sz w:val="14"/>
                <w:szCs w:val="14"/>
                <w:b w:val="1"/>
                <w:bCs w:val="1"/>
                <w:color w:val="auto"/>
                <w:w w:val="99"/>
              </w:rPr>
              <w:t>Requirement (including</w:t>
            </w:r>
          </w:p>
        </w:tc>
        <w:tc>
          <w:tcPr>
            <w:tcW w:w="128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Ratio Requirement</w:t>
            </w:r>
          </w:p>
        </w:tc>
        <w:tc>
          <w:tcPr>
            <w:tcW w:w="200" w:type="dxa"/>
            <w:vAlign w:val="bottom"/>
          </w:tcPr>
          <w:p>
            <w:pPr>
              <w:spacing w:after="0"/>
              <w:rPr>
                <w:sz w:val="17"/>
                <w:szCs w:val="17"/>
                <w:color w:val="auto"/>
              </w:rPr>
            </w:pPr>
          </w:p>
        </w:tc>
        <w:tc>
          <w:tcPr>
            <w:tcW w:w="102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w w:val="95"/>
              </w:rPr>
              <w:t>Requirement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Buffers</w:t>
            </w:r>
            <w:r>
              <w:rPr>
                <w:rFonts w:ascii="Arial" w:cs="Arial" w:eastAsia="Arial" w:hAnsi="Arial"/>
                <w:sz w:val="17"/>
                <w:szCs w:val="17"/>
                <w:b w:val="1"/>
                <w:bCs w:val="1"/>
                <w:color w:val="auto"/>
                <w:w w:val="95"/>
                <w:vertAlign w:val="superscript"/>
              </w:rPr>
              <w:t>(2)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Buffers)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3"/>
              </w:rPr>
              <w:t>(Deficit)</w:t>
            </w:r>
            <w:r>
              <w:rPr>
                <w:rFonts w:ascii="Arial" w:cs="Arial" w:eastAsia="Arial" w:hAnsi="Arial"/>
                <w:sz w:val="17"/>
                <w:szCs w:val="17"/>
                <w:b w:val="1"/>
                <w:bCs w:val="1"/>
                <w:color w:val="auto"/>
                <w:w w:val="93"/>
                <w:vertAlign w:val="superscript"/>
              </w:rPr>
              <w:t>(3)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Capital Shortfall</w:t>
            </w:r>
            <w:r>
              <w:rPr>
                <w:rFonts w:ascii="Arial" w:cs="Arial" w:eastAsia="Arial" w:hAnsi="Arial"/>
                <w:sz w:val="17"/>
                <w:szCs w:val="17"/>
                <w:b w:val="1"/>
                <w:bCs w:val="1"/>
                <w:color w:val="auto"/>
                <w:w w:val="98"/>
                <w:vertAlign w:val="superscript"/>
              </w:rPr>
              <w:t>(4)</w:t>
            </w:r>
          </w:p>
        </w:tc>
        <w:tc>
          <w:tcPr>
            <w:tcW w:w="0" w:type="dxa"/>
            <w:vAlign w:val="bottom"/>
          </w:tcPr>
          <w:p>
            <w:pPr>
              <w:spacing w:after="0"/>
              <w:rPr>
                <w:sz w:val="1"/>
                <w:szCs w:val="1"/>
                <w:color w:val="auto"/>
              </w:rPr>
            </w:pPr>
          </w:p>
        </w:tc>
      </w:tr>
      <w:tr>
        <w:trPr>
          <w:trHeight w:val="187"/>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6"/>
                <w:szCs w:val="16"/>
                <w:color w:val="auto"/>
              </w:rPr>
            </w:pPr>
          </w:p>
        </w:tc>
        <w:tc>
          <w:tcPr>
            <w:tcW w:w="11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62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20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line="207" w:lineRule="exact"/>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1380" w:type="dxa"/>
            <w:vAlign w:val="bottom"/>
            <w:gridSpan w:val="2"/>
          </w:tcPr>
          <w:p>
            <w:pPr>
              <w:ind w:left="96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020" w:type="dxa"/>
            <w:vAlign w:val="bottom"/>
            <w:gridSpan w:val="5"/>
          </w:tcPr>
          <w:p>
            <w:pPr>
              <w:jc w:val="right"/>
              <w:spacing w:after="0"/>
              <w:rPr>
                <w:sz w:val="20"/>
                <w:szCs w:val="20"/>
                <w:color w:val="auto"/>
              </w:rPr>
            </w:pPr>
            <w:r>
              <w:rPr>
                <w:rFonts w:ascii="Arial" w:cs="Arial" w:eastAsia="Arial" w:hAnsi="Arial"/>
                <w:sz w:val="15"/>
                <w:szCs w:val="15"/>
                <w:color w:val="auto"/>
              </w:rPr>
              <w:t>109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left="243"/>
              <w:spacing w:after="0"/>
              <w:rPr>
                <w:sz w:val="20"/>
                <w:szCs w:val="20"/>
                <w:color w:val="auto"/>
              </w:rPr>
            </w:pPr>
            <w:r>
              <w:rPr>
                <w:rFonts w:ascii="Arial" w:cs="Arial" w:eastAsia="Arial" w:hAnsi="Arial"/>
                <w:sz w:val="15"/>
                <w:szCs w:val="15"/>
                <w:color w:val="auto"/>
              </w:rPr>
              <w:t>N/A</w:t>
            </w:r>
          </w:p>
        </w:tc>
        <w:tc>
          <w:tcPr>
            <w:tcW w:w="28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109</w:t>
            </w:r>
          </w:p>
        </w:tc>
        <w:tc>
          <w:tcPr>
            <w:tcW w:w="80" w:type="dxa"/>
            <w:vAlign w:val="bottom"/>
          </w:tcPr>
          <w:p>
            <w:pPr>
              <w:spacing w:after="0"/>
              <w:rPr>
                <w:sz w:val="17"/>
                <w:szCs w:val="17"/>
                <w:color w:val="auto"/>
              </w:rPr>
            </w:pPr>
          </w:p>
        </w:tc>
        <w:tc>
          <w:tcPr>
            <w:tcW w:w="780" w:type="dxa"/>
            <w:vAlign w:val="bottom"/>
          </w:tcPr>
          <w:p>
            <w:pPr>
              <w:jc w:val="right"/>
              <w:ind w:right="608"/>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7"/>
                <w:szCs w:val="17"/>
                <w:color w:val="auto"/>
              </w:rPr>
            </w:pPr>
          </w:p>
        </w:tc>
        <w:tc>
          <w:tcPr>
            <w:tcW w:w="560" w:type="dxa"/>
            <w:vAlign w:val="bottom"/>
            <w:gridSpan w:val="2"/>
          </w:tcPr>
          <w:p>
            <w:pPr>
              <w:jc w:val="right"/>
              <w:ind w:right="33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380" w:type="dxa"/>
            <w:vAlign w:val="bottom"/>
            <w:gridSpan w:val="2"/>
          </w:tcPr>
          <w:p>
            <w:pPr>
              <w:ind w:left="96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5"/>
          </w:tcPr>
          <w:p>
            <w:pPr>
              <w:jc w:val="right"/>
              <w:spacing w:after="0"/>
              <w:rPr>
                <w:sz w:val="20"/>
                <w:szCs w:val="20"/>
                <w:color w:val="auto"/>
              </w:rPr>
            </w:pPr>
            <w:r>
              <w:rPr>
                <w:rFonts w:ascii="Arial" w:cs="Arial" w:eastAsia="Arial" w:hAnsi="Arial"/>
                <w:sz w:val="15"/>
                <w:szCs w:val="15"/>
                <w:color w:val="auto"/>
              </w:rPr>
              <w:t>61</w:t>
            </w:r>
          </w:p>
        </w:tc>
        <w:tc>
          <w:tcPr>
            <w:tcW w:w="340" w:type="dxa"/>
            <w:vAlign w:val="bottom"/>
            <w:gridSpan w:val="3"/>
          </w:tcPr>
          <w:p>
            <w:pPr>
              <w:jc w:val="center"/>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left="384"/>
              <w:spacing w:after="0"/>
              <w:rPr>
                <w:sz w:val="20"/>
                <w:szCs w:val="20"/>
                <w:color w:val="auto"/>
              </w:rPr>
            </w:pPr>
            <w:r>
              <w:rPr>
                <w:rFonts w:ascii="Arial" w:cs="Arial" w:eastAsia="Arial" w:hAnsi="Arial"/>
                <w:sz w:val="15"/>
                <w:szCs w:val="15"/>
                <w:color w:val="auto"/>
              </w:rPr>
              <w:t>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140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80" w:type="dxa"/>
            <w:vAlign w:val="bottom"/>
            <w:gridSpan w:val="2"/>
          </w:tcPr>
          <w:p>
            <w:pPr>
              <w:ind w:left="96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5"/>
          </w:tcPr>
          <w:p>
            <w:pPr>
              <w:jc w:val="right"/>
              <w:spacing w:after="0"/>
              <w:rPr>
                <w:sz w:val="20"/>
                <w:szCs w:val="20"/>
                <w:color w:val="auto"/>
              </w:rPr>
            </w:pPr>
            <w:r>
              <w:rPr>
                <w:rFonts w:ascii="Arial" w:cs="Arial" w:eastAsia="Arial" w:hAnsi="Arial"/>
                <w:sz w:val="15"/>
                <w:szCs w:val="15"/>
                <w:color w:val="auto"/>
              </w:rPr>
              <w:t>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left="384"/>
              <w:spacing w:after="0"/>
              <w:rPr>
                <w:sz w:val="20"/>
                <w:szCs w:val="20"/>
                <w:color w:val="auto"/>
              </w:rPr>
            </w:pPr>
            <w:r>
              <w:rPr>
                <w:rFonts w:ascii="Arial" w:cs="Arial" w:eastAsia="Arial" w:hAnsi="Arial"/>
                <w:sz w:val="15"/>
                <w:szCs w:val="15"/>
                <w:color w:val="auto"/>
              </w:rPr>
              <w:t>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160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380" w:type="dxa"/>
            <w:vAlign w:val="bottom"/>
            <w:gridSpan w:val="2"/>
          </w:tcPr>
          <w:p>
            <w:pPr>
              <w:ind w:left="96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5"/>
          </w:tcPr>
          <w:p>
            <w:pPr>
              <w:jc w:val="right"/>
              <w:spacing w:after="0"/>
              <w:rPr>
                <w:sz w:val="20"/>
                <w:szCs w:val="20"/>
                <w:color w:val="auto"/>
              </w:rPr>
            </w:pPr>
            <w:r>
              <w:rPr>
                <w:rFonts w:ascii="Arial" w:cs="Arial" w:eastAsia="Arial" w:hAnsi="Arial"/>
                <w:sz w:val="15"/>
                <w:szCs w:val="15"/>
                <w:color w:val="auto"/>
              </w:rPr>
              <w:t>109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left="384"/>
              <w:spacing w:after="0"/>
              <w:rPr>
                <w:sz w:val="20"/>
                <w:szCs w:val="20"/>
                <w:color w:val="auto"/>
              </w:rPr>
            </w:pPr>
            <w:r>
              <w:rPr>
                <w:rFonts w:ascii="Arial" w:cs="Arial" w:eastAsia="Arial" w:hAnsi="Arial"/>
                <w:sz w:val="15"/>
                <w:szCs w:val="15"/>
                <w:color w:val="auto"/>
              </w:rPr>
              <w:t>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188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line="207" w:lineRule="exact"/>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1380" w:type="dxa"/>
            <w:vAlign w:val="bottom"/>
            <w:gridSpan w:val="2"/>
          </w:tcPr>
          <w:p>
            <w:pPr>
              <w:ind w:left="96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5"/>
          </w:tcPr>
          <w:p>
            <w:pPr>
              <w:jc w:val="right"/>
              <w:spacing w:after="0"/>
              <w:rPr>
                <w:sz w:val="20"/>
                <w:szCs w:val="20"/>
                <w:color w:val="auto"/>
              </w:rPr>
            </w:pPr>
            <w:r>
              <w:rPr>
                <w:rFonts w:ascii="Arial" w:cs="Arial" w:eastAsia="Arial" w:hAnsi="Arial"/>
                <w:sz w:val="15"/>
                <w:szCs w:val="15"/>
                <w:color w:val="auto"/>
              </w:rPr>
              <w:t>114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left="243"/>
              <w:spacing w:after="0"/>
              <w:rPr>
                <w:sz w:val="20"/>
                <w:szCs w:val="20"/>
                <w:color w:val="auto"/>
              </w:rPr>
            </w:pPr>
            <w:r>
              <w:rPr>
                <w:rFonts w:ascii="Arial" w:cs="Arial" w:eastAsia="Arial" w:hAnsi="Arial"/>
                <w:sz w:val="15"/>
                <w:szCs w:val="15"/>
                <w:color w:val="auto"/>
              </w:rPr>
              <w:t>N/A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114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80" w:type="dxa"/>
            <w:vAlign w:val="bottom"/>
            <w:gridSpan w:val="2"/>
          </w:tcPr>
          <w:p>
            <w:pPr>
              <w:ind w:left="96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5"/>
          </w:tcPr>
          <w:p>
            <w:pPr>
              <w:jc w:val="right"/>
              <w:spacing w:after="0"/>
              <w:rPr>
                <w:sz w:val="20"/>
                <w:szCs w:val="20"/>
                <w:color w:val="auto"/>
              </w:rPr>
            </w:pPr>
            <w:r>
              <w:rPr>
                <w:rFonts w:ascii="Arial" w:cs="Arial" w:eastAsia="Arial" w:hAnsi="Arial"/>
                <w:sz w:val="15"/>
                <w:szCs w:val="15"/>
                <w:color w:val="auto"/>
              </w:rPr>
              <w:t>114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left="384"/>
              <w:spacing w:after="0"/>
              <w:rPr>
                <w:sz w:val="20"/>
                <w:szCs w:val="20"/>
                <w:color w:val="auto"/>
              </w:rPr>
            </w:pPr>
            <w:r>
              <w:rPr>
                <w:rFonts w:ascii="Arial" w:cs="Arial" w:eastAsia="Arial" w:hAnsi="Arial"/>
                <w:sz w:val="15"/>
                <w:szCs w:val="15"/>
                <w:color w:val="auto"/>
              </w:rPr>
              <w:t>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7"/>
        <w:spacing w:after="0"/>
        <w:tabs>
          <w:tab w:leader="none" w:pos="22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40" w:right="260" w:hanging="237"/>
        <w:spacing w:after="0" w:line="210" w:lineRule="auto"/>
        <w:tabs>
          <w:tab w:leader="none" w:pos="23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prescribed capital buffers represent the amount of capital we are required to hold above the minimum risk-based and leverage capital requirements. The applicable buffer for risk-based common equity tier 1 capital, tier 1 capital, and adjusted total capital is the prescribed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0" w:name="page51"/>
    <w:bookmarkEnd w:id="50"/>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40"/>
        <w:spacing w:after="0" w:line="252" w:lineRule="auto"/>
        <w:rPr>
          <w:sz w:val="20"/>
          <w:szCs w:val="20"/>
          <w:color w:val="auto"/>
        </w:rPr>
      </w:pPr>
      <w:r>
        <w:rPr>
          <w:rFonts w:ascii="Arial" w:cs="Arial" w:eastAsia="Arial" w:hAnsi="Arial"/>
          <w:sz w:val="14"/>
          <w:szCs w:val="14"/>
          <w:color w:val="auto"/>
        </w:rPr>
        <w:t>capital conservation buffer amount, or PCCBA, which is composed of a stress capital buffer, a stability capital buffer, and a countercyclical capital buffer. The PCCBA must be comprised entirely of common equity tier one capital. The applicable buffer for leverage tier 1 capital is the prescribed leverage buffer amount, or PLBA. The stress capital buffer and countercyclical capital buffer are each calculated by multiplying prescribed factors by adjusted total assets as of the last day of the previous calendar quarter. The stability capital buffer is based on our share of mortgage debt outstanding. The prescribed leverage buffer for March 31, 2024 and December 31, 2023 was set at 50% of the March 31, 2024 and December 31, 2023 stability capital buffer, respectively.</w:t>
      </w:r>
    </w:p>
    <w:p>
      <w:pPr>
        <w:spacing w:after="0" w:line="19" w:lineRule="exact"/>
        <w:rPr>
          <w:sz w:val="20"/>
          <w:szCs w:val="20"/>
          <w:color w:val="auto"/>
        </w:rPr>
      </w:pPr>
    </w:p>
    <w:p>
      <w:pPr>
        <w:ind w:left="240" w:right="40" w:hanging="237"/>
        <w:spacing w:after="0" w:line="236" w:lineRule="auto"/>
        <w:tabs>
          <w:tab w:leader="none" w:pos="23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March 31, 2024 and December 31, 2023, this resulted in the full deduction of deferred tax assets ($11.5 billion and $11.7 billion, respectively) from our available capital (deficit). Available capital (deficit) for common equity tier 1 capital also excludes the value of the perpetual, noncumulative preferred stock ($19.1 billion) as of March 31, 2024 and December 31, 2023.</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Our capital shortfall consists of the difference between the applicable capital requirement (including buffers) and the applicable available capital (deficit).</w:t>
      </w:r>
    </w:p>
    <w:p>
      <w:pPr>
        <w:spacing w:after="0" w:line="37" w:lineRule="exact"/>
        <w:rPr>
          <w:rFonts w:ascii="Arial" w:cs="Arial" w:eastAsia="Arial" w:hAnsi="Arial"/>
          <w:sz w:val="18"/>
          <w:szCs w:val="18"/>
          <w:color w:val="auto"/>
          <w:vertAlign w:val="superscript"/>
        </w:rPr>
      </w:pPr>
    </w:p>
    <w:p>
      <w:pPr>
        <w:ind w:left="240" w:right="60" w:hanging="237"/>
        <w:spacing w:after="0" w:line="228" w:lineRule="auto"/>
        <w:tabs>
          <w:tab w:leader="none" w:pos="23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 for liabilities reflected on the balance sheet for estimated foreclosure losses on mortgage-backed securities; and (ii) shall not include any reserves made or held against specific assets; and (c) any other amounts from sources of funds available to absorb losses that the Director of FHFA by regulation determines are appropriate to include in determining total capital.</w:t>
      </w:r>
    </w:p>
    <w:p>
      <w:pPr>
        <w:spacing w:after="0" w:line="28" w:lineRule="exact"/>
        <w:rPr>
          <w:rFonts w:ascii="Arial" w:cs="Arial" w:eastAsia="Arial" w:hAnsi="Arial"/>
          <w:sz w:val="18"/>
          <w:szCs w:val="18"/>
          <w:color w:val="auto"/>
          <w:vertAlign w:val="superscript"/>
        </w:rPr>
      </w:pPr>
    </w:p>
    <w:p>
      <w:pPr>
        <w:ind w:left="240" w:right="80" w:hanging="237"/>
        <w:spacing w:after="0" w:line="233" w:lineRule="auto"/>
        <w:tabs>
          <w:tab w:leader="none" w:pos="23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 Core capital does not include: (a) accumulated other comprehensive income or (b) senior preferred stock.</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The maximum payout ratio for a given quarter is the lowest of the payout ratios determined by our capital conservation buffer and our leverage buffer. As a result of our capital shortfall, our maximum payout ratio under the enterprise regulatory capital framework as of March 31, 2024 and December 31, 2023 was 0%. See “Note 15, Regulatory Capital Requirements” for information on our capital ratios as of March 31, 2024 and December 31, 2023 under the enterprise regulatory capital framework.</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1" w:name="page52"/>
    <w:bookmarkEnd w:id="5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40" w:type="dxa"/>
            <w:vAlign w:val="bottom"/>
            <w:tcBorders>
              <w:top w:val="single" w:sz="8" w:color="2C6937"/>
              <w:bottom w:val="single" w:sz="8" w:color="2C6937"/>
            </w:tcBorders>
          </w:tcPr>
          <w:p>
            <w:pPr>
              <w:spacing w:after="0"/>
              <w:rPr>
                <w:sz w:val="17"/>
                <w:szCs w:val="17"/>
                <w:color w:val="auto"/>
              </w:rPr>
            </w:pPr>
          </w:p>
        </w:tc>
        <w:tc>
          <w:tcPr>
            <w:tcW w:w="184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158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4"/>
          </w:tcPr>
          <w:p>
            <w:pPr>
              <w:jc w:val="right"/>
              <w:ind w:right="112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82,006</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77,682</w:t>
            </w:r>
          </w:p>
        </w:tc>
        <w:tc>
          <w:tcPr>
            <w:tcW w:w="0" w:type="dxa"/>
            <w:vAlign w:val="bottom"/>
          </w:tcPr>
          <w:p>
            <w:pPr>
              <w:spacing w:after="0"/>
              <w:rPr>
                <w:sz w:val="1"/>
                <w:szCs w:val="1"/>
                <w:color w:val="auto"/>
              </w:rPr>
            </w:pPr>
          </w:p>
        </w:tc>
      </w:tr>
      <w:tr>
        <w:trPr>
          <w:trHeight w:val="204"/>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8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39"/>
        </w:trPr>
        <w:tc>
          <w:tcPr>
            <w:tcW w:w="740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80" w:type="dxa"/>
            <w:vAlign w:val="bottom"/>
          </w:tcPr>
          <w:p>
            <w:pPr>
              <w:spacing w:after="0"/>
              <w:rPr>
                <w:sz w:val="20"/>
                <w:szCs w:val="20"/>
                <w:color w:val="auto"/>
              </w:rPr>
            </w:pPr>
          </w:p>
        </w:tc>
        <w:tc>
          <w:tcPr>
            <w:tcW w:w="240" w:type="dxa"/>
            <w:vAlign w:val="bottom"/>
            <w:tcBorders>
              <w:bottom w:val="single" w:sz="8" w:color="2C6937"/>
            </w:tcBorders>
          </w:tcPr>
          <w:p>
            <w:pPr>
              <w:spacing w:after="0"/>
              <w:rPr>
                <w:sz w:val="20"/>
                <w:szCs w:val="20"/>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(57,960)</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(62,284)</w:t>
            </w:r>
          </w:p>
        </w:tc>
        <w:tc>
          <w:tcPr>
            <w:tcW w:w="0" w:type="dxa"/>
            <w:vAlign w:val="bottom"/>
          </w:tcPr>
          <w:p>
            <w:pPr>
              <w:spacing w:after="0"/>
              <w:rPr>
                <w:sz w:val="1"/>
                <w:szCs w:val="1"/>
                <w:color w:val="auto"/>
              </w:rPr>
            </w:pPr>
          </w:p>
        </w:tc>
      </w:tr>
      <w:tr>
        <w:trPr>
          <w:trHeight w:val="148"/>
        </w:trPr>
        <w:tc>
          <w:tcPr>
            <w:tcW w:w="7480" w:type="dxa"/>
            <w:vAlign w:val="bottom"/>
            <w:gridSpan w:val="2"/>
          </w:tcPr>
          <w:p>
            <w:pPr>
              <w:ind w:left="340"/>
              <w:spacing w:after="0" w:line="149"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24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11,525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11,681</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(69,485)</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(73,965)</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(50,355)</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(54,835)</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8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(50,355)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(54,835)</w:t>
            </w:r>
          </w:p>
        </w:tc>
        <w:tc>
          <w:tcPr>
            <w:tcW w:w="0" w:type="dxa"/>
            <w:vAlign w:val="bottom"/>
          </w:tcPr>
          <w:p>
            <w:pPr>
              <w:spacing w:after="0"/>
              <w:rPr>
                <w:sz w:val="1"/>
                <w:szCs w:val="1"/>
                <w:color w:val="auto"/>
              </w:rPr>
            </w:pPr>
          </w:p>
        </w:tc>
      </w:tr>
      <w:tr>
        <w:trPr>
          <w:trHeight w:val="20"/>
        </w:trPr>
        <w:tc>
          <w:tcPr>
            <w:tcW w:w="74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188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40" w:type="dxa"/>
            <w:vAlign w:val="bottom"/>
            <w:tcBorders>
              <w:top w:val="single" w:sz="8" w:color="2C6937"/>
              <w:bottom w:val="single" w:sz="8" w:color="2C6937"/>
            </w:tcBorders>
          </w:tcPr>
          <w:p>
            <w:pPr>
              <w:spacing w:after="0"/>
              <w:rPr>
                <w:sz w:val="17"/>
                <w:szCs w:val="17"/>
                <w:color w:val="auto"/>
              </w:rPr>
            </w:pPr>
          </w:p>
        </w:tc>
      </w:tr>
      <w:tr>
        <w:trPr>
          <w:trHeight w:val="186"/>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Borders>
              <w:bottom w:val="single" w:sz="8" w:color="2C6937"/>
            </w:tcBorders>
          </w:tcPr>
          <w:p>
            <w:pPr>
              <w:spacing w:after="0"/>
              <w:rPr>
                <w:sz w:val="16"/>
                <w:szCs w:val="16"/>
                <w:color w:val="auto"/>
              </w:rPr>
            </w:pPr>
          </w:p>
        </w:tc>
        <w:tc>
          <w:tcPr>
            <w:tcW w:w="164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right"/>
              <w:ind w:right="118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Pr>
          <w:p>
            <w:pPr>
              <w:jc w:val="right"/>
              <w:ind w:right="6"/>
              <w:spacing w:after="0"/>
              <w:rPr>
                <w:sz w:val="20"/>
                <w:szCs w:val="20"/>
                <w:color w:val="auto"/>
              </w:rPr>
            </w:pPr>
            <w:r>
              <w:rPr>
                <w:rFonts w:ascii="Arial" w:cs="Arial" w:eastAsia="Arial" w:hAnsi="Arial"/>
                <w:sz w:val="15"/>
                <w:szCs w:val="15"/>
                <w:b w:val="1"/>
                <w:bCs w:val="1"/>
                <w:color w:val="auto"/>
              </w:rPr>
              <w:t>82,006</w:t>
            </w:r>
          </w:p>
        </w:tc>
        <w:tc>
          <w:tcPr>
            <w:tcW w:w="80" w:type="dxa"/>
            <w:vAlign w:val="bottom"/>
          </w:tcPr>
          <w:p>
            <w:pPr>
              <w:spacing w:after="0"/>
              <w:rPr>
                <w:sz w:val="18"/>
                <w:szCs w:val="18"/>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77,682</w:t>
            </w:r>
          </w:p>
        </w:tc>
      </w:tr>
      <w:tr>
        <w:trPr>
          <w:trHeight w:val="204"/>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4"/>
        </w:trPr>
        <w:tc>
          <w:tcPr>
            <w:tcW w:w="746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260" w:type="dxa"/>
            <w:vAlign w:val="bottom"/>
          </w:tcPr>
          <w:p>
            <w:pPr>
              <w:spacing w:after="0"/>
              <w:rPr>
                <w:sz w:val="18"/>
                <w:szCs w:val="18"/>
                <w:color w:val="auto"/>
              </w:rPr>
            </w:pPr>
          </w:p>
        </w:tc>
        <w:tc>
          <w:tcPr>
            <w:tcW w:w="1580" w:type="dxa"/>
            <w:vAlign w:val="bottom"/>
          </w:tcPr>
          <w:p>
            <w:pPr>
              <w:jc w:val="right"/>
              <w:ind w:right="6"/>
              <w:spacing w:after="0"/>
              <w:rPr>
                <w:sz w:val="20"/>
                <w:szCs w:val="20"/>
                <w:color w:val="auto"/>
              </w:rPr>
            </w:pPr>
            <w:r>
              <w:rPr>
                <w:rFonts w:ascii="Arial" w:cs="Arial" w:eastAsia="Arial" w:hAnsi="Arial"/>
                <w:sz w:val="15"/>
                <w:szCs w:val="15"/>
                <w:b w:val="1"/>
                <w:bCs w:val="1"/>
                <w:color w:val="auto"/>
              </w:rPr>
              <w:t>120,836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51"/>
        </w:trPr>
        <w:tc>
          <w:tcPr>
            <w:tcW w:w="73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100" w:type="dxa"/>
            <w:vAlign w:val="bottom"/>
          </w:tcPr>
          <w:p>
            <w:pPr>
              <w:spacing w:after="0"/>
              <w:rPr>
                <w:sz w:val="21"/>
                <w:szCs w:val="21"/>
                <w:color w:val="auto"/>
              </w:rPr>
            </w:pPr>
          </w:p>
        </w:tc>
        <w:tc>
          <w:tcPr>
            <w:tcW w:w="260" w:type="dxa"/>
            <w:vAlign w:val="bottom"/>
            <w:tcBorders>
              <w:bottom w:val="single" w:sz="8" w:color="2C6937"/>
            </w:tcBorders>
          </w:tcPr>
          <w:p>
            <w:pPr>
              <w:spacing w:after="0"/>
              <w:rPr>
                <w:sz w:val="21"/>
                <w:szCs w:val="21"/>
                <w:color w:val="auto"/>
              </w:rPr>
            </w:pPr>
          </w:p>
        </w:tc>
        <w:tc>
          <w:tcPr>
            <w:tcW w:w="15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36</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r>
      <w:tr>
        <w:trPr>
          <w:trHeight w:val="199"/>
        </w:trPr>
        <w:tc>
          <w:tcPr>
            <w:tcW w:w="7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(38,866)</w:t>
            </w:r>
          </w:p>
        </w:tc>
        <w:tc>
          <w:tcPr>
            <w:tcW w:w="80" w:type="dxa"/>
            <w:vAlign w:val="bottom"/>
          </w:tcPr>
          <w:p>
            <w:pPr>
              <w:spacing w:after="0"/>
              <w:rPr>
                <w:sz w:val="17"/>
                <w:szCs w:val="17"/>
                <w:color w:val="auto"/>
              </w:rPr>
            </w:pPr>
          </w:p>
        </w:tc>
        <w:tc>
          <w:tcPr>
            <w:tcW w:w="22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(43,186)</w:t>
            </w:r>
          </w:p>
        </w:tc>
      </w:tr>
      <w:tr>
        <w:trPr>
          <w:trHeight w:val="20"/>
        </w:trPr>
        <w:tc>
          <w:tcPr>
            <w:tcW w:w="73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15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640" w:type="dxa"/>
            <w:vAlign w:val="bottom"/>
            <w:tcBorders>
              <w:bottom w:val="single" w:sz="8" w:color="2C6937"/>
            </w:tcBorders>
          </w:tcPr>
          <w:p>
            <w:pPr>
              <w:spacing w:after="0" w:line="20" w:lineRule="exact"/>
              <w:rPr>
                <w:sz w:val="1"/>
                <w:szCs w:val="1"/>
                <w:color w:val="auto"/>
              </w:rPr>
            </w:pPr>
          </w:p>
        </w:tc>
      </w:tr>
      <w:tr>
        <w:trPr>
          <w:trHeight w:val="198"/>
        </w:trPr>
        <w:tc>
          <w:tcPr>
            <w:tcW w:w="73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(8,590)</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(8,934)</w:t>
            </w:r>
          </w:p>
        </w:tc>
      </w:tr>
      <w:tr>
        <w:trPr>
          <w:trHeight w:val="199"/>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Total capital (deficit)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(30,276)</w:t>
            </w:r>
          </w:p>
        </w:tc>
        <w:tc>
          <w:tcPr>
            <w:tcW w:w="8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(34,252)</w:t>
            </w:r>
          </w:p>
        </w:tc>
      </w:tr>
      <w:tr>
        <w:trPr>
          <w:trHeight w:val="20"/>
        </w:trPr>
        <w:tc>
          <w:tcPr>
            <w:tcW w:w="7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4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6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first quarter of 2024 and none are payable for the second quarter of 2024.</w:t>
      </w:r>
    </w:p>
    <w:p>
      <w:pPr>
        <w:spacing w:after="0" w:line="2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in the same amount of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$199.2 billion as of March 31, 2024 from $195.2 billion as of December 31, 2023, due to the $4.0 billion increase in our net worth in the fourth quarter of 2023. The aggregate liquidation preference of the senior preferred stock will further increase to $203.5 billion as of June 30, 2024, due to the $4.3 billion increase in our net worth in the first quarter of 2024. See “Business—Conservatorship and Treasury Agreements—Treasury Agreements” in our 2023 Form 10-K for more information on the terms of our senior preferred stock, including how the aggregate liquidation preference is determined.</w:t>
      </w:r>
    </w:p>
    <w:p>
      <w:pPr>
        <w:spacing w:after="0" w:line="38"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Increases in our net worth improve our capital position and our ability to absorb losses; however, increases in our net worth also increase the aggregate liquidation preference of the senior preferred stock by the same amount until the capital reserve end date as discussed above.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2" w:name="page53"/>
    <w:bookmarkEnd w:id="5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March 31, 2024, the remaining amount of Treasury’s funding commitment to us was $113.9 billion. See “Note 2, Conservatorship, Senior Preferred Stock Purchase Agreement and Related Matters” in our 2023 Form 10-K for more information on Treasury’s funding commitment under the senior preferred stock purchase agreement.</w:t>
      </w:r>
    </w:p>
    <w:p>
      <w:pPr>
        <w:spacing w:after="0" w:line="13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business activities expose us to the following major categories of risk: credit risk (including mortgage credit risk and institutional counterparty credit risk), market risk (including interest-rate risk), liquidity and funding risk, operational risk (including cyber/information security risk and third-party risk) and model risk, as well as strategic risk, compliance risk and reputational risk. We are also exposed to climate risk, which we view as a cross-cutting risk that can impact a variety of our existing risk categories, particularly credit risk. See “MD&amp;A—Risk Management” in our 2023 Form 10-K for a discussion of our management of these risks. This section supplements and updates that discussion but does not address all of the risk management categories described in our 2023 Form 10-K.</w:t>
      </w:r>
    </w:p>
    <w:p>
      <w:pPr>
        <w:spacing w:after="0" w:line="10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We do not currently actively manage or hedge, on an economic basis, our spread risk, or the interest-rate risk arising from cost basis adjustments and float income associated with mortgage assets held by our consolidated MBS trusts. See “MD&amp;A—Risk Management—Market Risk Management, including Interest-Rate Risk Management” and “Risk Factors— Market and Industry Risk” in our 2023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40" w:type="dxa"/>
            <w:vAlign w:val="bottom"/>
            <w:tcBorders>
              <w:bottom w:val="single" w:sz="8" w:color="9A9A9A"/>
            </w:tcBorders>
          </w:tcPr>
          <w:p>
            <w:pPr>
              <w:spacing w:after="0"/>
              <w:rPr>
                <w:sz w:val="16"/>
                <w:szCs w:val="16"/>
                <w:color w:val="auto"/>
              </w:rPr>
            </w:pPr>
          </w:p>
        </w:tc>
        <w:tc>
          <w:tcPr>
            <w:tcW w:w="4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3" w:name="page54"/>
    <w:bookmarkEnd w:id="53"/>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Interest-Rate Risk</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We collectively define our net portfolio as: our retained mortgage portfolio assets; our corporate liquidity portfolio; outstanding debt of Fannie Mae used to fund the retained mortgage portfolio assets and corporate liquidity portfolio; mortgage commitments; and risk management derivatives.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March 31, 2024 and 2023. Our practice is to allow interest rates to go below zero in the downward shock models unless otherwise prevented through contractual floors.</w:t>
      </w:r>
    </w:p>
    <w:p>
      <w:pPr>
        <w:spacing w:after="0" w:line="43"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Effective April 2023, we transitioned our portfolio interest-rate risk measurement process from using LIBOR to using SOFR as the benchmark interest rate. This change did not have a significant impact on the measurement of our interest-rate risk or our financial results. The interest-rate sensitivity metrics in the table below for the three months ended March 31, 2023 were not revised.</w:t>
      </w:r>
    </w:p>
    <w:p>
      <w:pPr>
        <w:spacing w:after="0" w:line="32" w:lineRule="exact"/>
        <w:rPr>
          <w:sz w:val="20"/>
          <w:szCs w:val="20"/>
          <w:color w:val="auto"/>
        </w:rPr>
      </w:pPr>
    </w:p>
    <w:p>
      <w:pPr>
        <w:ind w:right="620"/>
        <w:spacing w:after="0" w:line="310"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2023 Form 10-K.</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6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460" w:type="dxa"/>
            <w:vAlign w:val="bottom"/>
            <w:tcBorders>
              <w:top w:val="single" w:sz="8" w:color="2C6937"/>
            </w:tcBorders>
          </w:tcPr>
          <w:p>
            <w:pPr>
              <w:spacing w:after="0"/>
              <w:rPr>
                <w:sz w:val="19"/>
                <w:szCs w:val="19"/>
                <w:color w:val="auto"/>
              </w:rPr>
            </w:pPr>
          </w:p>
        </w:tc>
        <w:tc>
          <w:tcPr>
            <w:tcW w:w="920" w:type="dxa"/>
            <w:vAlign w:val="bottom"/>
            <w:tcBorders>
              <w:top w:val="single" w:sz="8" w:color="2C6937"/>
            </w:tcBorders>
          </w:tcPr>
          <w:p>
            <w:pPr>
              <w:spacing w:after="0"/>
              <w:rPr>
                <w:sz w:val="19"/>
                <w:szCs w:val="19"/>
                <w:color w:val="auto"/>
              </w:rPr>
            </w:pPr>
          </w:p>
        </w:tc>
        <w:tc>
          <w:tcPr>
            <w:tcW w:w="860" w:type="dxa"/>
            <w:vAlign w:val="bottom"/>
            <w:tcBorders>
              <w:top w:val="single" w:sz="8" w:color="2C6937"/>
            </w:tcBorders>
          </w:tcPr>
          <w:p>
            <w:pPr>
              <w:spacing w:after="0"/>
              <w:rPr>
                <w:sz w:val="19"/>
                <w:szCs w:val="19"/>
                <w:color w:val="auto"/>
              </w:rPr>
            </w:pPr>
          </w:p>
        </w:tc>
        <w:tc>
          <w:tcPr>
            <w:tcW w:w="560" w:type="dxa"/>
            <w:vAlign w:val="bottom"/>
            <w:tcBorders>
              <w:top w:val="single" w:sz="8" w:color="2C6937"/>
            </w:tcBorders>
          </w:tcPr>
          <w:p>
            <w:pPr>
              <w:spacing w:after="0"/>
              <w:rPr>
                <w:sz w:val="19"/>
                <w:szCs w:val="19"/>
                <w:color w:val="auto"/>
              </w:rPr>
            </w:pPr>
          </w:p>
        </w:tc>
        <w:tc>
          <w:tcPr>
            <w:tcW w:w="80" w:type="dxa"/>
            <w:vAlign w:val="bottom"/>
            <w:tcBorders>
              <w:top w:val="single" w:sz="8" w:color="2C6937"/>
              <w:bottom w:val="single" w:sz="8" w:color="2C6937"/>
            </w:tcBorders>
          </w:tcPr>
          <w:p>
            <w:pPr>
              <w:spacing w:after="0"/>
              <w:rPr>
                <w:sz w:val="19"/>
                <w:szCs w:val="19"/>
                <w:color w:val="auto"/>
              </w:rPr>
            </w:pPr>
          </w:p>
        </w:tc>
        <w:tc>
          <w:tcPr>
            <w:tcW w:w="140" w:type="dxa"/>
            <w:vAlign w:val="bottom"/>
            <w:tcBorders>
              <w:top w:val="single" w:sz="8" w:color="2C6937"/>
              <w:bottom w:val="single" w:sz="8" w:color="2C6937"/>
            </w:tcBorders>
          </w:tcPr>
          <w:p>
            <w:pPr>
              <w:spacing w:after="0"/>
              <w:rPr>
                <w:sz w:val="19"/>
                <w:szCs w:val="19"/>
                <w:color w:val="auto"/>
              </w:rPr>
            </w:pPr>
          </w:p>
        </w:tc>
        <w:tc>
          <w:tcPr>
            <w:tcW w:w="1000" w:type="dxa"/>
            <w:vAlign w:val="bottom"/>
            <w:tcBorders>
              <w:top w:val="single" w:sz="8" w:color="2C6937"/>
              <w:bottom w:val="single" w:sz="8" w:color="2C6937"/>
            </w:tcBorders>
          </w:tcPr>
          <w:p>
            <w:pPr>
              <w:spacing w:after="0"/>
              <w:rPr>
                <w:sz w:val="19"/>
                <w:szCs w:val="19"/>
                <w:color w:val="auto"/>
              </w:rPr>
            </w:pPr>
          </w:p>
        </w:tc>
        <w:tc>
          <w:tcPr>
            <w:tcW w:w="12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80" w:type="dxa"/>
            <w:vAlign w:val="bottom"/>
            <w:tcBorders>
              <w:top w:val="single" w:sz="8" w:color="2C6937"/>
              <w:bottom w:val="single" w:sz="8" w:color="2C6937"/>
            </w:tcBorders>
          </w:tcPr>
          <w:p>
            <w:pPr>
              <w:spacing w:after="0"/>
              <w:rPr>
                <w:sz w:val="19"/>
                <w:szCs w:val="19"/>
                <w:color w:val="auto"/>
              </w:rPr>
            </w:pPr>
          </w:p>
        </w:tc>
        <w:tc>
          <w:tcPr>
            <w:tcW w:w="1380" w:type="dxa"/>
            <w:vAlign w:val="bottom"/>
            <w:tcBorders>
              <w:top w:val="single" w:sz="8" w:color="2C6937"/>
              <w:bottom w:val="single" w:sz="8" w:color="2C6937"/>
            </w:tcBorders>
            <w:gridSpan w:val="2"/>
          </w:tcPr>
          <w:p>
            <w:pPr>
              <w:jc w:val="center"/>
              <w:ind w:right="67"/>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500" w:type="dxa"/>
            <w:vAlign w:val="bottom"/>
            <w:tcBorders>
              <w:top w:val="single" w:sz="8" w:color="2C6937"/>
              <w:bottom w:val="single" w:sz="8" w:color="2C6937"/>
            </w:tcBorders>
          </w:tcPr>
          <w:p>
            <w:pPr>
              <w:spacing w:after="0"/>
              <w:rPr>
                <w:sz w:val="19"/>
                <w:szCs w:val="19"/>
                <w:color w:val="auto"/>
              </w:rPr>
            </w:pPr>
          </w:p>
        </w:tc>
        <w:tc>
          <w:tcPr>
            <w:tcW w:w="88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4"/>
          </w:tcPr>
          <w:p>
            <w:pPr>
              <w:jc w:val="right"/>
              <w:spacing w:after="0"/>
              <w:rPr>
                <w:sz w:val="20"/>
                <w:szCs w:val="20"/>
                <w:color w:val="auto"/>
              </w:rPr>
            </w:pPr>
            <w:r>
              <w:rPr>
                <w:rFonts w:ascii="Arial" w:cs="Arial" w:eastAsia="Arial" w:hAnsi="Arial"/>
                <w:sz w:val="14"/>
                <w:szCs w:val="14"/>
                <w:b w:val="1"/>
                <w:bCs w:val="1"/>
                <w:color w:val="auto"/>
              </w:rPr>
              <w:t>March 31, 2024</w:t>
            </w:r>
          </w:p>
        </w:tc>
        <w:tc>
          <w:tcPr>
            <w:tcW w:w="380" w:type="dxa"/>
            <w:vAlign w:val="bottom"/>
            <w:tcBorders>
              <w:bottom w:val="single" w:sz="8" w:color="2C6937"/>
            </w:tcBorders>
          </w:tcPr>
          <w:p>
            <w:pPr>
              <w:spacing w:after="0"/>
              <w:rPr>
                <w:sz w:val="16"/>
                <w:szCs w:val="16"/>
                <w:color w:val="auto"/>
              </w:rPr>
            </w:pPr>
          </w:p>
        </w:tc>
        <w:tc>
          <w:tcPr>
            <w:tcW w:w="2380" w:type="dxa"/>
            <w:vAlign w:val="bottom"/>
            <w:tcBorders>
              <w:bottom w:val="single" w:sz="8" w:color="2C6937"/>
            </w:tcBorders>
            <w:gridSpan w:val="3"/>
          </w:tcPr>
          <w:p>
            <w:pPr>
              <w:jc w:val="right"/>
              <w:ind w:right="343"/>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11"/>
              <w:spacing w:after="0"/>
              <w:rPr>
                <w:sz w:val="20"/>
                <w:szCs w:val="20"/>
                <w:color w:val="auto"/>
              </w:rPr>
            </w:pPr>
            <w:r>
              <w:rPr>
                <w:rFonts w:ascii="Arial" w:cs="Arial" w:eastAsia="Arial" w:hAnsi="Arial"/>
                <w:sz w:val="15"/>
                <w:szCs w:val="15"/>
                <w:b w:val="1"/>
                <w:bCs w:val="1"/>
                <w:color w:val="auto"/>
              </w:rPr>
              <w:t>$</w:t>
            </w:r>
          </w:p>
        </w:tc>
        <w:tc>
          <w:tcPr>
            <w:tcW w:w="300" w:type="dxa"/>
            <w:vAlign w:val="bottom"/>
            <w:gridSpan w:val="3"/>
          </w:tcPr>
          <w:p>
            <w:pPr>
              <w:jc w:val="right"/>
              <w:ind w:right="11"/>
              <w:spacing w:after="0"/>
              <w:rPr>
                <w:sz w:val="20"/>
                <w:szCs w:val="20"/>
                <w:color w:val="auto"/>
              </w:rPr>
            </w:pPr>
            <w:r>
              <w:rPr>
                <w:rFonts w:ascii="Arial" w:cs="Arial" w:eastAsia="Arial" w:hAnsi="Arial"/>
                <w:sz w:val="15"/>
                <w:szCs w:val="15"/>
                <w:b w:val="1"/>
                <w:bCs w:val="1"/>
                <w:color w:val="auto"/>
              </w:rPr>
              <w:t>96</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880" w:type="dxa"/>
            <w:vAlign w:val="bottom"/>
          </w:tcPr>
          <w:p>
            <w:pPr>
              <w:jc w:val="right"/>
              <w:ind w:right="543"/>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gridSpan w:val="3"/>
          </w:tcPr>
          <w:p>
            <w:pPr>
              <w:jc w:val="right"/>
              <w:ind w:right="11"/>
              <w:spacing w:after="0"/>
              <w:rPr>
                <w:sz w:val="20"/>
                <w:szCs w:val="20"/>
                <w:color w:val="auto"/>
              </w:rPr>
            </w:pPr>
            <w:r>
              <w:rPr>
                <w:rFonts w:ascii="Arial" w:cs="Arial" w:eastAsia="Arial" w:hAnsi="Arial"/>
                <w:sz w:val="15"/>
                <w:szCs w:val="15"/>
                <w:b w:val="1"/>
                <w:bCs w:val="1"/>
                <w:color w:val="auto"/>
              </w:rPr>
              <w:t>47</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543"/>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Arial" w:cs="Arial" w:eastAsia="Arial" w:hAnsi="Arial"/>
                <w:sz w:val="15"/>
                <w:szCs w:val="15"/>
                <w:b w:val="1"/>
                <w:bCs w:val="1"/>
                <w:color w:val="auto"/>
                <w:w w:val="89"/>
              </w:rPr>
              <w:t>(50)</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8"/>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5"/>
                <w:szCs w:val="15"/>
                <w:b w:val="1"/>
                <w:bCs w:val="1"/>
                <w:color w:val="auto"/>
                <w:w w:val="89"/>
              </w:rPr>
              <w:t>(88)</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4"/>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spacing w:after="0"/>
              <w:rPr>
                <w:sz w:val="17"/>
                <w:szCs w:val="17"/>
                <w:color w:val="auto"/>
              </w:rPr>
            </w:pPr>
          </w:p>
        </w:tc>
        <w:tc>
          <w:tcPr>
            <w:tcW w:w="56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Arial" w:cs="Arial" w:eastAsia="Arial" w:hAnsi="Arial"/>
                <w:sz w:val="15"/>
                <w:szCs w:val="15"/>
                <w:b w:val="1"/>
                <w:bCs w:val="1"/>
                <w:color w:val="auto"/>
                <w:w w:val="89"/>
              </w:rPr>
              <w:t>(11)</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4"/>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gridSpan w:val="3"/>
          </w:tcPr>
          <w:p>
            <w:pPr>
              <w:jc w:val="right"/>
              <w:ind w:right="11"/>
              <w:spacing w:after="0"/>
              <w:rPr>
                <w:sz w:val="20"/>
                <w:szCs w:val="20"/>
                <w:color w:val="auto"/>
              </w:rPr>
            </w:pPr>
            <w:r>
              <w:rPr>
                <w:rFonts w:ascii="Arial" w:cs="Arial" w:eastAsia="Arial" w:hAnsi="Arial"/>
                <w:sz w:val="15"/>
                <w:szCs w:val="15"/>
                <w:b w:val="1"/>
                <w:bCs w:val="1"/>
                <w:color w:val="auto"/>
              </w:rPr>
              <w:t>2</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54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406"/>
        </w:trPr>
        <w:tc>
          <w:tcPr>
            <w:tcW w:w="296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spacing w:after="0"/>
              <w:rPr>
                <w:sz w:val="24"/>
                <w:szCs w:val="24"/>
                <w:color w:val="auto"/>
              </w:rPr>
            </w:pPr>
          </w:p>
        </w:tc>
        <w:tc>
          <w:tcPr>
            <w:tcW w:w="2940" w:type="dxa"/>
            <w:vAlign w:val="bottom"/>
            <w:tcBorders>
              <w:bottom w:val="single" w:sz="8" w:color="2C6937"/>
            </w:tcBorders>
            <w:gridSpan w:val="8"/>
          </w:tcPr>
          <w:p>
            <w:pPr>
              <w:jc w:val="right"/>
              <w:spacing w:after="0"/>
              <w:rPr>
                <w:sz w:val="20"/>
                <w:szCs w:val="20"/>
                <w:color w:val="auto"/>
              </w:rPr>
            </w:pPr>
            <w:r>
              <w:rPr>
                <w:rFonts w:ascii="Arial" w:cs="Arial" w:eastAsia="Arial" w:hAnsi="Arial"/>
                <w:sz w:val="14"/>
                <w:szCs w:val="14"/>
                <w:b w:val="1"/>
                <w:bCs w:val="1"/>
                <w:color w:val="auto"/>
              </w:rPr>
              <w:t>For the Three Months Ended March 31,</w:t>
            </w:r>
            <w:r>
              <w:rPr>
                <w:rFonts w:ascii="Arial" w:cs="Arial" w:eastAsia="Arial" w:hAnsi="Arial"/>
                <w:sz w:val="17"/>
                <w:szCs w:val="17"/>
                <w:b w:val="1"/>
                <w:bCs w:val="1"/>
                <w:color w:val="auto"/>
                <w:vertAlign w:val="superscript"/>
              </w:rPr>
              <w:t>(1)(3)</w:t>
            </w:r>
          </w:p>
        </w:tc>
        <w:tc>
          <w:tcPr>
            <w:tcW w:w="380" w:type="dxa"/>
            <w:vAlign w:val="bottom"/>
            <w:tcBorders>
              <w:bottom w:val="single" w:sz="8" w:color="2C6937"/>
            </w:tcBorders>
          </w:tcPr>
          <w:p>
            <w:pPr>
              <w:spacing w:after="0"/>
              <w:rPr>
                <w:sz w:val="24"/>
                <w:szCs w:val="24"/>
                <w:color w:val="auto"/>
              </w:rPr>
            </w:pPr>
          </w:p>
        </w:tc>
        <w:tc>
          <w:tcPr>
            <w:tcW w:w="100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307"/>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Duration Gap</w:t>
            </w:r>
          </w:p>
        </w:tc>
        <w:tc>
          <w:tcPr>
            <w:tcW w:w="1380" w:type="dxa"/>
            <w:vAlign w:val="bottom"/>
            <w:gridSpan w:val="2"/>
          </w:tcPr>
          <w:p>
            <w:pPr>
              <w:jc w:val="right"/>
              <w:ind w:right="47"/>
              <w:spacing w:after="0" w:line="135" w:lineRule="exact"/>
              <w:rPr>
                <w:sz w:val="20"/>
                <w:szCs w:val="20"/>
                <w:color w:val="auto"/>
              </w:rPr>
            </w:pPr>
            <w:r>
              <w:rPr>
                <w:rFonts w:ascii="Arial" w:cs="Arial" w:eastAsia="Arial" w:hAnsi="Arial"/>
                <w:sz w:val="14"/>
                <w:szCs w:val="14"/>
                <w:b w:val="1"/>
                <w:bCs w:val="1"/>
                <w:color w:val="auto"/>
              </w:rPr>
              <w:t>Rate Slope Shock</w:t>
            </w:r>
          </w:p>
        </w:tc>
        <w:tc>
          <w:tcPr>
            <w:tcW w:w="1500" w:type="dxa"/>
            <w:vAlign w:val="bottom"/>
            <w:gridSpan w:val="3"/>
          </w:tcPr>
          <w:p>
            <w:pPr>
              <w:jc w:val="center"/>
              <w:ind w:left="9"/>
              <w:spacing w:after="0" w:line="135" w:lineRule="exact"/>
              <w:rPr>
                <w:sz w:val="20"/>
                <w:szCs w:val="20"/>
                <w:color w:val="auto"/>
              </w:rPr>
            </w:pPr>
            <w:r>
              <w:rPr>
                <w:rFonts w:ascii="Arial" w:cs="Arial" w:eastAsia="Arial" w:hAnsi="Arial"/>
                <w:sz w:val="14"/>
                <w:szCs w:val="14"/>
                <w:b w:val="1"/>
                <w:bCs w:val="1"/>
                <w:color w:val="auto"/>
                <w:w w:val="98"/>
              </w:rPr>
              <w:t>Rate Level Shock 50</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Duration Gap</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107"/>
              <w:spacing w:after="0" w:line="135" w:lineRule="exact"/>
              <w:rPr>
                <w:sz w:val="20"/>
                <w:szCs w:val="20"/>
                <w:color w:val="auto"/>
              </w:rPr>
            </w:pPr>
            <w:r>
              <w:rPr>
                <w:rFonts w:ascii="Arial" w:cs="Arial" w:eastAsia="Arial" w:hAnsi="Arial"/>
                <w:sz w:val="14"/>
                <w:szCs w:val="14"/>
                <w:b w:val="1"/>
                <w:bCs w:val="1"/>
                <w:color w:val="auto"/>
                <w:w w:val="98"/>
              </w:rPr>
              <w:t>Rate Slope Shock</w:t>
            </w:r>
          </w:p>
        </w:tc>
        <w:tc>
          <w:tcPr>
            <w:tcW w:w="13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Rate Level Shock 50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07"/>
              <w:spacing w:after="0"/>
              <w:rPr>
                <w:sz w:val="20"/>
                <w:szCs w:val="20"/>
                <w:color w:val="auto"/>
              </w:rPr>
            </w:pPr>
            <w:r>
              <w:rPr>
                <w:rFonts w:ascii="Arial" w:cs="Arial" w:eastAsia="Arial" w:hAnsi="Arial"/>
                <w:sz w:val="14"/>
                <w:szCs w:val="14"/>
                <w:b w:val="1"/>
                <w:bCs w:val="1"/>
                <w:color w:val="auto"/>
                <w:w w:val="94"/>
              </w:rPr>
              <w:t>25 bps</w:t>
            </w:r>
          </w:p>
        </w:tc>
        <w:tc>
          <w:tcPr>
            <w:tcW w:w="150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6"/>
              </w:rPr>
              <w:t>bps</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center"/>
              <w:ind w:right="487"/>
              <w:spacing w:after="0"/>
              <w:rPr>
                <w:sz w:val="20"/>
                <w:szCs w:val="20"/>
                <w:color w:val="auto"/>
              </w:rPr>
            </w:pPr>
            <w:r>
              <w:rPr>
                <w:rFonts w:ascii="Arial" w:cs="Arial" w:eastAsia="Arial" w:hAnsi="Arial"/>
                <w:sz w:val="14"/>
                <w:szCs w:val="14"/>
                <w:b w:val="1"/>
                <w:bCs w:val="1"/>
                <w:color w:val="auto"/>
                <w:w w:val="99"/>
              </w:rPr>
              <w:t>25 bps</w:t>
            </w:r>
          </w:p>
        </w:tc>
        <w:tc>
          <w:tcPr>
            <w:tcW w:w="500" w:type="dxa"/>
            <w:vAlign w:val="bottom"/>
          </w:tcPr>
          <w:p>
            <w:pPr>
              <w:spacing w:after="0"/>
              <w:rPr>
                <w:sz w:val="15"/>
                <w:szCs w:val="15"/>
                <w:color w:val="auto"/>
              </w:rPr>
            </w:pPr>
          </w:p>
        </w:tc>
        <w:tc>
          <w:tcPr>
            <w:tcW w:w="880" w:type="dxa"/>
            <w:vAlign w:val="bottom"/>
          </w:tcPr>
          <w:p>
            <w:pPr>
              <w:jc w:val="right"/>
              <w:ind w:right="483"/>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2"/>
          </w:tcPr>
          <w:p>
            <w:pPr>
              <w:jc w:val="center"/>
              <w:ind w:left="107"/>
              <w:spacing w:after="0"/>
              <w:rPr>
                <w:sz w:val="20"/>
                <w:szCs w:val="20"/>
                <w:color w:val="auto"/>
              </w:rPr>
            </w:pPr>
            <w:r>
              <w:rPr>
                <w:rFonts w:ascii="Arial" w:cs="Arial" w:eastAsia="Arial" w:hAnsi="Arial"/>
                <w:sz w:val="14"/>
                <w:szCs w:val="14"/>
                <w:b w:val="1"/>
                <w:bCs w:val="1"/>
                <w:color w:val="auto"/>
                <w:w w:val="97"/>
              </w:rPr>
              <w:t>Market Value Sensitivity</w:t>
            </w:r>
          </w:p>
        </w:tc>
        <w:tc>
          <w:tcPr>
            <w:tcW w:w="56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2C6937"/>
              <w:bottom w:val="single" w:sz="8" w:color="2C6937"/>
            </w:tcBorders>
          </w:tcPr>
          <w:p>
            <w:pPr>
              <w:spacing w:after="0"/>
              <w:rPr>
                <w:sz w:val="16"/>
                <w:szCs w:val="16"/>
                <w:color w:val="auto"/>
              </w:rPr>
            </w:pPr>
          </w:p>
        </w:tc>
        <w:tc>
          <w:tcPr>
            <w:tcW w:w="38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3"/>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460" w:type="dxa"/>
            <w:vAlign w:val="bottom"/>
          </w:tcPr>
          <w:p>
            <w:pPr>
              <w:spacing w:after="0"/>
              <w:rPr>
                <w:sz w:val="16"/>
                <w:szCs w:val="16"/>
                <w:color w:val="auto"/>
              </w:rPr>
            </w:pPr>
          </w:p>
        </w:tc>
        <w:tc>
          <w:tcPr>
            <w:tcW w:w="178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98"/>
              </w:rPr>
              <w:t>(Dollars in millions)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3"/>
          </w:tcPr>
          <w:p>
            <w:pPr>
              <w:jc w:val="right"/>
              <w:ind w:right="70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5"/>
                <w:szCs w:val="15"/>
                <w:color w:val="auto"/>
              </w:rPr>
              <w:t>Average</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0.04</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(9)</w:t>
            </w:r>
          </w:p>
        </w:tc>
        <w:tc>
          <w:tcPr>
            <w:tcW w:w="860" w:type="dxa"/>
            <w:vAlign w:val="bottom"/>
          </w:tcPr>
          <w:p>
            <w:pPr>
              <w:jc w:val="right"/>
              <w:ind w:right="209"/>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center"/>
              <w:ind w:right="223"/>
              <w:spacing w:after="0"/>
              <w:rPr>
                <w:sz w:val="20"/>
                <w:szCs w:val="20"/>
                <w:color w:val="auto"/>
              </w:rPr>
            </w:pPr>
            <w:r>
              <w:rPr>
                <w:rFonts w:ascii="Arial" w:cs="Arial" w:eastAsia="Arial" w:hAnsi="Arial"/>
                <w:sz w:val="15"/>
                <w:szCs w:val="15"/>
                <w:b w:val="1"/>
                <w:bCs w:val="1"/>
                <w:color w:val="auto"/>
                <w:w w:val="97"/>
              </w:rPr>
              <w:t>(36)</w:t>
            </w:r>
          </w:p>
        </w:tc>
        <w:tc>
          <w:tcPr>
            <w:tcW w:w="80" w:type="dxa"/>
            <w:vAlign w:val="bottom"/>
          </w:tcPr>
          <w:p>
            <w:pPr>
              <w:spacing w:after="0"/>
              <w:rPr>
                <w:sz w:val="17"/>
                <w:szCs w:val="17"/>
                <w:color w:val="auto"/>
              </w:rPr>
            </w:pPr>
          </w:p>
        </w:tc>
        <w:tc>
          <w:tcPr>
            <w:tcW w:w="1140" w:type="dxa"/>
            <w:vAlign w:val="bottom"/>
            <w:gridSpan w:val="2"/>
          </w:tcPr>
          <w:p>
            <w:pPr>
              <w:jc w:val="right"/>
              <w:ind w:right="231"/>
              <w:spacing w:after="0"/>
              <w:rPr>
                <w:sz w:val="20"/>
                <w:szCs w:val="20"/>
                <w:color w:val="auto"/>
              </w:rPr>
            </w:pPr>
            <w:r>
              <w:rPr>
                <w:rFonts w:ascii="Arial" w:cs="Arial" w:eastAsia="Arial" w:hAnsi="Arial"/>
                <w:sz w:val="15"/>
                <w:szCs w:val="15"/>
                <w:color w:val="auto"/>
              </w:rPr>
              <w:t>0.02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07"/>
              <w:spacing w:after="0"/>
              <w:rPr>
                <w:sz w:val="20"/>
                <w:szCs w:val="20"/>
                <w:color w:val="auto"/>
              </w:rPr>
            </w:pPr>
            <w:r>
              <w:rPr>
                <w:rFonts w:ascii="Arial" w:cs="Arial" w:eastAsia="Arial" w:hAnsi="Arial"/>
                <w:sz w:val="15"/>
                <w:szCs w:val="15"/>
                <w:color w:val="auto"/>
              </w:rPr>
              <w:t>(14)</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83"/>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Minimum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b w:val="1"/>
                <w:bCs w:val="1"/>
                <w:color w:val="auto"/>
              </w:rPr>
              <w:t>(14)</w:t>
            </w:r>
          </w:p>
        </w:tc>
        <w:tc>
          <w:tcPr>
            <w:tcW w:w="860" w:type="dxa"/>
            <w:vAlign w:val="bottom"/>
          </w:tcPr>
          <w:p>
            <w:pPr>
              <w:spacing w:after="0"/>
              <w:rPr>
                <w:sz w:val="17"/>
                <w:szCs w:val="17"/>
                <w:color w:val="auto"/>
              </w:rPr>
            </w:pPr>
          </w:p>
        </w:tc>
        <w:tc>
          <w:tcPr>
            <w:tcW w:w="560" w:type="dxa"/>
            <w:vAlign w:val="bottom"/>
          </w:tcPr>
          <w:p>
            <w:pPr>
              <w:jc w:val="center"/>
              <w:ind w:right="223"/>
              <w:spacing w:after="0"/>
              <w:rPr>
                <w:sz w:val="20"/>
                <w:szCs w:val="20"/>
                <w:color w:val="auto"/>
              </w:rPr>
            </w:pPr>
            <w:r>
              <w:rPr>
                <w:rFonts w:ascii="Arial" w:cs="Arial" w:eastAsia="Arial" w:hAnsi="Arial"/>
                <w:sz w:val="15"/>
                <w:szCs w:val="15"/>
                <w:b w:val="1"/>
                <w:bCs w:val="1"/>
                <w:color w:val="auto"/>
                <w:w w:val="97"/>
              </w:rPr>
              <w:t>(71)</w:t>
            </w:r>
          </w:p>
        </w:tc>
        <w:tc>
          <w:tcPr>
            <w:tcW w:w="80" w:type="dxa"/>
            <w:vAlign w:val="bottom"/>
          </w:tcPr>
          <w:p>
            <w:pPr>
              <w:spacing w:after="0"/>
              <w:rPr>
                <w:sz w:val="17"/>
                <w:szCs w:val="17"/>
                <w:color w:val="auto"/>
              </w:rPr>
            </w:pPr>
          </w:p>
        </w:tc>
        <w:tc>
          <w:tcPr>
            <w:tcW w:w="1140" w:type="dxa"/>
            <w:vAlign w:val="bottom"/>
            <w:gridSpan w:val="2"/>
          </w:tcPr>
          <w:p>
            <w:pPr>
              <w:jc w:val="right"/>
              <w:ind w:right="171"/>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407"/>
              <w:spacing w:after="0"/>
              <w:rPr>
                <w:sz w:val="20"/>
                <w:szCs w:val="20"/>
                <w:color w:val="auto"/>
              </w:rPr>
            </w:pPr>
            <w:r>
              <w:rPr>
                <w:rFonts w:ascii="Arial" w:cs="Arial" w:eastAsia="Arial" w:hAnsi="Arial"/>
                <w:sz w:val="15"/>
                <w:szCs w:val="15"/>
                <w:color w:val="auto"/>
              </w:rPr>
              <w:t>(19)</w:t>
            </w:r>
          </w:p>
        </w:tc>
        <w:tc>
          <w:tcPr>
            <w:tcW w:w="500" w:type="dxa"/>
            <w:vAlign w:val="bottom"/>
          </w:tcPr>
          <w:p>
            <w:pPr>
              <w:spacing w:after="0"/>
              <w:rPr>
                <w:sz w:val="17"/>
                <w:szCs w:val="17"/>
                <w:color w:val="auto"/>
              </w:rPr>
            </w:pPr>
          </w:p>
        </w:tc>
        <w:tc>
          <w:tcPr>
            <w:tcW w:w="880" w:type="dxa"/>
            <w:vAlign w:val="bottom"/>
          </w:tcPr>
          <w:p>
            <w:pPr>
              <w:jc w:val="right"/>
              <w:ind w:right="283"/>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Maximum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1</w:t>
            </w:r>
          </w:p>
        </w:tc>
        <w:tc>
          <w:tcPr>
            <w:tcW w:w="860" w:type="dxa"/>
            <w:vAlign w:val="bottom"/>
          </w:tcPr>
          <w:p>
            <w:pPr>
              <w:spacing w:after="0"/>
              <w:rPr>
                <w:sz w:val="17"/>
                <w:szCs w:val="17"/>
                <w:color w:val="auto"/>
              </w:rPr>
            </w:pPr>
          </w:p>
        </w:tc>
        <w:tc>
          <w:tcPr>
            <w:tcW w:w="560" w:type="dxa"/>
            <w:vAlign w:val="bottom"/>
          </w:tcPr>
          <w:p>
            <w:pPr>
              <w:jc w:val="center"/>
              <w:ind w:right="223"/>
              <w:spacing w:after="0"/>
              <w:rPr>
                <w:sz w:val="20"/>
                <w:szCs w:val="20"/>
                <w:color w:val="auto"/>
              </w:rPr>
            </w:pPr>
            <w:r>
              <w:rPr>
                <w:rFonts w:ascii="Arial" w:cs="Arial" w:eastAsia="Arial" w:hAnsi="Arial"/>
                <w:sz w:val="15"/>
                <w:szCs w:val="15"/>
                <w:b w:val="1"/>
                <w:bCs w:val="1"/>
                <w:color w:val="auto"/>
                <w:w w:val="97"/>
              </w:rPr>
              <w:t>(18)</w:t>
            </w:r>
          </w:p>
        </w:tc>
        <w:tc>
          <w:tcPr>
            <w:tcW w:w="80" w:type="dxa"/>
            <w:vAlign w:val="bottom"/>
          </w:tcPr>
          <w:p>
            <w:pPr>
              <w:spacing w:after="0"/>
              <w:rPr>
                <w:sz w:val="17"/>
                <w:szCs w:val="17"/>
                <w:color w:val="auto"/>
              </w:rPr>
            </w:pPr>
          </w:p>
        </w:tc>
        <w:tc>
          <w:tcPr>
            <w:tcW w:w="1140" w:type="dxa"/>
            <w:vAlign w:val="bottom"/>
            <w:gridSpan w:val="2"/>
          </w:tcPr>
          <w:p>
            <w:pPr>
              <w:jc w:val="right"/>
              <w:ind w:right="231"/>
              <w:spacing w:after="0"/>
              <w:rPr>
                <w:sz w:val="20"/>
                <w:szCs w:val="20"/>
                <w:color w:val="auto"/>
              </w:rPr>
            </w:pPr>
            <w:r>
              <w:rPr>
                <w:rFonts w:ascii="Arial" w:cs="Arial" w:eastAsia="Arial" w:hAnsi="Arial"/>
                <w:sz w:val="15"/>
                <w:szCs w:val="15"/>
                <w:color w:val="auto"/>
              </w:rPr>
              <w:t>0.05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407"/>
              <w:spacing w:after="0"/>
              <w:rPr>
                <w:sz w:val="20"/>
                <w:szCs w:val="20"/>
                <w:color w:val="auto"/>
              </w:rPr>
            </w:pPr>
            <w:r>
              <w:rPr>
                <w:rFonts w:ascii="Arial" w:cs="Arial" w:eastAsia="Arial" w:hAnsi="Arial"/>
                <w:sz w:val="15"/>
                <w:szCs w:val="15"/>
                <w:color w:val="auto"/>
              </w:rPr>
              <w:t>(8)</w:t>
            </w:r>
          </w:p>
        </w:tc>
        <w:tc>
          <w:tcPr>
            <w:tcW w:w="500" w:type="dxa"/>
            <w:vAlign w:val="bottom"/>
          </w:tcPr>
          <w:p>
            <w:pPr>
              <w:spacing w:after="0"/>
              <w:rPr>
                <w:sz w:val="17"/>
                <w:szCs w:val="17"/>
                <w:color w:val="auto"/>
              </w:rPr>
            </w:pPr>
          </w:p>
        </w:tc>
        <w:tc>
          <w:tcPr>
            <w:tcW w:w="880" w:type="dxa"/>
            <w:vAlign w:val="bottom"/>
          </w:tcPr>
          <w:p>
            <w:pPr>
              <w:jc w:val="right"/>
              <w:ind w:right="28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b w:val="1"/>
                <w:bCs w:val="1"/>
                <w:color w:val="auto"/>
              </w:rPr>
              <w:t>3</w:t>
            </w:r>
          </w:p>
        </w:tc>
        <w:tc>
          <w:tcPr>
            <w:tcW w:w="860" w:type="dxa"/>
            <w:vAlign w:val="bottom"/>
          </w:tcPr>
          <w:p>
            <w:pPr>
              <w:spacing w:after="0"/>
              <w:rPr>
                <w:sz w:val="18"/>
                <w:szCs w:val="18"/>
                <w:color w:val="auto"/>
              </w:rPr>
            </w:pPr>
          </w:p>
        </w:tc>
        <w:tc>
          <w:tcPr>
            <w:tcW w:w="560" w:type="dxa"/>
            <w:vAlign w:val="bottom"/>
          </w:tcPr>
          <w:p>
            <w:pPr>
              <w:jc w:val="center"/>
              <w:ind w:right="203"/>
              <w:spacing w:after="0"/>
              <w:rPr>
                <w:sz w:val="20"/>
                <w:szCs w:val="20"/>
                <w:color w:val="auto"/>
              </w:rPr>
            </w:pPr>
            <w:r>
              <w:rPr>
                <w:rFonts w:ascii="Arial" w:cs="Arial" w:eastAsia="Arial" w:hAnsi="Arial"/>
                <w:sz w:val="15"/>
                <w:szCs w:val="15"/>
                <w:b w:val="1"/>
                <w:bCs w:val="1"/>
                <w:color w:val="auto"/>
                <w:w w:val="95"/>
              </w:rPr>
              <w:t>13</w:t>
            </w:r>
          </w:p>
        </w:tc>
        <w:tc>
          <w:tcPr>
            <w:tcW w:w="80" w:type="dxa"/>
            <w:vAlign w:val="bottom"/>
          </w:tcPr>
          <w:p>
            <w:pPr>
              <w:spacing w:after="0"/>
              <w:rPr>
                <w:sz w:val="18"/>
                <w:szCs w:val="18"/>
                <w:color w:val="auto"/>
              </w:rPr>
            </w:pPr>
          </w:p>
        </w:tc>
        <w:tc>
          <w:tcPr>
            <w:tcW w:w="1140" w:type="dxa"/>
            <w:vAlign w:val="bottom"/>
            <w:gridSpan w:val="2"/>
          </w:tcPr>
          <w:p>
            <w:pPr>
              <w:jc w:val="right"/>
              <w:ind w:right="231"/>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47"/>
              <w:spacing w:after="0"/>
              <w:rPr>
                <w:sz w:val="20"/>
                <w:szCs w:val="20"/>
                <w:color w:val="auto"/>
              </w:rPr>
            </w:pPr>
            <w:r>
              <w:rPr>
                <w:rFonts w:ascii="Arial" w:cs="Arial" w:eastAsia="Arial" w:hAnsi="Arial"/>
                <w:sz w:val="15"/>
                <w:szCs w:val="15"/>
                <w:color w:val="auto"/>
              </w:rPr>
              <w:t>4</w:t>
            </w:r>
          </w:p>
        </w:tc>
        <w:tc>
          <w:tcPr>
            <w:tcW w:w="500" w:type="dxa"/>
            <w:vAlign w:val="bottom"/>
          </w:tcPr>
          <w:p>
            <w:pPr>
              <w:spacing w:after="0"/>
              <w:rPr>
                <w:sz w:val="18"/>
                <w:szCs w:val="18"/>
                <w:color w:val="auto"/>
              </w:rPr>
            </w:pPr>
          </w:p>
        </w:tc>
        <w:tc>
          <w:tcPr>
            <w:tcW w:w="880" w:type="dxa"/>
            <w:vAlign w:val="bottom"/>
          </w:tcPr>
          <w:p>
            <w:pPr>
              <w:jc w:val="right"/>
              <w:ind w:right="34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40" w:right="40" w:hanging="237"/>
        <w:spacing w:after="0" w:line="237" w:lineRule="auto"/>
        <w:tabs>
          <w:tab w:leader="none" w:pos="233"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 as of and for the three months ended March 31, 2024, and as of December 31, 2023. Computed based on changes in U.S. LIBOR interest-rates swap curve for the three months ended March 31, 2023. Changes in the level of interest rates assume a parallel shift in all maturities of the SOFR or U.S. LIBOR interest-rate swap curve, as applicable. Changes in the slope of the yield curve assume a constant 7-year rate, a shift of 16.7 basis points for the 1-year rate (and shorter tenors) and an opposite shift of 8.3 basis points for the 30-year rate. Rate shocks for remaining maturity points are interpolated.</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7"/>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57"/>
        </w:numPr>
        <w:rPr>
          <w:rFonts w:ascii="Arial" w:cs="Arial" w:eastAsia="Arial" w:hAnsi="Arial"/>
          <w:sz w:val="9"/>
          <w:szCs w:val="9"/>
          <w:color w:val="auto"/>
        </w:rPr>
      </w:pPr>
      <w:r>
        <w:rPr>
          <w:rFonts w:ascii="Arial" w:cs="Arial" w:eastAsia="Arial" w:hAnsi="Arial"/>
          <w:sz w:val="14"/>
          <w:szCs w:val="14"/>
          <w:color w:val="auto"/>
        </w:rPr>
        <w:t>Computed based on daily values during the period presented.</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4" w:name="page55"/>
    <w:bookmarkEnd w:id="54"/>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2023 Form 10-K and in this report.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300" w:type="dxa"/>
            <w:vAlign w:val="bottom"/>
            <w:tcBorders>
              <w:top w:val="single" w:sz="8" w:color="2C6937"/>
              <w:bottom w:val="single" w:sz="8" w:color="2C6937"/>
            </w:tcBorders>
          </w:tcPr>
          <w:p>
            <w:pPr>
              <w:spacing w:after="0"/>
              <w:rPr>
                <w:sz w:val="17"/>
                <w:szCs w:val="17"/>
                <w:color w:val="auto"/>
              </w:rPr>
            </w:pPr>
          </w:p>
        </w:tc>
        <w:tc>
          <w:tcPr>
            <w:tcW w:w="194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427"/>
              <w:spacing w:after="0"/>
              <w:rPr>
                <w:sz w:val="20"/>
                <w:szCs w:val="20"/>
                <w:color w:val="auto"/>
              </w:rPr>
            </w:pPr>
            <w:r>
              <w:rPr>
                <w:rFonts w:ascii="Arial" w:cs="Arial" w:eastAsia="Arial" w:hAnsi="Arial"/>
                <w:sz w:val="14"/>
                <w:szCs w:val="14"/>
                <w:b w:val="1"/>
                <w:bCs w:val="1"/>
                <w:color w:val="auto"/>
              </w:rPr>
              <w:t>March 31, 2024</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2023</w:t>
            </w:r>
          </w:p>
        </w:tc>
      </w:tr>
      <w:tr>
        <w:trPr>
          <w:trHeight w:val="185"/>
        </w:trPr>
        <w:tc>
          <w:tcPr>
            <w:tcW w:w="7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2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7"/>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3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600" w:type="dxa"/>
            <w:vAlign w:val="bottom"/>
          </w:tcPr>
          <w:p>
            <w:pPr>
              <w:jc w:val="right"/>
              <w:ind w:right="107"/>
              <w:spacing w:after="0"/>
              <w:rPr>
                <w:sz w:val="20"/>
                <w:szCs w:val="20"/>
                <w:color w:val="auto"/>
              </w:rPr>
            </w:pPr>
            <w:r>
              <w:rPr>
                <w:rFonts w:ascii="Arial" w:cs="Arial" w:eastAsia="Arial" w:hAnsi="Arial"/>
                <w:sz w:val="15"/>
                <w:szCs w:val="15"/>
                <w:b w:val="1"/>
                <w:bCs w:val="1"/>
                <w:color w:val="auto"/>
              </w:rPr>
              <w:t>(396)</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(449)</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300" w:type="dxa"/>
            <w:vAlign w:val="bottom"/>
          </w:tcPr>
          <w:p>
            <w:pPr>
              <w:spacing w:after="0"/>
              <w:rPr>
                <w:sz w:val="17"/>
                <w:szCs w:val="17"/>
                <w:color w:val="auto"/>
              </w:rPr>
            </w:pPr>
          </w:p>
        </w:tc>
        <w:tc>
          <w:tcPr>
            <w:tcW w:w="1600" w:type="dxa"/>
            <w:vAlign w:val="bottom"/>
          </w:tcPr>
          <w:p>
            <w:pPr>
              <w:jc w:val="right"/>
              <w:ind w:right="107"/>
              <w:spacing w:after="0"/>
              <w:rPr>
                <w:sz w:val="20"/>
                <w:szCs w:val="20"/>
                <w:color w:val="auto"/>
              </w:rPr>
            </w:pPr>
            <w:r>
              <w:rPr>
                <w:rFonts w:ascii="Arial" w:cs="Arial" w:eastAsia="Arial" w:hAnsi="Arial"/>
                <w:sz w:val="15"/>
                <w:szCs w:val="15"/>
                <w:b w:val="1"/>
                <w:bCs w:val="1"/>
                <w:color w:val="auto"/>
              </w:rPr>
              <w:t>(50)</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(47)</w:t>
            </w:r>
          </w:p>
        </w:tc>
      </w:tr>
      <w:tr>
        <w:trPr>
          <w:trHeight w:val="214"/>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300" w:type="dxa"/>
            <w:vAlign w:val="bottom"/>
          </w:tcPr>
          <w:p>
            <w:pPr>
              <w:spacing w:after="0"/>
              <w:rPr>
                <w:sz w:val="18"/>
                <w:szCs w:val="18"/>
                <w:color w:val="auto"/>
              </w:rPr>
            </w:pPr>
          </w:p>
        </w:tc>
        <w:tc>
          <w:tcPr>
            <w:tcW w:w="1600" w:type="dxa"/>
            <w:vAlign w:val="bottom"/>
          </w:tcPr>
          <w:p>
            <w:pPr>
              <w:jc w:val="right"/>
              <w:ind w:right="167"/>
              <w:spacing w:after="0"/>
              <w:rPr>
                <w:sz w:val="20"/>
                <w:szCs w:val="20"/>
                <w:color w:val="auto"/>
              </w:rPr>
            </w:pPr>
            <w:r>
              <w:rPr>
                <w:rFonts w:ascii="Arial" w:cs="Arial" w:eastAsia="Arial" w:hAnsi="Arial"/>
                <w:sz w:val="15"/>
                <w:szCs w:val="15"/>
                <w:b w:val="1"/>
                <w:bCs w:val="1"/>
                <w:color w:val="auto"/>
              </w:rPr>
              <w:t>346</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402</w:t>
            </w:r>
          </w:p>
        </w:tc>
      </w:tr>
    </w:tbl>
    <w:p>
      <w:pPr>
        <w:spacing w:after="0" w:line="102" w:lineRule="exact"/>
        <w:rPr>
          <w:sz w:val="20"/>
          <w:szCs w:val="20"/>
          <w:color w:val="auto"/>
        </w:rPr>
      </w:pPr>
    </w:p>
    <w:p>
      <w:pPr>
        <w:ind w:left="220" w:hanging="217"/>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Earnings Exposure to Interest-Rate Risk</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2023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each business day to provide flexibility in our overall risk management strategy.</w:t>
      </w:r>
    </w:p>
    <w:p>
      <w:pPr>
        <w:spacing w:after="0" w:line="43" w:lineRule="exact"/>
        <w:rPr>
          <w:sz w:val="20"/>
          <w:szCs w:val="20"/>
          <w:color w:val="auto"/>
        </w:rPr>
      </w:pPr>
    </w:p>
    <w:p>
      <w:pPr>
        <w:ind w:right="820"/>
        <w:spacing w:after="0" w:line="310" w:lineRule="auto"/>
        <w:rPr>
          <w:sz w:val="20"/>
          <w:szCs w:val="20"/>
          <w:color w:val="auto"/>
        </w:rPr>
      </w:pPr>
      <w:r>
        <w:rPr>
          <w:rFonts w:ascii="Arial" w:cs="Arial" w:eastAsia="Arial" w:hAnsi="Arial"/>
          <w:sz w:val="16"/>
          <w:szCs w:val="16"/>
          <w:color w:val="auto"/>
        </w:rPr>
        <w:t>See “Note 1, Summary of Significant Accounting Policies” in our 2023 Form 10-K and “Note 9, Derivative Instruments” in this report for additional information on our fair value hedge accounting policy and related disclosures.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2023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2023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3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4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5" w:name="page56"/>
    <w:bookmarkEnd w:id="55"/>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2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rental income and property valuations over the remaining life of each mortgage loan. In developing a reasonable and supportable forecast, the model simulates multiple paths of interest rates, rental income and property values based on current market conditions.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80"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1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8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9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6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drivers; primarily home prices and interest rates related to our single-family book of business, which for the purposes of macroeconomic model inputs, we have determined are the most significant judgments used in our estimation of credit losses. We develop regional forecasts for single-family home prices using a multi-path simulation that captures home price projections over a five-year period, which is the period for which we can develop reasonable and supportable forecasts. After the five-year period, the home price forecast reverts to a historical long-term growth rate. Additionally, our model projects the range of possible interest rate scenarios over the life of the loan. This process captures multiple possible outcomes of what could be more or less favorable economic environments for the borrower, and therefore will increase or decrease the likelihood of default or prepayment depending on the environment in each path of the simulation.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r>
      <w:tr>
        <w:trPr>
          <w:trHeight w:val="194"/>
        </w:trPr>
        <w:tc>
          <w:tcPr>
            <w:tcW w:w="6840" w:type="dxa"/>
            <w:vAlign w:val="bottom"/>
            <w:tcBorders>
              <w:bottom w:val="single" w:sz="8" w:color="9A9A9A"/>
            </w:tcBorders>
          </w:tcPr>
          <w:p>
            <w:pPr>
              <w:spacing w:after="0"/>
              <w:rPr>
                <w:sz w:val="16"/>
                <w:szCs w:val="16"/>
                <w:color w:val="auto"/>
              </w:rPr>
            </w:pPr>
          </w:p>
        </w:tc>
        <w:tc>
          <w:tcPr>
            <w:tcW w:w="44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6" w:name="page57"/>
    <w:bookmarkEnd w:id="56"/>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table below provides information about our most significant key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allowance for the quarter ended March 31, 2024, and for each quarter during the year ended December 31, 2023, and how those forecasts have changed between periods of estimate. Below we present our home price growth and interest rate estimates used in our estimate of expected credit losses. Our forecasts include estimates for periods beyond 2026 that are not presented in the table below.</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18"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320" w:type="dxa"/>
            <w:vAlign w:val="bottom"/>
          </w:tcPr>
          <w:p>
            <w:pPr>
              <w:spacing w:after="0"/>
              <w:rPr>
                <w:sz w:val="17"/>
                <w:szCs w:val="17"/>
                <w:color w:val="auto"/>
              </w:rPr>
            </w:pPr>
          </w:p>
        </w:tc>
        <w:tc>
          <w:tcPr>
            <w:tcW w:w="124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jc w:val="right"/>
              <w:ind w:right="50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142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2026</w:t>
            </w:r>
          </w:p>
        </w:tc>
      </w:tr>
      <w:tr>
        <w:trPr>
          <w:trHeight w:val="210"/>
        </w:trPr>
        <w:tc>
          <w:tcPr>
            <w:tcW w:w="7560" w:type="dxa"/>
            <w:vAlign w:val="bottom"/>
            <w:gridSpan w:val="2"/>
          </w:tcPr>
          <w:p>
            <w:pPr>
              <w:jc w:val="right"/>
              <w:ind w:right="6223"/>
              <w:spacing w:after="0"/>
              <w:rPr>
                <w:sz w:val="20"/>
                <w:szCs w:val="20"/>
                <w:color w:val="auto"/>
              </w:rPr>
            </w:pPr>
            <w:r>
              <w:rPr>
                <w:rFonts w:ascii="Arial" w:cs="Arial" w:eastAsia="Arial" w:hAnsi="Arial"/>
                <w:sz w:val="15"/>
                <w:szCs w:val="15"/>
                <w:color w:val="auto"/>
              </w:rPr>
              <w:t>First Quarter 2024</w:t>
            </w:r>
          </w:p>
        </w:tc>
        <w:tc>
          <w:tcPr>
            <w:tcW w:w="580" w:type="dxa"/>
            <w:vAlign w:val="bottom"/>
          </w:tcPr>
          <w:p>
            <w:pPr>
              <w:jc w:val="right"/>
              <w:spacing w:after="0"/>
              <w:rPr>
                <w:sz w:val="20"/>
                <w:szCs w:val="20"/>
                <w:color w:val="auto"/>
              </w:rPr>
            </w:pPr>
            <w:r>
              <w:rPr>
                <w:rFonts w:ascii="Arial" w:cs="Arial" w:eastAsia="Arial" w:hAnsi="Arial"/>
                <w:sz w:val="15"/>
                <w:szCs w:val="15"/>
                <w:color w:val="auto"/>
              </w:rPr>
              <w:t>4.8 %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1.5 %</w:t>
            </w:r>
          </w:p>
        </w:tc>
        <w:tc>
          <w:tcPr>
            <w:tcW w:w="100" w:type="dxa"/>
            <w:vAlign w:val="bottom"/>
          </w:tcPr>
          <w:p>
            <w:pPr>
              <w:spacing w:after="0"/>
              <w:rPr>
                <w:sz w:val="18"/>
                <w:szCs w:val="18"/>
                <w:color w:val="auto"/>
              </w:rPr>
            </w:pPr>
          </w:p>
        </w:tc>
        <w:tc>
          <w:tcPr>
            <w:tcW w:w="1420" w:type="dxa"/>
            <w:vAlign w:val="bottom"/>
          </w:tcPr>
          <w:p>
            <w:pPr>
              <w:jc w:val="right"/>
              <w:ind w:right="143"/>
              <w:spacing w:after="0"/>
              <w:rPr>
                <w:sz w:val="20"/>
                <w:szCs w:val="20"/>
                <w:color w:val="auto"/>
              </w:rPr>
            </w:pPr>
            <w:r>
              <w:rPr>
                <w:rFonts w:ascii="Arial" w:cs="Arial" w:eastAsia="Arial" w:hAnsi="Arial"/>
                <w:sz w:val="15"/>
                <w:szCs w:val="15"/>
                <w:color w:val="auto"/>
              </w:rPr>
              <w:t>*</w:t>
            </w:r>
          </w:p>
        </w:tc>
      </w:tr>
    </w:tbl>
    <w:p>
      <w:pPr>
        <w:spacing w:after="0" w:line="271"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ectPr>
          <w:pgSz w:w="11900" w:h="16838" w:orient="portrait"/>
          <w:cols w:equalWidth="0" w:num="1">
            <w:col w:w="11240"/>
          </w:cols>
          <w:pgMar w:left="320" w:top="248" w:right="339" w:bottom="1440" w:gutter="0" w:footer="0" w:header="0"/>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167" w:lineRule="exact"/>
        <w:rPr>
          <w:sz w:val="20"/>
          <w:szCs w:val="20"/>
          <w:color w:val="auto"/>
        </w:rPr>
      </w:pPr>
    </w:p>
    <w:p>
      <w:pPr>
        <w:ind w:left="200" w:hanging="197"/>
        <w:spacing w:after="0"/>
        <w:tabs>
          <w:tab w:leader="none" w:pos="2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less than 0.05% of home price growth (decline).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Borders>
              <w:top w:val="single" w:sz="8" w:color="2C6937"/>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jc w:val="right"/>
              <w:ind w:right="50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142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2025</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7.1 %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0.3 %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(0.4)</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0"/>
                <w:szCs w:val="20"/>
                <w:color w:val="auto"/>
              </w:rPr>
            </w:pP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(1.5)</w:t>
            </w:r>
          </w:p>
        </w:tc>
      </w:tr>
      <w:tr>
        <w:trPr>
          <w:trHeight w:val="232"/>
        </w:trPr>
        <w:tc>
          <w:tcPr>
            <w:tcW w:w="1820" w:type="dxa"/>
            <w:vAlign w:val="bottom"/>
          </w:tcPr>
          <w:p>
            <w:pPr>
              <w:jc w:val="right"/>
              <w:ind w:right="8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(1.1)</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17"/>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8"/>
                <w:szCs w:val="18"/>
                <w:color w:val="auto"/>
              </w:rPr>
            </w:pPr>
          </w:p>
        </w:tc>
      </w:tr>
      <w:tr>
        <w:trPr>
          <w:trHeight w:val="202"/>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2026</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6.2 %</w:t>
            </w:r>
          </w:p>
        </w:tc>
      </w:tr>
      <w:tr>
        <w:trPr>
          <w:trHeight w:val="464"/>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17"/>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8"/>
                <w:szCs w:val="18"/>
                <w:color w:val="auto"/>
              </w:rPr>
            </w:pPr>
          </w:p>
        </w:tc>
      </w:tr>
      <w:tr>
        <w:trPr>
          <w:trHeight w:val="202"/>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2025</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6.0 %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6.8</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5.8</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5.5</w:t>
            </w:r>
          </w:p>
        </w:tc>
      </w:tr>
    </w:tbl>
    <w:p>
      <w:pPr>
        <w:spacing w:after="0" w:line="329" w:lineRule="exact"/>
        <w:rPr>
          <w:sz w:val="20"/>
          <w:szCs w:val="20"/>
          <w:color w:val="auto"/>
        </w:rPr>
      </w:pPr>
    </w:p>
    <w:p>
      <w:pPr>
        <w:sectPr>
          <w:pgSz w:w="11900" w:h="16838" w:orient="portrait"/>
          <w:cols w:equalWidth="0" w:num="2">
            <w:col w:w="5620" w:space="720"/>
            <w:col w:w="4900"/>
          </w:cols>
          <w:pgMar w:left="320" w:top="248" w:right="339" w:bottom="1440" w:gutter="0" w:footer="0" w:header="0"/>
          <w:type w:val="continuous"/>
        </w:sectPr>
      </w:pPr>
    </w:p>
    <w:p>
      <w:pPr>
        <w:ind w:left="240" w:right="260" w:hanging="237"/>
        <w:spacing w:after="0" w:line="233"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These forecasts are provided here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&amp; Strategic Research group provides its forecast of economic and housing market conditions, which are available in the “About Us/Research and Insights” section of our website, www.fanniemae.com. Information on our website is not incorporated into this report.</w:t>
      </w:r>
    </w:p>
    <w:p>
      <w:pPr>
        <w:spacing w:after="0" w:line="26" w:lineRule="exact"/>
        <w:rPr>
          <w:rFonts w:ascii="Arial" w:cs="Arial" w:eastAsia="Arial" w:hAnsi="Arial"/>
          <w:sz w:val="18"/>
          <w:szCs w:val="18"/>
          <w:color w:val="auto"/>
          <w:vertAlign w:val="superscript"/>
        </w:rPr>
      </w:pPr>
    </w:p>
    <w:p>
      <w:pPr>
        <w:ind w:left="240" w:right="60" w:hanging="237"/>
        <w:spacing w:after="0" w:line="238"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These estimates are based on our national home price index, which is calculated differently from the S&amp;P/Case-Shiller U.S. National Home Price Index and therefore results in different percentages for comparable growth. We periodically update our home price growth estimates and forecasts as new data become available. As a result,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 as part of our established governance process to ensure the reasonableness of the inputs used to calculate estimated credit losses. The forecast data excludes the impact of any qualitative adjustments.</w:t>
      </w:r>
    </w:p>
    <w:p>
      <w:pPr>
        <w:spacing w:after="0" w:line="27" w:lineRule="exact"/>
        <w:rPr>
          <w:rFonts w:ascii="Arial" w:cs="Arial" w:eastAsia="Arial" w:hAnsi="Arial"/>
          <w:sz w:val="18"/>
          <w:szCs w:val="18"/>
          <w:color w:val="auto"/>
          <w:vertAlign w:val="superscript"/>
        </w:rPr>
      </w:pPr>
    </w:p>
    <w:p>
      <w:pPr>
        <w:ind w:left="240" w:right="20" w:hanging="237"/>
        <w:spacing w:after="0" w:line="233"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2024 and 2023 represent the average forecasted rate from the quarter-end through the calendar year end of December 31st. The fourth quarter of 2023 interest rate represents the 30-year interest rate as of December 31, 2023. This table reflects the forecasted interest rate data we used in estimating credit losses for the periods shown and does not reflect changes in interest rates that occurred after the forecast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7" w:name="page58"/>
    <w:bookmarkEnd w:id="57"/>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3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As noted above, our allowance for loan losses is sensitive to changes in home prices and interest rate changes. To consider the impact of a hypothetical change in home prices, assuming a positive one-percentage point change in the home price growth rate for the first twelve months of the forecast, on a normalized basis, with all other factors held constant, the single-family allowance for loan losses as of March 31, 2024 would decrease by approximately 3%. Conversely, assuming a negative one-percentage point change in the home price growth rate for the first twelve months of the forecast, on a normalized basis, the single-family allowance for loan losses would increase by approximately 3%.</w:t>
      </w:r>
    </w:p>
    <w:p>
      <w:pPr>
        <w:spacing w:after="0" w:line="3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To consider the impact of a hypothetical change in 30-year interest rates, assuming a 50-basis point increase in estimated 30-year interest rates, with all other factors held constant, the single-family allowance for loan losses as of March 31, 2024 would increase by approximately 3%. Conversely, assuming a 50-basis point decrease in 30-year interest rates, the single-family allowance for loan losses would decrease by approximately 4%.</w:t>
      </w:r>
    </w:p>
    <w:p>
      <w:pPr>
        <w:spacing w:after="0" w:line="3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These sensitivity analyses are hypothetical and are provided solely for the purpose of providing insight into our credit loss model inputs. In addition, sensitivities for home price and interest rate changes are non-linear. As a result, changes in these estimates are not incrementally proportional. The purpose of this analysis is to provide an indication of the impact of home price appreciation and 30-year interest rates on the estimate of the allowance for credit losses. For example, it is not intended to imply management’s expectation of future changes in our forecasts or any other variables that may change as a result.</w:t>
      </w:r>
    </w:p>
    <w:p>
      <w:pPr>
        <w:spacing w:after="0" w:line="38"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2023 Form 10-K. See “Note 5, Allowance for Loan Losses” for additional information about our current period benefit for loan losses.</w:t>
      </w:r>
    </w:p>
    <w:p>
      <w:pPr>
        <w:spacing w:after="0" w:line="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See “Key Market Economic Indicators” in our 2023 Form 10-K for additional information about how home prices can affect our credit loss estimates. See “Key Market Economic Indicators” in this report for a discussion of home price growth rates and our home price forecast. Also see “Consolidated Results of Operations—Benefit (Provision) for Credit Losses” in this report for information on how our home price forecast impacted our single-family benefit for credit losses.</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80"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41" w:lineRule="exact"/>
        <w:rPr>
          <w:sz w:val="20"/>
          <w:szCs w:val="20"/>
          <w:color w:val="auto"/>
        </w:rPr>
      </w:pPr>
    </w:p>
    <w:p>
      <w:pPr>
        <w:ind w:left="620" w:right="40" w:hanging="307"/>
        <w:spacing w:after="0" w:line="272" w:lineRule="auto"/>
        <w:tabs>
          <w:tab w:leader="none" w:pos="612" w:val="left"/>
        </w:tabs>
        <w:numPr>
          <w:ilvl w:val="0"/>
          <w:numId w:val="61"/>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growth, home price growth, unemployment rates, loan origination volumes and interest rates), the factors that will affect those conditions, and the impact of those conditions on our business and financial results;</w:t>
      </w:r>
    </w:p>
    <w:p>
      <w:pPr>
        <w:spacing w:after="0" w:line="44" w:lineRule="exact"/>
        <w:rPr>
          <w:rFonts w:ascii="Arial" w:cs="Arial" w:eastAsia="Arial" w:hAnsi="Arial"/>
          <w:sz w:val="16"/>
          <w:szCs w:val="16"/>
          <w:i w:val="1"/>
          <w:iCs w:val="1"/>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impact of hedge accounting on the volatility of our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w:t>
      </w:r>
    </w:p>
    <w:p>
      <w:pPr>
        <w:spacing w:after="0" w:line="86" w:lineRule="exact"/>
        <w:rPr>
          <w:rFonts w:ascii="Arial" w:cs="Arial" w:eastAsia="Arial" w:hAnsi="Arial"/>
          <w:sz w:val="16"/>
          <w:szCs w:val="16"/>
          <w:color w:val="auto"/>
        </w:rPr>
      </w:pPr>
    </w:p>
    <w:p>
      <w:pPr>
        <w:ind w:left="620" w:right="80" w:hanging="307"/>
        <w:spacing w:after="0" w:line="310" w:lineRule="auto"/>
        <w:tabs>
          <w:tab w:leader="none" w:pos="61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credit performance of the loans in our guaranty book of business (including future loan delinquencies and foreclosures) and the factors that will affect such performance;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8" w:name="page59"/>
    <w:bookmarkEnd w:id="58"/>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effects of our credit risk transfer transactions, as well as the factors that will affect our engagement in future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payments to HUD and Treasury funds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38"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15" w:lineRule="exact"/>
        <w:rPr>
          <w:sz w:val="20"/>
          <w:szCs w:val="20"/>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factors that will affect future economic conditions, including the persistence of inflationary pressures and the risk of financial market disruptions;</w:t>
      </w:r>
    </w:p>
    <w:p>
      <w:pPr>
        <w:spacing w:after="0" w:line="99" w:lineRule="exact"/>
        <w:rPr>
          <w:rFonts w:ascii="Arial" w:cs="Arial" w:eastAsia="Arial" w:hAnsi="Arial"/>
          <w:sz w:val="16"/>
          <w:szCs w:val="16"/>
          <w:color w:val="auto"/>
        </w:rPr>
      </w:pPr>
    </w:p>
    <w:p>
      <w:pPr>
        <w:ind w:left="620" w:right="18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volume of mortgage originations;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size and our share of the U.S. mortgage market and the factors that affect them, including population growth and household formation;</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right="24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the impact of conflict in the Middle East, the Russian war in Ukraine, and tensions between China and Taiwan;</w:t>
      </w:r>
    </w:p>
    <w:p>
      <w:pPr>
        <w:spacing w:after="0" w:line="14"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impact of stress in the banking sector on the financial condition and business activities of our counterparties, including stress on regional banks and on banks with significant exposure to commercial real estate;</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right="80" w:hanging="307"/>
        <w:spacing w:after="0" w:line="266"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 value of our derivatives and other financial instruments that we mark to market through our earnings; and developments that affect our loss reserves, such as changes in interest rates, home prices or accounting standards;</w:t>
      </w:r>
    </w:p>
    <w:p>
      <w:pPr>
        <w:spacing w:after="0" w:line="35"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99" w:lineRule="exact"/>
        <w:rPr>
          <w:rFonts w:ascii="Arial" w:cs="Arial" w:eastAsia="Arial" w:hAnsi="Arial"/>
          <w:sz w:val="16"/>
          <w:szCs w:val="16"/>
          <w:color w:val="auto"/>
        </w:rPr>
      </w:pPr>
    </w:p>
    <w:p>
      <w:pPr>
        <w:ind w:left="620" w:right="12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9" w:name="page60"/>
    <w:bookmarkEnd w:id="59"/>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and their effect on our business, including restrictions imposed on us by the terms of the senior preferred stock purchase agreement, the senior preferred stock, and the warrant, as well as the extent that these or other restrictions on our business and activities are applied to us through other mechanisms even if we cease to be subject to these agreements and instruments;</w:t>
      </w:r>
    </w:p>
    <w:p>
      <w:pPr>
        <w:spacing w:after="0" w:line="32" w:lineRule="exact"/>
        <w:rPr>
          <w:rFonts w:ascii="Arial" w:cs="Arial" w:eastAsia="Arial" w:hAnsi="Arial"/>
          <w:sz w:val="16"/>
          <w:szCs w:val="16"/>
          <w:color w:val="auto"/>
        </w:rPr>
      </w:pPr>
    </w:p>
    <w:p>
      <w:pPr>
        <w:ind w:left="620" w:right="10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our ability to raise or earn the capital needed to meet our capital requirements, and our ability to achieve long-term return targets;</w:t>
      </w:r>
    </w:p>
    <w:p>
      <w:pPr>
        <w:spacing w:after="0" w:line="27" w:lineRule="exact"/>
        <w:rPr>
          <w:rFonts w:ascii="Arial" w:cs="Arial" w:eastAsia="Arial" w:hAnsi="Arial"/>
          <w:sz w:val="16"/>
          <w:szCs w:val="16"/>
          <w:color w:val="auto"/>
        </w:rPr>
      </w:pPr>
    </w:p>
    <w:p>
      <w:pPr>
        <w:ind w:left="620" w:right="180" w:hanging="307"/>
        <w:spacing w:after="0" w:line="272"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as well as 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31"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may result in changes that affect our company or our business;</w:t>
      </w:r>
    </w:p>
    <w:p>
      <w:pPr>
        <w:spacing w:after="0" w:line="86" w:lineRule="exact"/>
        <w:rPr>
          <w:rFonts w:ascii="Arial" w:cs="Arial" w:eastAsia="Arial" w:hAnsi="Arial"/>
          <w:sz w:val="16"/>
          <w:szCs w:val="16"/>
          <w:color w:val="auto"/>
        </w:rPr>
      </w:pPr>
    </w:p>
    <w:p>
      <w:pPr>
        <w:ind w:left="620" w:right="20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or actions relating to UMBS or our resecuritization of Freddie Mac-issued securities;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160" w:hanging="307"/>
        <w:spacing w:after="0" w:line="272"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 or address barriers to sustainable housing opportunities and advance equity in housing finance;</w:t>
      </w:r>
    </w:p>
    <w:p>
      <w:pPr>
        <w:spacing w:after="0" w:line="31"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reliance on Common Securitization Solutions, LLC (“CSS”), a limited liability company we own jointly with Freddie Mac, and the common securitization platform CSS operates for a majority of our single-family securitization activities; provisions in the CSS limited liability company agreement that permit FHFA to add members to the CSS Board of Managers, which may limit the ability of Fannie Mae and Freddie Mac to control decisions of the Board; and changes FHFA may require in our relationship with or in our support of CSS;</w:t>
      </w:r>
    </w:p>
    <w:p>
      <w:pPr>
        <w:spacing w:after="0" w:line="32" w:lineRule="exact"/>
        <w:rPr>
          <w:rFonts w:ascii="Arial" w:cs="Arial" w:eastAsia="Arial" w:hAnsi="Arial"/>
          <w:sz w:val="16"/>
          <w:szCs w:val="16"/>
          <w:color w:val="auto"/>
        </w:rPr>
      </w:pPr>
    </w:p>
    <w:p>
      <w:pPr>
        <w:ind w:left="620" w:right="60" w:hanging="307"/>
        <w:spacing w:after="0" w:line="281"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(“CFPB”), the SEC or other regulators, Congress, the Executive Branch, or state or local governments that affect our business;</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potential impact of a change in the corporate income tax rate, which we expect would affect our net income in the quarter of enactment;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99"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27" w:lineRule="exact"/>
        <w:rPr>
          <w:rFonts w:ascii="Arial" w:cs="Arial" w:eastAsia="Arial" w:hAnsi="Arial"/>
          <w:sz w:val="16"/>
          <w:szCs w:val="16"/>
          <w:color w:val="auto"/>
        </w:rPr>
      </w:pPr>
    </w:p>
    <w:p>
      <w:pPr>
        <w:ind w:left="620" w:right="72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natural disasters, environmental disasters, terrorist attacks, widespread health emergencies or pandemics, infrastructure failures, or other disruptive or catastrophic events;</w:t>
      </w:r>
    </w:p>
    <w:p>
      <w:pPr>
        <w:spacing w:after="0" w:line="14" w:lineRule="exact"/>
        <w:rPr>
          <w:rFonts w:ascii="Arial" w:cs="Arial" w:eastAsia="Arial" w:hAnsi="Arial"/>
          <w:sz w:val="16"/>
          <w:szCs w:val="16"/>
          <w:color w:val="auto"/>
        </w:rPr>
      </w:pPr>
    </w:p>
    <w:p>
      <w:pPr>
        <w:ind w:left="620" w:right="80" w:hanging="307"/>
        <w:spacing w:after="0" w:line="272"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severe weather events, fires, floods or other climate change events or impacts, including those for which we may be uninsured or under-insured or that may affect our counterparties or the hazard insurers insuring properties underlying our guaranty book of business, and other risks resulting from climate change and efforts to address climate change and related risks;</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r>
      <w:tr>
        <w:trPr>
          <w:trHeight w:val="207"/>
        </w:trPr>
        <w:tc>
          <w:tcPr>
            <w:tcW w:w="6840" w:type="dxa"/>
            <w:vAlign w:val="bottom"/>
            <w:tcBorders>
              <w:bottom w:val="single" w:sz="8" w:color="9A9A9A"/>
            </w:tcBorders>
          </w:tcPr>
          <w:p>
            <w:pPr>
              <w:spacing w:after="0"/>
              <w:rPr>
                <w:sz w:val="17"/>
                <w:szCs w:val="17"/>
                <w:color w:val="auto"/>
              </w:rPr>
            </w:pPr>
          </w:p>
        </w:tc>
        <w:tc>
          <w:tcPr>
            <w:tcW w:w="4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0" w:name="page61"/>
    <w:bookmarkEnd w:id="60"/>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need to rely on third parties to fully achieve some of our corporate objectives, including our reliance on mortgage servicers;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86"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CSS, our other counterparties and other third parties;</w:t>
      </w:r>
    </w:p>
    <w:p>
      <w:pPr>
        <w:spacing w:after="0" w:line="14" w:lineRule="exact"/>
        <w:rPr>
          <w:rFonts w:ascii="Arial" w:cs="Arial" w:eastAsia="Arial" w:hAnsi="Arial"/>
          <w:sz w:val="16"/>
          <w:szCs w:val="16"/>
          <w:color w:val="auto"/>
        </w:rPr>
      </w:pPr>
    </w:p>
    <w:p>
      <w:pPr>
        <w:ind w:left="620" w:right="38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operational control weaknesses;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cyber attacks or other information security breaches or threats impacting us or the third parties with which we do business;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and changes to our accounting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changes in the fair value of our assets and liabilities;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2023 Form 10-K.</w:t>
      </w:r>
    </w:p>
    <w:p>
      <w:pPr>
        <w:spacing w:after="0" w:line="10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2023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4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0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58</w:t>
            </w:r>
          </w:p>
        </w:tc>
      </w:tr>
      <w:tr>
        <w:trPr>
          <w:trHeight w:val="194"/>
        </w:trPr>
        <w:tc>
          <w:tcPr>
            <w:tcW w:w="6840" w:type="dxa"/>
            <w:vAlign w:val="bottom"/>
            <w:tcBorders>
              <w:bottom w:val="single" w:sz="8" w:color="9A9A9A"/>
            </w:tcBorders>
          </w:tcPr>
          <w:p>
            <w:pPr>
              <w:spacing w:after="0"/>
              <w:rPr>
                <w:sz w:val="16"/>
                <w:szCs w:val="16"/>
                <w:color w:val="auto"/>
              </w:rPr>
            </w:pPr>
          </w:p>
        </w:tc>
        <w:tc>
          <w:tcPr>
            <w:tcW w:w="44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110" w:lineRule="exact"/>
        <w:rPr>
          <w:sz w:val="20"/>
          <w:szCs w:val="20"/>
          <w:color w:val="auto"/>
        </w:rPr>
      </w:pPr>
    </w:p>
    <w:p>
      <w:pPr>
        <w:jc w:val="center"/>
        <w:ind w:right="-119"/>
        <w:spacing w:after="0"/>
        <w:rPr>
          <w:sz w:val="20"/>
          <w:szCs w:val="20"/>
          <w:color w:val="auto"/>
        </w:rPr>
      </w:pPr>
      <w:r>
        <w:rPr>
          <w:rFonts w:ascii="Georgia" w:cs="Georgia" w:eastAsia="Georgia" w:hAnsi="Georgia"/>
          <w:sz w:val="31"/>
          <w:szCs w:val="31"/>
          <w:b w:val="1"/>
          <w:bCs w:val="1"/>
          <w:color w:val="05314D"/>
        </w:rPr>
        <w:t>FANNIE MAE</w:t>
      </w:r>
    </w:p>
    <w:p>
      <w:pPr>
        <w:spacing w:after="0" w:line="47"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(In conservatorship)</w:t>
      </w:r>
    </w:p>
    <w:p>
      <w:pPr>
        <w:spacing w:after="0" w:line="73" w:lineRule="exact"/>
        <w:rPr>
          <w:sz w:val="20"/>
          <w:szCs w:val="20"/>
          <w:color w:val="auto"/>
        </w:rPr>
      </w:pPr>
    </w:p>
    <w:p>
      <w:pPr>
        <w:jc w:val="center"/>
        <w:ind w:right="-119"/>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33"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(Dollars in millions)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gridSpan w:val="5"/>
          </w:tcPr>
          <w:p>
            <w:pPr>
              <w:jc w:val="right"/>
              <w:ind w:right="171"/>
              <w:spacing w:after="0"/>
              <w:rPr>
                <w:sz w:val="20"/>
                <w:szCs w:val="20"/>
                <w:color w:val="auto"/>
              </w:rPr>
            </w:pPr>
            <w:r>
              <w:rPr>
                <w:rFonts w:ascii="Arial" w:cs="Arial" w:eastAsia="Arial" w:hAnsi="Arial"/>
                <w:sz w:val="14"/>
                <w:szCs w:val="14"/>
                <w:b w:val="1"/>
                <w:bCs w:val="1"/>
                <w:color w:val="auto"/>
                <w:w w:val="91"/>
              </w:rPr>
              <w:t>As of</w:t>
            </w: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2C6937"/>
            </w:tcBorders>
            <w:gridSpan w:val="4"/>
          </w:tcPr>
          <w:p>
            <w:pPr>
              <w:ind w:left="40"/>
              <w:spacing w:after="0"/>
              <w:rPr>
                <w:sz w:val="20"/>
                <w:szCs w:val="20"/>
                <w:color w:val="auto"/>
              </w:rPr>
            </w:pPr>
            <w:r>
              <w:rPr>
                <w:rFonts w:ascii="Arial" w:cs="Arial" w:eastAsia="Arial" w:hAnsi="Arial"/>
                <w:sz w:val="14"/>
                <w:szCs w:val="14"/>
                <w:b w:val="1"/>
                <w:bCs w:val="1"/>
                <w:color w:val="auto"/>
                <w:w w:val="99"/>
              </w:rPr>
              <w:t>December 31, 2023</w:t>
            </w:r>
          </w:p>
        </w:tc>
        <w:tc>
          <w:tcPr>
            <w:tcW w:w="0" w:type="dxa"/>
            <w:vAlign w:val="bottom"/>
          </w:tcPr>
          <w:p>
            <w:pPr>
              <w:spacing w:after="0"/>
              <w:rPr>
                <w:sz w:val="1"/>
                <w:szCs w:val="1"/>
                <w:color w:val="auto"/>
              </w:rPr>
            </w:pPr>
          </w:p>
        </w:tc>
      </w:tr>
      <w:tr>
        <w:trPr>
          <w:trHeight w:val="173"/>
        </w:trPr>
        <w:tc>
          <w:tcPr>
            <w:tcW w:w="7860" w:type="dxa"/>
            <w:vAlign w:val="bottom"/>
            <w:gridSpan w:val="2"/>
          </w:tcPr>
          <w:p>
            <w:pPr>
              <w:ind w:left="36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2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580" w:type="dxa"/>
            <w:vAlign w:val="bottom"/>
            <w:gridSpan w:val="5"/>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35,817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Restricted cash and cash equivalents (includes $14,028 and $25,836, respectively, related to consolidated trusts)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20,730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Securities purchased under agreements to resell (includes $13,650 and $0, respectively, related to consolidated trusts)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73,725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49,896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Mortgage loans: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gridSpan w:val="3"/>
          </w:tcPr>
          <w:p>
            <w:pPr>
              <w:ind w:left="34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46,566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6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Of consolidated trusts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4,089,021</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4,094,013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60" w:type="dxa"/>
            <w:vAlign w:val="bottom"/>
            <w:gridSpan w:val="3"/>
          </w:tcPr>
          <w:p>
            <w:pPr>
              <w:ind w:left="320"/>
              <w:spacing w:after="0"/>
              <w:rPr>
                <w:sz w:val="20"/>
                <w:szCs w:val="20"/>
                <w:color w:val="auto"/>
              </w:rPr>
            </w:pPr>
            <w:r>
              <w:rPr>
                <w:rFonts w:ascii="Arial" w:cs="Arial" w:eastAsia="Arial" w:hAnsi="Arial"/>
                <w:sz w:val="14"/>
                <w:szCs w:val="14"/>
                <w:color w:val="auto"/>
              </w:rPr>
              <w:t>Total loans held for investment (includes $3,176 and $3,315, respectively, at fair value)</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4,135,587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4,142,212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6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Allowance for loan losses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(8,379)</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6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4,127,208</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4,133,482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60" w:type="dxa"/>
            <w:vAlign w:val="bottom"/>
            <w:gridSpan w:val="3"/>
          </w:tcPr>
          <w:p>
            <w:pPr>
              <w:ind w:left="640"/>
              <w:spacing w:after="0"/>
              <w:rPr>
                <w:sz w:val="20"/>
                <w:szCs w:val="20"/>
                <w:color w:val="auto"/>
              </w:rPr>
            </w:pPr>
            <w:r>
              <w:rPr>
                <w:rFonts w:ascii="Arial" w:cs="Arial" w:eastAsia="Arial" w:hAnsi="Arial"/>
                <w:sz w:val="14"/>
                <w:szCs w:val="14"/>
                <w:color w:val="auto"/>
              </w:rPr>
              <w:t>Total mortgage loans</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4,129,118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4,135,631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2,052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11,525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Accrued interest receivable, net (includes $10,435 and $10,132 related to consolidated trusts and net of allowance of $25 and</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$25, respectively)</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11,065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13,184</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13,490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4,323,819</w:t>
            </w:r>
          </w:p>
        </w:tc>
        <w:tc>
          <w:tcPr>
            <w:tcW w:w="20" w:type="dxa"/>
            <w:vAlign w:val="bottom"/>
            <w:tcBorders>
              <w:bottom w:val="single" w:sz="8" w:color="2C6937"/>
            </w:tcBorders>
          </w:tcPr>
          <w:p>
            <w:pPr>
              <w:spacing w:after="0"/>
              <w:rPr>
                <w:sz w:val="16"/>
                <w:szCs w:val="16"/>
                <w:color w:val="auto"/>
              </w:rPr>
            </w:pPr>
          </w:p>
        </w:tc>
        <w:tc>
          <w:tcPr>
            <w:tcW w:w="300" w:type="dxa"/>
            <w:vAlign w:val="bottom"/>
            <w:gridSpan w:val="3"/>
          </w:tcPr>
          <w:p>
            <w:pPr>
              <w:spacing w:after="0"/>
              <w:rPr>
                <w:sz w:val="16"/>
                <w:szCs w:val="16"/>
                <w:color w:val="auto"/>
              </w:rPr>
            </w:pPr>
          </w:p>
        </w:tc>
        <w:tc>
          <w:tcPr>
            <w:tcW w:w="260" w:type="dxa"/>
            <w:vAlign w:val="bottom"/>
            <w:tcBorders>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4,325,437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60" w:type="dxa"/>
            <w:vAlign w:val="bottom"/>
            <w:gridSpan w:val="3"/>
          </w:tcPr>
          <w:p>
            <w:pPr>
              <w:ind w:left="306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Accrued interest payable (includes $10,384 and $10,212, respectively, related to consolidated trusts)</w:t>
            </w:r>
          </w:p>
        </w:tc>
        <w:tc>
          <w:tcPr>
            <w:tcW w:w="28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11,121</w:t>
            </w:r>
          </w:p>
        </w:tc>
        <w:tc>
          <w:tcPr>
            <w:tcW w:w="580" w:type="dxa"/>
            <w:vAlign w:val="bottom"/>
            <w:gridSpan w:val="5"/>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Debt:</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gridSpan w:val="3"/>
          </w:tcPr>
          <w:p>
            <w:pPr>
              <w:ind w:left="340"/>
              <w:spacing w:after="0"/>
              <w:rPr>
                <w:sz w:val="20"/>
                <w:szCs w:val="20"/>
                <w:color w:val="auto"/>
              </w:rPr>
            </w:pPr>
            <w:r>
              <w:rPr>
                <w:rFonts w:ascii="Arial" w:cs="Arial" w:eastAsia="Arial" w:hAnsi="Arial"/>
                <w:sz w:val="14"/>
                <w:szCs w:val="14"/>
                <w:color w:val="auto"/>
              </w:rPr>
              <w:t>Of Fannie Mae (includes $654 and $761, respectively, at fair value)</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118,401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340"/>
              <w:spacing w:after="0"/>
              <w:rPr>
                <w:sz w:val="20"/>
                <w:szCs w:val="20"/>
                <w:color w:val="auto"/>
              </w:rPr>
            </w:pPr>
            <w:r>
              <w:rPr>
                <w:rFonts w:ascii="Arial" w:cs="Arial" w:eastAsia="Arial" w:hAnsi="Arial"/>
                <w:sz w:val="14"/>
                <w:szCs w:val="14"/>
                <w:color w:val="auto"/>
              </w:rPr>
              <w:t>Of consolidated trusts (includes $13,762 and $14,343, respectively, at fair value)</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4,098,173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4,098,653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$1,694 and $1,713, respectively, related to consolidated trusts)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14,118</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14,106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4,241,813</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4,247,755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960" w:type="dxa"/>
            <w:vAlign w:val="bottom"/>
            <w:gridSpan w:val="3"/>
          </w:tcPr>
          <w:p>
            <w:pPr>
              <w:ind w:left="20"/>
              <w:spacing w:after="0"/>
              <w:rPr>
                <w:sz w:val="20"/>
                <w:szCs w:val="20"/>
                <w:color w:val="auto"/>
              </w:rPr>
            </w:pPr>
            <w:r>
              <w:rPr>
                <w:rFonts w:ascii="Arial" w:cs="Arial" w:eastAsia="Arial" w:hAnsi="Arial"/>
                <w:sz w:val="14"/>
                <w:szCs w:val="14"/>
                <w:color w:val="auto"/>
              </w:rPr>
              <w:t>Fannie Mae stockholders’ equity:</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Senior preferred stock (liquidation preference of $199,181 and $195,224, respectively)</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Common stock, no par value, no maximum authorization—1,308,762,703 shares issued and 1,158,087,567 shares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960" w:type="dxa"/>
            <w:vAlign w:val="bottom"/>
            <w:gridSpan w:val="3"/>
          </w:tcPr>
          <w:p>
            <w:pPr>
              <w:ind w:left="340"/>
              <w:spacing w:after="0"/>
              <w:rPr>
                <w:sz w:val="20"/>
                <w:szCs w:val="20"/>
                <w:color w:val="auto"/>
              </w:rPr>
            </w:pPr>
            <w:r>
              <w:rPr>
                <w:rFonts w:ascii="Arial" w:cs="Arial" w:eastAsia="Arial" w:hAnsi="Arial"/>
                <w:sz w:val="14"/>
                <w:szCs w:val="14"/>
                <w:color w:val="auto"/>
              </w:rPr>
              <w:t>outstanding</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(51,283)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200" w:type="dxa"/>
            <w:vAlign w:val="bottom"/>
            <w:gridSpan w:val="2"/>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gridSpan w:val="2"/>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82,006</w:t>
            </w:r>
          </w:p>
        </w:tc>
        <w:tc>
          <w:tcPr>
            <w:tcW w:w="2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Total liabilities and equity</w:t>
            </w:r>
          </w:p>
        </w:tc>
        <w:tc>
          <w:tcPr>
            <w:tcW w:w="28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4,323,819</w:t>
            </w:r>
          </w:p>
        </w:tc>
        <w:tc>
          <w:tcPr>
            <w:tcW w:w="580" w:type="dxa"/>
            <w:vAlign w:val="bottom"/>
            <w:gridSpan w:val="5"/>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4,325,437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48" w:right="459" w:bottom="1440" w:gutter="0" w:footer="0" w:header="0"/>
        </w:sectPr>
      </w:pPr>
    </w:p>
    <w:bookmarkStart w:id="62" w:name="page63"/>
    <w:bookmarkEnd w:id="62"/>
    <w:p>
      <w:pPr>
        <w:ind w:left="4820"/>
        <w:spacing w:after="0"/>
        <w:rPr>
          <w:sz w:val="20"/>
          <w:szCs w:val="20"/>
          <w:color w:val="auto"/>
        </w:rPr>
      </w:pPr>
      <w:r>
        <w:rPr>
          <w:rFonts w:ascii="Arial" w:cs="Arial" w:eastAsia="Arial" w:hAnsi="Arial"/>
          <w:sz w:val="13"/>
          <w:szCs w:val="13"/>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24130</wp:posOffset>
            </wp:positionV>
            <wp:extent cx="70154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Georgia" w:cs="Georgia" w:eastAsia="Georgia" w:hAnsi="Georgia"/>
          <w:sz w:val="31"/>
          <w:szCs w:val="31"/>
          <w:b w:val="1"/>
          <w:bCs w:val="1"/>
          <w:color w:val="05314D"/>
        </w:rPr>
        <w:t>FANNIE MAE</w:t>
      </w:r>
    </w:p>
    <w:p>
      <w:pPr>
        <w:spacing w:after="0" w:line="47"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01543"/>
        </w:rPr>
        <w:t>(In conservatorship)</w:t>
      </w:r>
    </w:p>
    <w:p>
      <w:pPr>
        <w:spacing w:after="0" w:line="73" w:lineRule="exact"/>
        <w:rPr>
          <w:sz w:val="20"/>
          <w:szCs w:val="20"/>
          <w:color w:val="auto"/>
        </w:rPr>
      </w:pPr>
    </w:p>
    <w:p>
      <w:pPr>
        <w:jc w:val="center"/>
        <w:ind w:right="20"/>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25"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2C6937"/>
            </w:tcBorders>
            <w:gridSpan w:val="5"/>
          </w:tcPr>
          <w:p>
            <w:pPr>
              <w:jc w:val="right"/>
              <w:spacing w:after="0"/>
              <w:rPr>
                <w:sz w:val="20"/>
                <w:szCs w:val="20"/>
                <w:color w:val="auto"/>
              </w:rPr>
            </w:pPr>
            <w:r>
              <w:rPr>
                <w:rFonts w:ascii="Arial" w:cs="Arial" w:eastAsia="Arial" w:hAnsi="Arial"/>
                <w:sz w:val="14"/>
                <w:szCs w:val="14"/>
                <w:b w:val="1"/>
                <w:bCs w:val="1"/>
                <w:color w:val="auto"/>
                <w:w w:val="99"/>
              </w:rPr>
              <w:t>For the Three Months Ended March 31,</w:t>
            </w:r>
          </w:p>
        </w:tc>
        <w:tc>
          <w:tcPr>
            <w:tcW w:w="0" w:type="dxa"/>
            <w:vAlign w:val="bottom"/>
          </w:tcPr>
          <w:p>
            <w:pPr>
              <w:spacing w:after="0"/>
              <w:rPr>
                <w:sz w:val="1"/>
                <w:szCs w:val="1"/>
                <w:color w:val="auto"/>
              </w:rPr>
            </w:pPr>
          </w:p>
        </w:tc>
      </w:tr>
      <w:tr>
        <w:trPr>
          <w:trHeight w:val="185"/>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7"/>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Investments in securities</w:t>
            </w:r>
          </w:p>
        </w:tc>
        <w:tc>
          <w:tcPr>
            <w:tcW w:w="3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93"/>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Mortgage loans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35,216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32,137</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661</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6"/>
        </w:trPr>
        <w:tc>
          <w:tcPr>
            <w:tcW w:w="84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36,798</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33,570</w:t>
            </w:r>
          </w:p>
        </w:tc>
        <w:tc>
          <w:tcPr>
            <w:tcW w:w="0" w:type="dxa"/>
            <w:vAlign w:val="bottom"/>
          </w:tcPr>
          <w:p>
            <w:pPr>
              <w:spacing w:after="0"/>
              <w:rPr>
                <w:sz w:val="1"/>
                <w:szCs w:val="1"/>
                <w:color w:val="auto"/>
              </w:rPr>
            </w:pPr>
          </w:p>
        </w:tc>
      </w:tr>
      <w:tr>
        <w:trPr>
          <w:trHeight w:val="179"/>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Short-term debt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(29,580)</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(26,665)</w:t>
            </w:r>
          </w:p>
        </w:tc>
        <w:tc>
          <w:tcPr>
            <w:tcW w:w="0" w:type="dxa"/>
            <w:vAlign w:val="bottom"/>
          </w:tcPr>
          <w:p>
            <w:pPr>
              <w:spacing w:after="0"/>
              <w:rPr>
                <w:sz w:val="1"/>
                <w:szCs w:val="1"/>
                <w:color w:val="auto"/>
              </w:rPr>
            </w:pPr>
          </w:p>
        </w:tc>
      </w:tr>
      <w:tr>
        <w:trPr>
          <w:trHeight w:val="186"/>
        </w:trPr>
        <w:tc>
          <w:tcPr>
            <w:tcW w:w="84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(29,775)</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(26,784)</w:t>
            </w:r>
          </w:p>
        </w:tc>
        <w:tc>
          <w:tcPr>
            <w:tcW w:w="0" w:type="dxa"/>
            <w:vAlign w:val="bottom"/>
          </w:tcPr>
          <w:p>
            <w:pPr>
              <w:spacing w:after="0"/>
              <w:rPr>
                <w:sz w:val="1"/>
                <w:szCs w:val="1"/>
                <w:color w:val="auto"/>
              </w:rPr>
            </w:pPr>
          </w:p>
        </w:tc>
      </w:tr>
      <w:tr>
        <w:trPr>
          <w:trHeight w:val="185"/>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Net interest income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6,786</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Benefit (provision) for credit losses</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180</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6"/>
        </w:trPr>
        <w:tc>
          <w:tcPr>
            <w:tcW w:w="84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benefit (provision) for credit losses</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7,203</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6,654</w:t>
            </w:r>
          </w:p>
        </w:tc>
        <w:tc>
          <w:tcPr>
            <w:tcW w:w="0" w:type="dxa"/>
            <w:vAlign w:val="bottom"/>
          </w:tcPr>
          <w:p>
            <w:pPr>
              <w:spacing w:after="0"/>
              <w:rPr>
                <w:sz w:val="1"/>
                <w:szCs w:val="1"/>
                <w:color w:val="auto"/>
              </w:rPr>
            </w:pPr>
          </w:p>
        </w:tc>
      </w:tr>
      <w:tr>
        <w:trPr>
          <w:trHeight w:val="185"/>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Investment gains (losses), net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Fair value gains, net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4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84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574</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9"/>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Administrative expenses: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Salaries and employee benefits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93"/>
        </w:trPr>
        <w:tc>
          <w:tcPr>
            <w:tcW w:w="8560" w:type="dxa"/>
            <w:vAlign w:val="bottom"/>
            <w:gridSpan w:val="2"/>
          </w:tcPr>
          <w:p>
            <w:pPr>
              <w:ind w:left="180"/>
              <w:spacing w:after="0"/>
              <w:rPr>
                <w:sz w:val="20"/>
                <w:szCs w:val="20"/>
                <w:color w:val="auto"/>
              </w:rPr>
            </w:pPr>
            <w:r>
              <w:rPr>
                <w:rFonts w:ascii="Arial" w:cs="Arial" w:eastAsia="Arial" w:hAnsi="Arial"/>
                <w:sz w:val="14"/>
                <w:szCs w:val="14"/>
                <w:color w:val="auto"/>
              </w:rPr>
              <w:t>Professional services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administrative expenses</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(217)</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84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administrative expenses</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(929)</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85"/>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TCCA fees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Credit enhancement expense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Change in expected credit enhancement recoveries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expenses, net</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6"/>
        </w:trPr>
        <w:tc>
          <w:tcPr>
            <w:tcW w:w="846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(2,344)</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85"/>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Income before federal income taxes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4,780</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(1,113)</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85"/>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4,320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6"/>
                <w:szCs w:val="16"/>
                <w:color w:val="auto"/>
              </w:rPr>
            </w:pPr>
          </w:p>
        </w:tc>
        <w:tc>
          <w:tcPr>
            <w:tcW w:w="30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4,324</w:t>
            </w:r>
          </w:p>
        </w:tc>
        <w:tc>
          <w:tcPr>
            <w:tcW w:w="100" w:type="dxa"/>
            <w:vAlign w:val="bottom"/>
          </w:tcPr>
          <w:p>
            <w:pPr>
              <w:spacing w:after="0"/>
              <w:rPr>
                <w:sz w:val="16"/>
                <w:szCs w:val="16"/>
                <w:color w:val="auto"/>
              </w:rPr>
            </w:pPr>
          </w:p>
        </w:tc>
        <w:tc>
          <w:tcPr>
            <w:tcW w:w="28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20"/>
        </w:trPr>
        <w:tc>
          <w:tcPr>
            <w:tcW w:w="84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4,320</w:t>
            </w:r>
          </w:p>
        </w:tc>
        <w:tc>
          <w:tcPr>
            <w:tcW w:w="10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94"/>
        </w:trPr>
        <w:tc>
          <w:tcPr>
            <w:tcW w:w="84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(4,324)</w:t>
            </w: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86"/>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7"/>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93"/>
        </w:trPr>
        <w:tc>
          <w:tcPr>
            <w:tcW w:w="856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387985</wp:posOffset>
            </wp:positionV>
            <wp:extent cx="68059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bookmarkStart w:id="63" w:name="page64"/>
    <w:bookmarkEnd w:id="63"/>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07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39"/>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(Dollars in millions)</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For the Three Months Ended</w:t>
      </w: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2C6937"/>
              <w:bottom w:val="single" w:sz="8" w:color="2C6937"/>
            </w:tcBorders>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7,135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4,015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(28,018)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(27,422)</w:t>
            </w:r>
          </w:p>
        </w:tc>
        <w:tc>
          <w:tcPr>
            <w:tcW w:w="100" w:type="dxa"/>
            <w:vAlign w:val="bottom"/>
          </w:tcPr>
          <w:p>
            <w:pPr>
              <w:spacing w:after="0"/>
              <w:rPr>
                <w:sz w:val="17"/>
                <w:szCs w:val="17"/>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76,364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77,876</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(18,753)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(22,571)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Net change in federal funds sold and securities purchased under agreements to resell</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(43,025)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(12,385)</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(12,293)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17,569</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129,592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102,839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(135,040)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(98,333)</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53,098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53,102</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(77,944)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(76,196)</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(30,294)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(18,588)</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 and cash equivalents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(35,452)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2,996</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cash equivalents and restricted cash and cash equivalents at beginning of period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68,706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87,841</w:t>
            </w:r>
          </w:p>
        </w:tc>
        <w:tc>
          <w:tcPr>
            <w:tcW w:w="100" w:type="dxa"/>
            <w:vAlign w:val="bottom"/>
          </w:tcPr>
          <w:p>
            <w:pPr>
              <w:spacing w:after="0"/>
              <w:rPr>
                <w:sz w:val="16"/>
                <w:szCs w:val="16"/>
                <w:color w:val="auto"/>
              </w:rPr>
            </w:pPr>
          </w:p>
        </w:tc>
      </w:tr>
      <w:tr>
        <w:trPr>
          <w:trHeight w:val="186"/>
        </w:trPr>
        <w:tc>
          <w:tcPr>
            <w:tcW w:w="9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cash equivalents and restricted cash and cash equivalents at end of period</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33,254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90,837</w:t>
            </w:r>
          </w:p>
        </w:tc>
        <w:tc>
          <w:tcPr>
            <w:tcW w:w="100" w:type="dxa"/>
            <w:vAlign w:val="bottom"/>
          </w:tcPr>
          <w:p>
            <w:pPr>
              <w:spacing w:after="0"/>
              <w:rPr>
                <w:sz w:val="16"/>
                <w:szCs w:val="16"/>
                <w:color w:val="auto"/>
              </w:rPr>
            </w:pPr>
          </w:p>
        </w:tc>
      </w:tr>
      <w:tr>
        <w:trPr>
          <w:trHeight w:val="20"/>
        </w:trPr>
        <w:tc>
          <w:tcPr>
            <w:tcW w:w="8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31,381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27,190</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1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64" w:name="page65"/>
    <w:bookmarkEnd w:id="64"/>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December 31, 2023</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(55,603)</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77,682</w:t>
            </w:r>
          </w:p>
        </w:tc>
        <w:tc>
          <w:tcPr>
            <w:tcW w:w="0" w:type="dxa"/>
            <w:vAlign w:val="bottom"/>
          </w:tcPr>
          <w:p>
            <w:pPr>
              <w:spacing w:after="0"/>
              <w:rPr>
                <w:sz w:val="1"/>
                <w:szCs w:val="1"/>
                <w:color w:val="auto"/>
              </w:rPr>
            </w:pPr>
          </w:p>
        </w:tc>
      </w:tr>
      <w:tr>
        <w:trPr>
          <w:trHeight w:val="149"/>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4,320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4,320</w:t>
            </w:r>
          </w:p>
        </w:tc>
        <w:tc>
          <w:tcPr>
            <w:tcW w:w="0" w:type="dxa"/>
            <w:vAlign w:val="bottom"/>
          </w:tcPr>
          <w:p>
            <w:pPr>
              <w:spacing w:after="0"/>
              <w:rPr>
                <w:sz w:val="1"/>
                <w:szCs w:val="1"/>
                <w:color w:val="auto"/>
              </w:rPr>
            </w:pPr>
          </w:p>
        </w:tc>
      </w:tr>
      <w:tr>
        <w:trPr>
          <w:trHeight w:val="155"/>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35"/>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$2)</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0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4,324</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March 31, 2024</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(51,283)</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82,006</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89"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2022</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(73,011)</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60,277</w:t>
            </w: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3,772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3,772</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on available-for-sale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5"/>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securities (net of taxes of $0)</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3,772</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March 31, 2023</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(69,239)</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64,049</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1771650</wp:posOffset>
            </wp:positionV>
            <wp:extent cx="68059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65" w:name="page66"/>
    <w:bookmarkEnd w:id="65"/>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2023 (“2023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for interim financial information. Accordingly, they do not include all of the information and note disclosures required by GAAP for complete consolidated financial statements and therefore should be read in conjunction with our audited consolidated financial statements and related notes included in our 2023 Form 10-K. In the opinion of management, our unaudited interim condensed consolidated financial statements contain all adjustments, which include only normal recurring adjustments, necessary for a fair presentation of our results. The nature of our business is such that the results of any interim period are not necessarily indicative of results for a full year. The accompanying condensed consolidated financial statements include our accounts as well as the accounts of other entities in which we have a controlling financial interest. All intercompany balances and transactions have been eliminated. To conform to our current-period presentation, we have reclassified certain amounts reported in our prior period consolidated financial statements.</w:t>
      </w:r>
    </w:p>
    <w:p>
      <w:pPr>
        <w:spacing w:after="0" w:line="9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9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Earnings per share (“EPS”) is presented for basic and diluted EPS. We include the shares of common stock that would be issuable upon full exercise of the common stock warrant in the weighted average shares outstanding for the computation of both basic and diluted earnings per share. Weighted average common shares include 4.7 billion shares for the periods ended March 31, 2024 and 2023 that would have been issued upon the full exercise of the warrant issued to Treasury from the date the warrant was issued through March 31, 2024 and 2023.</w:t>
      </w:r>
    </w:p>
    <w:p>
      <w:pPr>
        <w:spacing w:after="0" w:line="48"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 For the three months ended March 31, 2024 and 2023, convertible preferred stock is not included in the calculation because it would have an anti-dilutive effect.</w:t>
      </w:r>
    </w:p>
    <w:p>
      <w:pPr>
        <w:spacing w:after="0" w:line="7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present foreclosed property in “Other assets” in our condensed consolidated balance sheets. We held $1.8 billion of acquired property as of March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6" w:name="page67"/>
    <w:bookmarkEnd w:id="66"/>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Segment Reporting</w:t>
      </w:r>
    </w:p>
    <w:p>
      <w:pPr>
        <w:spacing w:after="0" w:line="76"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 xml:space="preserve">On November 27, 2023, the Financial Accounting Standards Board (“FASB”) issued Accounting Standards Update (“ASU”) 2023-07,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(Topic 280), Improvements to Reportable Segment Disclosures</w:t>
      </w:r>
      <w:r>
        <w:rPr>
          <w:rFonts w:ascii="Arial" w:cs="Arial" w:eastAsia="Arial" w:hAnsi="Arial"/>
          <w:sz w:val="16"/>
          <w:szCs w:val="16"/>
          <w:color w:val="auto"/>
        </w:rPr>
        <w:t>. The ASU enhances disclosure of an entity’s reportable segments by requiring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significant segment expenses, interim disclosures of certain segment information that previously were only required on an annual basis and other detailed segment-related disclosures. The ASU applies to all public entities that are required to report segment information and is effective starting in annual periods beginning after December 15, 2023 and interim periods beginning after December 15, 2024. The ASU is required to be adopted retrospectively to all prior periods presented in the financial statements. The adoption of this guidance is not expected to have a material impact on our financial statements.</w:t>
      </w:r>
    </w:p>
    <w:p>
      <w:pPr>
        <w:spacing w:after="0" w:line="90"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Income Taxes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On December 14,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which enhances the required disclosures primarily related to the income tax rate reconciliation and income taxes paid. The ASU requires an entity’s income tax rate reconciliation to provide additional information for reconciling items meeting a quantitative threshold, and to disclose certain selected categories within the income tax rate reconciliation. The ASU also requires entities to disclose the amount of income taxes paid, disaggregated by federal, state and foreign taxes. The ASU is effective for annual periods beginning after December 15, 2024, though early adoption is permitted. The adoption of this guidance is not expected to have a material impact on our financial statements.</w:t>
      </w:r>
    </w:p>
    <w:p>
      <w:pPr>
        <w:spacing w:after="0" w:line="140" w:lineRule="exact"/>
        <w:rPr>
          <w:sz w:val="20"/>
          <w:szCs w:val="20"/>
          <w:color w:val="auto"/>
        </w:rPr>
      </w:pPr>
    </w:p>
    <w:p>
      <w:pPr>
        <w:ind w:right="220" w:firstLine="3"/>
        <w:spacing w:after="0" w:line="253" w:lineRule="auto"/>
        <w:tabs>
          <w:tab w:leader="none" w:pos="452" w:val="left"/>
        </w:tabs>
        <w:numPr>
          <w:ilvl w:val="0"/>
          <w:numId w:val="66"/>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10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68"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7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68"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FHFA, as conservator, entered into a senior preferred stock purchase agreement with the U.S. Department of the Treasury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This agreement also provides funding to us under certain circumstances if we have a net worth deficit. Pursuant to the senior preferred stock purchase agreement, we have received a total of $119.8 billion from Treasury as of March 31, 2024, and the amount of remaining funding available to us under the agreement is $113.9 billion. We have not received any funding from Treasury under this commitment since the first quarter of 2018. We had a positive net worth of $82.0 billion as of March 31, 2024.</w:t>
      </w:r>
    </w:p>
    <w:p>
      <w:pPr>
        <w:spacing w:after="0" w:line="4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59"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aggregate liquidation preference of the senior preferred stock increased to $199.2 billion as of March 31, 2024 from $195.2 billion as of December 31, 2023, due to the $4.0 billion increase in our net worth in the fourth quarter of 2023. The aggregate liquidation preference of the senior preferred stock will further increase to $203.5 billion as of June 30, 2024, due to the $4.3 billion increase in our net worth in the first quarter of 2024.</w:t>
      </w:r>
    </w:p>
    <w:p>
      <w:pPr>
        <w:spacing w:after="0" w:line="9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Impact of U.S. Government Support</w:t>
      </w:r>
    </w:p>
    <w:p>
      <w:pPr>
        <w:spacing w:after="0" w:line="68"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We continue to rely on support from Treasury to eliminate any net worth deficits we may experience in the future, which would otherwise trigger our being placed into receivership. We are not aware of any plans of FHFA (1) to fundamentally change our business model, or (2) to reduce the aggregate amount available to or held by the company under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7" w:name="page68"/>
    <w:bookmarkEnd w:id="67"/>
    <w:p>
      <w:pPr>
        <w:jc w:val="right"/>
        <w:ind w:right="20"/>
        <w:spacing w:after="0"/>
        <w:rPr>
          <w:sz w:val="20"/>
          <w:szCs w:val="20"/>
          <w:color w:val="auto"/>
        </w:rPr>
      </w:pPr>
      <w:r>
        <w:rPr>
          <w:rFonts w:ascii="Arial" w:cs="Arial" w:eastAsia="Arial" w:hAnsi="Arial"/>
          <w:sz w:val="14"/>
          <w:szCs w:val="14"/>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122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equity structure, which includes the senior preferred stock agreement. Based on consideration of all the relevant conditions and events affecting our operations, including our reliance on the U.S. government, we continue to operate as a going concern and in accordance with FHFA’s provision of authority.</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Related Parties</w:t>
      </w:r>
    </w:p>
    <w:p>
      <w:pPr>
        <w:spacing w:after="0" w:line="107"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Because Treasury holds a warrant to purchase shares of Fannie Mae common stock equal to 79.9% of the total number of shares of Fannie Mae common stock, we and Treasury are deemed related parties. As of March 31, 2024, Treasury held an investment in our senior preferred stock with an aggregate liquidation preference of $199.2 billion.</w:t>
      </w:r>
    </w:p>
    <w:p>
      <w:pPr>
        <w:spacing w:after="0" w:line="32"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FHFA’s control of both Fannie Mae and Freddie Mac has caused Fannie Mae, FHFA and Freddie Mac to be deemed related parties. Additionally, Fannie Mae and Freddie Mac jointly own Common Securitization Solutions, LLC (“CSS”), a limited liability company created to operate a common securitization platform; as a result, CSS is deemed a related party. CSS operates as a separate company from us and Freddie Mac, with all funding and limited administrative support services and other resources provided to it by us and Freddie Mac.</w:t>
      </w:r>
    </w:p>
    <w:p>
      <w:pPr>
        <w:spacing w:after="0" w:line="33"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In the ordinary course of business, Fannie Mae may purchase and sell securities issued by Treasury and Freddie Mac in the capital markets. Some of the structured securities we issue are backed in whole or in part by Freddie Mac securities. Fannie Mae and Freddie Mac each have agreed to indemnify the other party for losses caused by: its failure to meet its payment or other specified obligations under the trust agreements pursuant to which the underlying resecuritized securities were issued; its failure to meet its obligations under the customer services agreement; its violations of laws; or with respect to material misstatements or omissions in offering documents, ongoing disclosures and materials relating to the underlying resecuritized securities. We also make regular income tax payments to and receive tax refunds from the Internal Revenue Service (“IRS”), a bureau of Treasury.</w:t>
      </w:r>
    </w:p>
    <w:p>
      <w:pPr>
        <w:spacing w:after="0" w:line="4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following table provides the income statement impact of our related party transactions for the periods presented in addition to the associated liability at period end. The associated liability represents amounts accrued with respect to the related party transactions that have not yet been paid to the applicable related parties</w:t>
      </w:r>
      <w:r>
        <w:rPr>
          <w:rFonts w:ascii="Arial" w:cs="Arial" w:eastAsia="Arial" w:hAnsi="Arial"/>
          <w:sz w:val="16"/>
          <w:szCs w:val="16"/>
          <w:color w:val="0070C0"/>
        </w:rPr>
        <w:t>.</w:t>
      </w:r>
      <w:r>
        <w:rPr>
          <w:rFonts w:ascii="Arial" w:cs="Arial" w:eastAsia="Arial" w:hAnsi="Arial"/>
          <w:sz w:val="16"/>
          <w:szCs w:val="16"/>
          <w:color w:val="auto"/>
        </w:rPr>
        <w:t xml:space="preserve"> In addition to the impact described in the table below, our investment in CSS, which is accounted for using the equity method, is classified as “Other assets” in our condensed consolidated balance sheets. We contributed $22 million and $26 million to CSS for the three months ended March 31, 2024 and 2023, respectively.</w:t>
      </w:r>
    </w:p>
    <w:p>
      <w:pPr>
        <w:spacing w:after="0" w:line="171"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1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5"/>
                <w:szCs w:val="15"/>
                <w:b w:val="1"/>
                <w:bCs w:val="1"/>
                <w:color w:val="auto"/>
              </w:rPr>
              <w:t>For the Three Months Ended</w:t>
            </w:r>
          </w:p>
        </w:tc>
        <w:tc>
          <w:tcPr>
            <w:tcW w:w="1360" w:type="dxa"/>
            <w:vAlign w:val="bottom"/>
            <w:vMerge w:val="restart"/>
          </w:tcPr>
          <w:p>
            <w:pPr>
              <w:jc w:val="center"/>
              <w:ind w:left="106"/>
              <w:spacing w:after="0"/>
              <w:rPr>
                <w:sz w:val="20"/>
                <w:szCs w:val="20"/>
                <w:color w:val="auto"/>
              </w:rPr>
            </w:pPr>
            <w:r>
              <w:rPr>
                <w:rFonts w:ascii="Arial" w:cs="Arial" w:eastAsia="Arial" w:hAnsi="Arial"/>
                <w:sz w:val="15"/>
                <w:szCs w:val="15"/>
                <w:b w:val="1"/>
                <w:bCs w:val="1"/>
                <w:color w:val="auto"/>
              </w:rPr>
              <w:t>Other Liabilities</w:t>
            </w:r>
          </w:p>
        </w:tc>
        <w:tc>
          <w:tcPr>
            <w:tcW w:w="0" w:type="dxa"/>
            <w:vAlign w:val="bottom"/>
          </w:tcPr>
          <w:p>
            <w:pPr>
              <w:spacing w:after="0"/>
              <w:rPr>
                <w:sz w:val="1"/>
                <w:szCs w:val="1"/>
                <w:color w:val="auto"/>
              </w:rPr>
            </w:pPr>
          </w:p>
        </w:tc>
      </w:tr>
      <w:tr>
        <w:trPr>
          <w:trHeight w:val="90"/>
        </w:trPr>
        <w:tc>
          <w:tcPr>
            <w:tcW w:w="18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40" w:type="dxa"/>
            <w:vAlign w:val="bottom"/>
            <w:vMerge w:val="restart"/>
          </w:tcPr>
          <w:p>
            <w:pPr>
              <w:jc w:val="center"/>
              <w:ind w:right="723"/>
              <w:spacing w:after="0"/>
              <w:rPr>
                <w:sz w:val="20"/>
                <w:szCs w:val="20"/>
                <w:color w:val="auto"/>
              </w:rPr>
            </w:pPr>
            <w:r>
              <w:rPr>
                <w:rFonts w:ascii="Arial" w:cs="Arial" w:eastAsia="Arial" w:hAnsi="Arial"/>
                <w:sz w:val="15"/>
                <w:szCs w:val="15"/>
                <w:b w:val="1"/>
                <w:bCs w:val="1"/>
                <w:color w:val="auto"/>
              </w:rPr>
              <w:t>March 31,</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820" w:type="dxa"/>
            <w:vAlign w:val="bottom"/>
          </w:tcPr>
          <w:p>
            <w:pPr>
              <w:jc w:val="center"/>
              <w:ind w:left="228"/>
              <w:spacing w:after="0" w:line="116" w:lineRule="exact"/>
              <w:rPr>
                <w:sz w:val="20"/>
                <w:szCs w:val="20"/>
                <w:color w:val="auto"/>
              </w:rPr>
            </w:pPr>
            <w:r>
              <w:rPr>
                <w:rFonts w:ascii="Arial" w:cs="Arial" w:eastAsia="Arial" w:hAnsi="Arial"/>
                <w:sz w:val="13"/>
                <w:szCs w:val="13"/>
                <w:b w:val="1"/>
                <w:bCs w:val="1"/>
                <w:color w:val="auto"/>
              </w:rPr>
              <w:t>Income Statement</w:t>
            </w:r>
          </w:p>
        </w:tc>
        <w:tc>
          <w:tcPr>
            <w:tcW w:w="800" w:type="dxa"/>
            <w:vAlign w:val="bottom"/>
            <w:tcBorders>
              <w:bottom w:val="single" w:sz="8" w:color="2C6937"/>
            </w:tcBorders>
          </w:tcPr>
          <w:p>
            <w:pPr>
              <w:spacing w:after="0"/>
              <w:rPr>
                <w:sz w:val="10"/>
                <w:szCs w:val="10"/>
                <w:color w:val="auto"/>
              </w:rPr>
            </w:pPr>
          </w:p>
        </w:tc>
        <w:tc>
          <w:tcPr>
            <w:tcW w:w="1640" w:type="dxa"/>
            <w:vAlign w:val="bottom"/>
            <w:tcBorders>
              <w:bottom w:val="single" w:sz="8" w:color="2C6937"/>
            </w:tcBorders>
            <w:vMerge w:val="continue"/>
          </w:tcPr>
          <w:p>
            <w:pPr>
              <w:spacing w:after="0"/>
              <w:rPr>
                <w:sz w:val="10"/>
                <w:szCs w:val="10"/>
                <w:color w:val="auto"/>
              </w:rPr>
            </w:pPr>
          </w:p>
        </w:tc>
        <w:tc>
          <w:tcPr>
            <w:tcW w:w="1360" w:type="dxa"/>
            <w:vAlign w:val="bottom"/>
          </w:tcPr>
          <w:p>
            <w:pPr>
              <w:jc w:val="center"/>
              <w:ind w:left="86"/>
              <w:spacing w:after="0" w:line="116" w:lineRule="exact"/>
              <w:rPr>
                <w:sz w:val="20"/>
                <w:szCs w:val="20"/>
                <w:color w:val="auto"/>
              </w:rPr>
            </w:pPr>
            <w:r>
              <w:rPr>
                <w:rFonts w:ascii="Arial" w:cs="Arial" w:eastAsia="Arial" w:hAnsi="Arial"/>
                <w:sz w:val="13"/>
                <w:szCs w:val="13"/>
                <w:b w:val="1"/>
                <w:bCs w:val="1"/>
                <w:color w:val="auto"/>
              </w:rPr>
              <w:t>as of March 31,</w:t>
            </w: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r>
              <w:rPr>
                <w:rFonts w:ascii="Arial" w:cs="Arial" w:eastAsia="Arial" w:hAnsi="Arial"/>
                <w:sz w:val="15"/>
                <w:szCs w:val="15"/>
                <w:b w:val="1"/>
                <w:bCs w:val="1"/>
                <w:color w:val="auto"/>
              </w:rPr>
              <w:t>Related Party</w:t>
            </w:r>
          </w:p>
        </w:tc>
        <w:tc>
          <w:tcPr>
            <w:tcW w:w="2300" w:type="dxa"/>
            <w:vAlign w:val="bottom"/>
          </w:tcPr>
          <w:p>
            <w:pPr>
              <w:ind w:left="840"/>
              <w:spacing w:after="0"/>
              <w:rPr>
                <w:sz w:val="20"/>
                <w:szCs w:val="20"/>
                <w:color w:val="auto"/>
              </w:rPr>
            </w:pPr>
            <w:r>
              <w:rPr>
                <w:rFonts w:ascii="Arial" w:cs="Arial" w:eastAsia="Arial" w:hAnsi="Arial"/>
                <w:sz w:val="15"/>
                <w:szCs w:val="15"/>
                <w:b w:val="1"/>
                <w:bCs w:val="1"/>
                <w:color w:val="auto"/>
              </w:rPr>
              <w:t>Activity</w:t>
            </w:r>
          </w:p>
        </w:tc>
        <w:tc>
          <w:tcPr>
            <w:tcW w:w="2820" w:type="dxa"/>
            <w:vAlign w:val="bottom"/>
          </w:tcPr>
          <w:p>
            <w:pPr>
              <w:jc w:val="center"/>
              <w:ind w:left="228"/>
              <w:spacing w:after="0"/>
              <w:rPr>
                <w:sz w:val="20"/>
                <w:szCs w:val="20"/>
                <w:color w:val="auto"/>
              </w:rPr>
            </w:pPr>
            <w:r>
              <w:rPr>
                <w:rFonts w:ascii="Arial" w:cs="Arial" w:eastAsia="Arial" w:hAnsi="Arial"/>
                <w:sz w:val="15"/>
                <w:szCs w:val="15"/>
                <w:b w:val="1"/>
                <w:bCs w:val="1"/>
                <w:color w:val="auto"/>
              </w:rPr>
              <w:t>Classification</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2024</w:t>
            </w:r>
          </w:p>
        </w:tc>
        <w:tc>
          <w:tcPr>
            <w:tcW w:w="1640" w:type="dxa"/>
            <w:vAlign w:val="bottom"/>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1360" w:type="dxa"/>
            <w:vAlign w:val="bottom"/>
          </w:tcPr>
          <w:p>
            <w:pPr>
              <w:jc w:val="center"/>
              <w:ind w:left="106"/>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5"/>
          <w:szCs w:val="15"/>
          <w:b w:val="1"/>
          <w:bCs w:val="1"/>
          <w:color w:val="auto"/>
        </w:rPr>
        <w:t>(Dollars in millions)</w:t>
      </w:r>
    </w:p>
    <w:p>
      <w:pPr>
        <w:sectPr>
          <w:pgSz w:w="11900" w:h="16838" w:orient="portrait"/>
          <w:cols w:equalWidth="0" w:num="1">
            <w:col w:w="11240"/>
          </w:cols>
          <w:pgMar w:left="320" w:top="248" w:right="339" w:bottom="1440" w:gutter="0" w:footer="0" w:header="0"/>
        </w:sectPr>
      </w:pP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1140" w:type="dxa"/>
            <w:vAlign w:val="bottom"/>
          </w:tcPr>
          <w:p>
            <w:pPr>
              <w:jc w:val="center"/>
              <w:ind w:right="183"/>
              <w:spacing w:after="0"/>
              <w:rPr>
                <w:sz w:val="20"/>
                <w:szCs w:val="20"/>
                <w:color w:val="auto"/>
              </w:rPr>
            </w:pPr>
            <w:r>
              <w:rPr>
                <w:rFonts w:ascii="Arial" w:cs="Arial" w:eastAsia="Arial" w:hAnsi="Arial"/>
                <w:sz w:val="15"/>
                <w:szCs w:val="15"/>
                <w:color w:val="auto"/>
              </w:rPr>
              <w:t>Treasury</w:t>
            </w:r>
          </w:p>
        </w:tc>
        <w:tc>
          <w:tcPr>
            <w:tcW w:w="3060" w:type="dxa"/>
            <w:vAlign w:val="bottom"/>
          </w:tcPr>
          <w:p>
            <w:pPr>
              <w:ind w:left="280"/>
              <w:spacing w:after="0"/>
              <w:rPr>
                <w:sz w:val="20"/>
                <w:szCs w:val="20"/>
                <w:color w:val="auto"/>
              </w:rPr>
            </w:pPr>
            <w:r>
              <w:rPr>
                <w:rFonts w:ascii="Arial" w:cs="Arial" w:eastAsia="Arial" w:hAnsi="Arial"/>
                <w:sz w:val="15"/>
                <w:szCs w:val="15"/>
                <w:color w:val="auto"/>
              </w:rPr>
              <w:t>TCCA fees</w:t>
            </w:r>
          </w:p>
        </w:tc>
      </w:tr>
      <w:tr>
        <w:trPr>
          <w:trHeight w:val="204"/>
        </w:trPr>
        <w:tc>
          <w:tcPr>
            <w:tcW w:w="1140" w:type="dxa"/>
            <w:vAlign w:val="bottom"/>
          </w:tcPr>
          <w:p>
            <w:pPr>
              <w:jc w:val="center"/>
              <w:ind w:right="183"/>
              <w:spacing w:after="0"/>
              <w:rPr>
                <w:sz w:val="20"/>
                <w:szCs w:val="20"/>
                <w:color w:val="auto"/>
              </w:rPr>
            </w:pPr>
            <w:r>
              <w:rPr>
                <w:rFonts w:ascii="Arial" w:cs="Arial" w:eastAsia="Arial" w:hAnsi="Arial"/>
                <w:sz w:val="15"/>
                <w:szCs w:val="15"/>
                <w:color w:val="auto"/>
              </w:rPr>
              <w:t>Treasury</w:t>
            </w:r>
          </w:p>
        </w:tc>
        <w:tc>
          <w:tcPr>
            <w:tcW w:w="3060" w:type="dxa"/>
            <w:vAlign w:val="bottom"/>
          </w:tcPr>
          <w:p>
            <w:pPr>
              <w:ind w:left="280"/>
              <w:spacing w:after="0"/>
              <w:rPr>
                <w:sz w:val="20"/>
                <w:szCs w:val="20"/>
                <w:color w:val="auto"/>
              </w:rPr>
            </w:pPr>
            <w:r>
              <w:rPr>
                <w:rFonts w:ascii="Arial" w:cs="Arial" w:eastAsia="Arial" w:hAnsi="Arial"/>
                <w:sz w:val="15"/>
                <w:szCs w:val="15"/>
                <w:color w:val="auto"/>
              </w:rPr>
              <w:t>Treasury’s Capital Magnet Fund</w:t>
            </w:r>
          </w:p>
        </w:tc>
      </w:tr>
      <w:tr>
        <w:trPr>
          <w:trHeight w:val="206"/>
        </w:trPr>
        <w:tc>
          <w:tcPr>
            <w:tcW w:w="1140" w:type="dxa"/>
            <w:vAlign w:val="bottom"/>
          </w:tcPr>
          <w:p>
            <w:pPr>
              <w:jc w:val="center"/>
              <w:ind w:right="183"/>
              <w:spacing w:after="0"/>
              <w:rPr>
                <w:sz w:val="20"/>
                <w:szCs w:val="20"/>
                <w:color w:val="auto"/>
              </w:rPr>
            </w:pPr>
            <w:r>
              <w:rPr>
                <w:rFonts w:ascii="Arial" w:cs="Arial" w:eastAsia="Arial" w:hAnsi="Arial"/>
                <w:sz w:val="15"/>
                <w:szCs w:val="15"/>
                <w:color w:val="auto"/>
              </w:rPr>
              <w:t>FHFA</w:t>
            </w:r>
          </w:p>
        </w:tc>
        <w:tc>
          <w:tcPr>
            <w:tcW w:w="3060" w:type="dxa"/>
            <w:vAlign w:val="bottom"/>
          </w:tcPr>
          <w:p>
            <w:pPr>
              <w:ind w:left="280"/>
              <w:spacing w:after="0"/>
              <w:rPr>
                <w:sz w:val="20"/>
                <w:szCs w:val="20"/>
                <w:color w:val="auto"/>
              </w:rPr>
            </w:pPr>
            <w:r>
              <w:rPr>
                <w:rFonts w:ascii="Arial" w:cs="Arial" w:eastAsia="Arial" w:hAnsi="Arial"/>
                <w:sz w:val="15"/>
                <w:szCs w:val="15"/>
                <w:color w:val="auto"/>
              </w:rPr>
              <w:t>FHFA regulatory assessment fees</w:t>
            </w:r>
          </w:p>
        </w:tc>
      </w:tr>
      <w:tr>
        <w:trPr>
          <w:trHeight w:val="157"/>
        </w:trPr>
        <w:tc>
          <w:tcPr>
            <w:tcW w:w="1140" w:type="dxa"/>
            <w:vAlign w:val="bottom"/>
          </w:tcPr>
          <w:p>
            <w:pPr>
              <w:jc w:val="center"/>
              <w:ind w:right="243"/>
              <w:spacing w:after="0" w:line="157" w:lineRule="exact"/>
              <w:rPr>
                <w:sz w:val="20"/>
                <w:szCs w:val="20"/>
                <w:color w:val="auto"/>
              </w:rPr>
            </w:pPr>
            <w:r>
              <w:rPr>
                <w:rFonts w:ascii="Arial" w:cs="Arial" w:eastAsia="Arial" w:hAnsi="Arial"/>
                <w:sz w:val="15"/>
                <w:szCs w:val="15"/>
                <w:color w:val="auto"/>
              </w:rPr>
              <w:t>Treasury &amp;</w:t>
            </w:r>
          </w:p>
        </w:tc>
        <w:tc>
          <w:tcPr>
            <w:tcW w:w="3060" w:type="dxa"/>
            <w:vAlign w:val="bottom"/>
          </w:tcPr>
          <w:p>
            <w:pPr>
              <w:ind w:left="280"/>
              <w:spacing w:after="0" w:line="157" w:lineRule="exact"/>
              <w:rPr>
                <w:sz w:val="20"/>
                <w:szCs w:val="20"/>
                <w:color w:val="auto"/>
              </w:rPr>
            </w:pPr>
            <w:r>
              <w:rPr>
                <w:rFonts w:ascii="Arial" w:cs="Arial" w:eastAsia="Arial" w:hAnsi="Arial"/>
                <w:sz w:val="15"/>
                <w:szCs w:val="15"/>
                <w:color w:val="auto"/>
              </w:rPr>
              <w:t>Making Home Affordable Program</w:t>
            </w:r>
          </w:p>
        </w:tc>
      </w:tr>
      <w:tr>
        <w:trPr>
          <w:trHeight w:val="204"/>
        </w:trPr>
        <w:tc>
          <w:tcPr>
            <w:tcW w:w="1140" w:type="dxa"/>
            <w:vAlign w:val="bottom"/>
          </w:tcPr>
          <w:p>
            <w:pPr>
              <w:jc w:val="center"/>
              <w:ind w:right="203"/>
              <w:spacing w:after="0"/>
              <w:rPr>
                <w:sz w:val="20"/>
                <w:szCs w:val="20"/>
                <w:color w:val="auto"/>
              </w:rPr>
            </w:pPr>
            <w:r>
              <w:rPr>
                <w:rFonts w:ascii="Arial" w:cs="Arial" w:eastAsia="Arial" w:hAnsi="Arial"/>
                <w:sz w:val="15"/>
                <w:szCs w:val="15"/>
                <w:color w:val="auto"/>
              </w:rPr>
              <w:t>Freddie Mac</w:t>
            </w:r>
          </w:p>
        </w:tc>
        <w:tc>
          <w:tcPr>
            <w:tcW w:w="3060" w:type="dxa"/>
            <w:vAlign w:val="bottom"/>
          </w:tcPr>
          <w:p>
            <w:pPr>
              <w:ind w:left="280"/>
              <w:spacing w:after="0"/>
              <w:rPr>
                <w:sz w:val="20"/>
                <w:szCs w:val="20"/>
                <w:color w:val="auto"/>
              </w:rPr>
            </w:pPr>
            <w:r>
              <w:rPr>
                <w:rFonts w:ascii="Arial" w:cs="Arial" w:eastAsia="Arial" w:hAnsi="Arial"/>
                <w:sz w:val="15"/>
                <w:szCs w:val="15"/>
                <w:color w:val="auto"/>
              </w:rPr>
              <w:t>reimbursements</w:t>
            </w:r>
          </w:p>
        </w:tc>
      </w:tr>
      <w:tr>
        <w:trPr>
          <w:trHeight w:val="157"/>
        </w:trPr>
        <w:tc>
          <w:tcPr>
            <w:tcW w:w="1140" w:type="dxa"/>
            <w:vAlign w:val="bottom"/>
          </w:tcPr>
          <w:p>
            <w:pPr>
              <w:jc w:val="center"/>
              <w:ind w:right="243"/>
              <w:spacing w:after="0" w:line="157" w:lineRule="exact"/>
              <w:rPr>
                <w:sz w:val="20"/>
                <w:szCs w:val="20"/>
                <w:color w:val="auto"/>
              </w:rPr>
            </w:pPr>
            <w:r>
              <w:rPr>
                <w:rFonts w:ascii="Arial" w:cs="Arial" w:eastAsia="Arial" w:hAnsi="Arial"/>
                <w:sz w:val="15"/>
                <w:szCs w:val="15"/>
                <w:color w:val="auto"/>
              </w:rPr>
              <w:t>CSS &amp;</w:t>
            </w:r>
          </w:p>
        </w:tc>
        <w:tc>
          <w:tcPr>
            <w:tcW w:w="3060" w:type="dxa"/>
            <w:vAlign w:val="bottom"/>
          </w:tcPr>
          <w:p>
            <w:pPr>
              <w:ind w:left="280"/>
              <w:spacing w:after="0" w:line="157" w:lineRule="exact"/>
              <w:rPr>
                <w:sz w:val="20"/>
                <w:szCs w:val="20"/>
                <w:color w:val="auto"/>
              </w:rPr>
            </w:pPr>
            <w:r>
              <w:rPr>
                <w:rFonts w:ascii="Arial" w:cs="Arial" w:eastAsia="Arial" w:hAnsi="Arial"/>
                <w:sz w:val="15"/>
                <w:szCs w:val="15"/>
                <w:color w:val="auto"/>
              </w:rPr>
              <w:t>Net operating losses associated with our</w:t>
            </w:r>
          </w:p>
        </w:tc>
      </w:tr>
      <w:tr>
        <w:trPr>
          <w:trHeight w:val="204"/>
        </w:trPr>
        <w:tc>
          <w:tcPr>
            <w:tcW w:w="1140" w:type="dxa"/>
            <w:vAlign w:val="bottom"/>
          </w:tcPr>
          <w:p>
            <w:pPr>
              <w:jc w:val="center"/>
              <w:ind w:right="203"/>
              <w:spacing w:after="0"/>
              <w:rPr>
                <w:sz w:val="20"/>
                <w:szCs w:val="20"/>
                <w:color w:val="auto"/>
              </w:rPr>
            </w:pPr>
            <w:r>
              <w:rPr>
                <w:rFonts w:ascii="Arial" w:cs="Arial" w:eastAsia="Arial" w:hAnsi="Arial"/>
                <w:sz w:val="15"/>
                <w:szCs w:val="15"/>
                <w:color w:val="auto"/>
              </w:rPr>
              <w:t>Freddie Mac</w:t>
            </w:r>
          </w:p>
        </w:tc>
        <w:tc>
          <w:tcPr>
            <w:tcW w:w="3060" w:type="dxa"/>
            <w:vAlign w:val="bottom"/>
          </w:tcPr>
          <w:p>
            <w:pPr>
              <w:ind w:left="280"/>
              <w:spacing w:after="0"/>
              <w:rPr>
                <w:sz w:val="20"/>
                <w:szCs w:val="20"/>
                <w:color w:val="auto"/>
              </w:rPr>
            </w:pPr>
            <w:r>
              <w:rPr>
                <w:rFonts w:ascii="Arial" w:cs="Arial" w:eastAsia="Arial" w:hAnsi="Arial"/>
                <w:sz w:val="15"/>
                <w:szCs w:val="15"/>
                <w:color w:val="auto"/>
              </w:rPr>
              <w:t>investment in CSS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jc w:val="center"/>
              <w:ind w:right="43"/>
              <w:spacing w:after="0"/>
              <w:rPr>
                <w:sz w:val="20"/>
                <w:szCs w:val="20"/>
                <w:color w:val="auto"/>
              </w:rPr>
            </w:pPr>
            <w:r>
              <w:rPr>
                <w:rFonts w:ascii="Arial" w:cs="Arial" w:eastAsia="Arial" w:hAnsi="Arial"/>
                <w:sz w:val="15"/>
                <w:szCs w:val="15"/>
                <w:color w:val="auto"/>
                <w:w w:val="98"/>
              </w:rPr>
              <w:t>TCCA fees</w:t>
            </w:r>
            <w:r>
              <w:rPr>
                <w:rFonts w:ascii="Arial" w:cs="Arial" w:eastAsia="Arial" w:hAnsi="Arial"/>
                <w:sz w:val="20"/>
                <w:szCs w:val="20"/>
                <w:color w:val="auto"/>
                <w:w w:val="98"/>
                <w:vertAlign w:val="superscript"/>
              </w:rPr>
              <w:t>(1)</w:t>
            </w:r>
          </w:p>
        </w:tc>
        <w:tc>
          <w:tcPr>
            <w:tcW w:w="58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860</w:t>
            </w:r>
          </w:p>
        </w:tc>
        <w:tc>
          <w:tcPr>
            <w:tcW w:w="54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855</w:t>
            </w:r>
          </w:p>
        </w:tc>
        <w:tc>
          <w:tcPr>
            <w:tcW w:w="62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860</w:t>
            </w:r>
          </w:p>
        </w:tc>
        <w:tc>
          <w:tcPr>
            <w:tcW w:w="0" w:type="dxa"/>
            <w:vAlign w:val="bottom"/>
          </w:tcPr>
          <w:p>
            <w:pPr>
              <w:spacing w:after="0"/>
              <w:rPr>
                <w:sz w:val="1"/>
                <w:szCs w:val="1"/>
                <w:color w:val="auto"/>
              </w:rPr>
            </w:pPr>
          </w:p>
        </w:tc>
      </w:tr>
      <w:tr>
        <w:trPr>
          <w:trHeight w:val="204"/>
        </w:trPr>
        <w:tc>
          <w:tcPr>
            <w:tcW w:w="2200" w:type="dxa"/>
            <w:vAlign w:val="bottom"/>
          </w:tcPr>
          <w:p>
            <w:pPr>
              <w:jc w:val="center"/>
              <w:ind w:right="43"/>
              <w:spacing w:after="0"/>
              <w:rPr>
                <w:sz w:val="20"/>
                <w:szCs w:val="20"/>
                <w:color w:val="auto"/>
              </w:rPr>
            </w:pPr>
            <w:r>
              <w:rPr>
                <w:rFonts w:ascii="Arial" w:cs="Arial" w:eastAsia="Arial" w:hAnsi="Arial"/>
                <w:sz w:val="15"/>
                <w:szCs w:val="15"/>
                <w:color w:val="auto"/>
              </w:rPr>
              <w:t>Other expenses, net</w:t>
            </w:r>
          </w:p>
        </w:tc>
        <w:tc>
          <w:tcPr>
            <w:tcW w:w="5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11</w:t>
            </w: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6"/>
        </w:trPr>
        <w:tc>
          <w:tcPr>
            <w:tcW w:w="2200" w:type="dxa"/>
            <w:vAlign w:val="bottom"/>
          </w:tcPr>
          <w:p>
            <w:pPr>
              <w:jc w:val="center"/>
              <w:ind w:right="43"/>
              <w:spacing w:after="0"/>
              <w:rPr>
                <w:sz w:val="20"/>
                <w:szCs w:val="20"/>
                <w:color w:val="auto"/>
              </w:rPr>
            </w:pPr>
            <w:r>
              <w:rPr>
                <w:rFonts w:ascii="Arial" w:cs="Arial" w:eastAsia="Arial" w:hAnsi="Arial"/>
                <w:sz w:val="15"/>
                <w:szCs w:val="15"/>
                <w:color w:val="auto"/>
              </w:rPr>
              <w:t>Other administrative expenses</w:t>
            </w:r>
          </w:p>
        </w:tc>
        <w:tc>
          <w:tcPr>
            <w:tcW w:w="5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40</w:t>
            </w: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w:t>
            </w: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4"/>
        </w:trPr>
        <w:tc>
          <w:tcPr>
            <w:tcW w:w="2200" w:type="dxa"/>
            <w:vAlign w:val="bottom"/>
          </w:tcPr>
          <w:p>
            <w:pPr>
              <w:jc w:val="center"/>
              <w:ind w:right="43"/>
              <w:spacing w:after="0"/>
              <w:rPr>
                <w:sz w:val="20"/>
                <w:szCs w:val="20"/>
                <w:color w:val="auto"/>
              </w:rPr>
            </w:pPr>
            <w:r>
              <w:rPr>
                <w:rFonts w:ascii="Arial" w:cs="Arial" w:eastAsia="Arial" w:hAnsi="Arial"/>
                <w:sz w:val="15"/>
                <w:szCs w:val="15"/>
                <w:color w:val="auto"/>
              </w:rPr>
              <w:t>Administrative expenses</w:t>
            </w:r>
          </w:p>
        </w:tc>
        <w:tc>
          <w:tcPr>
            <w:tcW w:w="580" w:type="dxa"/>
            <w:vAlign w:val="bottom"/>
          </w:tcPr>
          <w:p>
            <w:pPr>
              <w:spacing w:after="0"/>
              <w:rPr>
                <w:sz w:val="24"/>
                <w:szCs w:val="24"/>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24"/>
                <w:szCs w:val="24"/>
                <w:color w:val="auto"/>
              </w:rPr>
            </w:pPr>
          </w:p>
        </w:tc>
        <w:tc>
          <w:tcPr>
            <w:tcW w:w="740" w:type="dxa"/>
            <w:vAlign w:val="bottom"/>
            <w:vMerge w:val="restart"/>
          </w:tcPr>
          <w:p>
            <w:pPr>
              <w:jc w:val="right"/>
              <w:ind w:right="23"/>
              <w:spacing w:after="0"/>
              <w:rPr>
                <w:sz w:val="20"/>
                <w:szCs w:val="20"/>
                <w:color w:val="auto"/>
              </w:rPr>
            </w:pPr>
            <w:r>
              <w:rPr>
                <w:rFonts w:ascii="Arial" w:cs="Arial" w:eastAsia="Arial" w:hAnsi="Arial"/>
                <w:sz w:val="15"/>
                <w:szCs w:val="15"/>
                <w:color w:val="auto"/>
              </w:rPr>
              <w:t>3</w:t>
            </w:r>
          </w:p>
        </w:tc>
        <w:tc>
          <w:tcPr>
            <w:tcW w:w="6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7"/>
        </w:trPr>
        <w:tc>
          <w:tcPr>
            <w:tcW w:w="2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200" w:type="dxa"/>
            <w:vAlign w:val="bottom"/>
          </w:tcPr>
          <w:p>
            <w:pPr>
              <w:jc w:val="center"/>
              <w:ind w:right="43"/>
              <w:spacing w:after="0"/>
              <w:rPr>
                <w:sz w:val="20"/>
                <w:szCs w:val="20"/>
                <w:color w:val="auto"/>
              </w:rPr>
            </w:pPr>
            <w:r>
              <w:rPr>
                <w:rFonts w:ascii="Arial" w:cs="Arial" w:eastAsia="Arial" w:hAnsi="Arial"/>
                <w:sz w:val="15"/>
                <w:szCs w:val="15"/>
                <w:color w:val="auto"/>
              </w:rPr>
              <w:t>Other expenses, net</w:t>
            </w:r>
          </w:p>
        </w:tc>
        <w:tc>
          <w:tcPr>
            <w:tcW w:w="580" w:type="dxa"/>
            <w:vAlign w:val="bottom"/>
          </w:tcPr>
          <w:p>
            <w:pPr>
              <w:spacing w:after="0"/>
              <w:rPr>
                <w:sz w:val="24"/>
                <w:szCs w:val="24"/>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22</w:t>
            </w:r>
          </w:p>
        </w:tc>
        <w:tc>
          <w:tcPr>
            <w:tcW w:w="54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6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7"/>
        </w:trPr>
        <w:tc>
          <w:tcPr>
            <w:tcW w:w="2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2">
            <w:col w:w="4660" w:space="400"/>
            <w:col w:w="6180"/>
          </w:cols>
          <w:pgMar w:left="320" w:top="248" w:right="339" w:bottom="1440" w:gutter="0" w:footer="0" w:header="0"/>
          <w:type w:val="continuous"/>
        </w:sectPr>
      </w:pPr>
    </w:p>
    <w:p>
      <w:pPr>
        <w:ind w:left="240" w:right="300" w:hanging="237"/>
        <w:spacing w:after="0" w:line="226" w:lineRule="auto"/>
        <w:tabs>
          <w:tab w:leader="none" w:pos="233"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Consists of the portion of our single-family guaranty fees that is paid to Treasury pursuant to the TCCA. The resulting fee revenue and expense are recorded in “Interest income: Mortgage loans” and “TCCA fees,” respectively, in our condensed consolidated statements of operations and comprehensive income.</w:t>
      </w:r>
    </w:p>
    <w:p>
      <w:pPr>
        <w:spacing w:after="0" w:line="13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68" w:name="page69"/>
    <w:bookmarkEnd w:id="68"/>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securities issued by Freddie Mac in some of our resecuritization trusts. The mortgage loans that serve as collateral for Freddie Mac-issued securities are not held in trusts that are consolidated by Fannie Mae.</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do not consolidate VIEs when we are not deemed to be the primary beneficiary. The following table displays the carrying amount and classification of our assets and liabilities that relate to our involvement with unconsolidated securitization and resecuritization trusts.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199"/>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March 31, 2024</w:t>
            </w:r>
          </w:p>
        </w:tc>
        <w:tc>
          <w:tcPr>
            <w:tcW w:w="4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2023</w:t>
            </w:r>
          </w:p>
        </w:tc>
      </w:tr>
      <w:tr>
        <w:trPr>
          <w:trHeight w:val="244"/>
        </w:trPr>
        <w:tc>
          <w:tcPr>
            <w:tcW w:w="6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40" w:type="dxa"/>
            <w:vAlign w:val="bottom"/>
            <w:gridSpan w:val="5"/>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201"/>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Assets and liabilities recorded in our condensed consolidated balance sheets related to</w:t>
            </w: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4"/>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unconsolidated mortgage-backed trusts:</w:t>
            </w: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3"/>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1560" w:type="dxa"/>
            <w:vAlign w:val="bottom"/>
          </w:tcPr>
          <w:p>
            <w:pPr>
              <w:jc w:val="right"/>
              <w:ind w:right="138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1,813</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4,863</w:t>
            </w:r>
          </w:p>
        </w:tc>
      </w:tr>
      <w:tr>
        <w:trPr>
          <w:trHeight w:val="224"/>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Other assets</w:t>
            </w:r>
          </w:p>
        </w:tc>
        <w:tc>
          <w:tcPr>
            <w:tcW w:w="1560" w:type="dxa"/>
            <w:vAlign w:val="bottom"/>
          </w:tcPr>
          <w:p>
            <w:pPr>
              <w:spacing w:after="0"/>
              <w:rPr>
                <w:sz w:val="19"/>
                <w:szCs w:val="19"/>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8"/>
        </w:trPr>
        <w:tc>
          <w:tcPr>
            <w:tcW w:w="69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1560" w:type="dxa"/>
            <w:vAlign w:val="bottom"/>
            <w:tcBorders>
              <w:bottom w:val="single" w:sz="8" w:color="2C6937"/>
            </w:tcBorders>
          </w:tcPr>
          <w:p>
            <w:pPr>
              <w:spacing w:after="0"/>
              <w:rPr>
                <w:sz w:val="18"/>
                <w:szCs w:val="18"/>
                <w:color w:val="auto"/>
              </w:rPr>
            </w:pPr>
          </w:p>
        </w:tc>
        <w:tc>
          <w:tcPr>
            <w:tcW w:w="4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w:t>
            </w:r>
          </w:p>
        </w:tc>
      </w:tr>
      <w:tr>
        <w:trPr>
          <w:trHeight w:val="199"/>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Net carrying amount</w:t>
            </w:r>
          </w:p>
        </w:tc>
        <w:tc>
          <w:tcPr>
            <w:tcW w:w="1560" w:type="dxa"/>
            <w:vAlign w:val="bottom"/>
          </w:tcPr>
          <w:p>
            <w:pPr>
              <w:jc w:val="right"/>
              <w:ind w:right="138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1,808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4,858</w:t>
            </w:r>
          </w:p>
        </w:tc>
      </w:tr>
      <w:tr>
        <w:trPr>
          <w:trHeight w:val="20"/>
        </w:trPr>
        <w:tc>
          <w:tcPr>
            <w:tcW w:w="6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4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maximum exposure to loss related to unconsolidated securitization and resecuritization trusts, which includes but is not limited to our exposure to these Freddie Mac securities, was approximately $216 billion and $223 billion as of March 31, 2024 and December 31, 2023, respectively. The total assets of our unconsolidated securitization and resecuritization trusts were approximately $217 billion and $273 billion as of March 31, 2024 and December 31, 2023, respectively.</w:t>
      </w:r>
    </w:p>
    <w:p>
      <w:pPr>
        <w:spacing w:after="0" w:line="3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maximum exposure to loss for our unconsolidated limited partnerships and similar legal entities, which consist of LIHTC investments, community investments and investments in other entities, was $558 million and the related net carrying value was $558 million as of March 31, 2024. As of December 31, 2023, the maximum exposure to loss was $530 million and the related net carrying value was $528 million. The total assets of these limited partnership investments was $5.8 billion as of March 31, 2024 and December 31, 2023.</w:t>
      </w:r>
    </w:p>
    <w:p>
      <w:pPr>
        <w:spacing w:after="0" w:line="48"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The maximum exposure to loss related to our involvement with unconsolidated SPVs that transfer credit risk represents the unpaid principal balance and accrued interest payable of obligations issued by our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Multifamily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(“MCAS</w:t>
      </w:r>
      <w:r>
        <w:rPr>
          <w:rFonts w:ascii="Arial" w:cs="Arial" w:eastAsia="Arial" w:hAnsi="Arial"/>
          <w:sz w:val="8"/>
          <w:szCs w:val="8"/>
          <w:color w:val="auto"/>
        </w:rPr>
        <w:t>TM</w:t>
      </w:r>
      <w:r>
        <w:rPr>
          <w:rFonts w:ascii="Arial" w:cs="Arial" w:eastAsia="Arial" w:hAnsi="Arial"/>
          <w:sz w:val="16"/>
          <w:szCs w:val="16"/>
          <w:color w:val="auto"/>
        </w:rPr>
        <w:t>”) SPVs. The maximum exposure to loss related to these unconsolidated SPVs was $22.6 billion and $21.4 billion as of March 31, 2024 and December 31, 2023, respectively. The total assets related to these unconsolidated SPVs were $22.6 billion and $21.4 billion as of March 31, 2024 and December 31, 2023, respectively.</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unpaid principal balance of our multifamily loan portfolio was $467.8 billion as of March 31, 2024. As our lending relationship does not provide us with a controlling financial interest in the borrower entity, we do not consolidate these borrowers regardless of their status as either a VIE or a voting interest entity. We have excluded these entities from our VIE disclosures. However, the disclosures we have provided in “Note 4, Mortgage Loans,” “Note 5, Allowance for Loan Losses” and “Note 7, Financial Guarantees” with respect to this population are consistent with the FASB’s stated objectives for the disclosures related to unconsolidated VIEs.</w:t>
      </w:r>
    </w:p>
    <w:p>
      <w:pPr>
        <w:spacing w:after="0" w:line="8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81"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issue Fannie Mae MBS through portfolio securitization transactions by transferring pools of mortgage loans or mortgage-related securities to one or more trusts or special purpose entities. For the three months ended March 31, 2024 and 2023, the unpaid principal balance of portfolio securitizations was $31.2 billion and $28.3 billion, respectively. The substantial majority of these portfolio securitization transactions generally do not qualify for sale treatment.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488950</wp:posOffset>
            </wp:positionV>
            <wp:extent cx="68059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69" w:name="page70"/>
    <w:bookmarkEnd w:id="69"/>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securitization trusts that do qualify for sale treatment primarily consist of loans that are guaranteed or insured, in whole or in part, by the U.S. government.</w:t>
      </w:r>
    </w:p>
    <w:p>
      <w:pPr>
        <w:spacing w:after="0" w:line="8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and multi-class portfolio securitization trusts. As of March 31, 2024, the unpaid principal balance of retained interests was $797 million and its related fair value was $1.2 billion. As of December 31, 2023, the unpaid principal balance of retained interests was $821 million and its related fair value was $1.3 billion. For the three months ended March 31, 2024 and 2023, the principal, interest and other fees received on retained interests was $64 million and $78 million, respectively.</w:t>
      </w:r>
    </w:p>
    <w:p>
      <w:pPr>
        <w:spacing w:after="0" w:line="129"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own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unpaid principal balance, net of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43"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206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b w:val="1"/>
                <w:bCs w:val="1"/>
                <w:color w:val="auto"/>
              </w:rPr>
              <w:t>March 31, 2024</w:t>
            </w: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2023</w:t>
            </w:r>
          </w:p>
        </w:tc>
      </w:tr>
      <w:tr>
        <w:trPr>
          <w:trHeight w:val="296"/>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3,629,515</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3,641,385</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467,817</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461,247</w:t>
            </w:r>
          </w:p>
        </w:tc>
      </w:tr>
      <w:tr>
        <w:trPr>
          <w:trHeight w:val="30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unpaid principal balance of mortgage loans</w:t>
            </w:r>
          </w:p>
        </w:tc>
        <w:tc>
          <w:tcPr>
            <w:tcW w:w="280" w:type="dxa"/>
            <w:vAlign w:val="bottom"/>
          </w:tcPr>
          <w:p>
            <w:pPr>
              <w:spacing w:after="0"/>
              <w:rPr>
                <w:sz w:val="24"/>
                <w:szCs w:val="24"/>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4,097,332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4,102,632</w:t>
            </w:r>
          </w:p>
        </w:tc>
      </w:tr>
      <w:tr>
        <w:trPr>
          <w:trHeight w:val="309"/>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Cost basis and fair value adjustments, net</w:t>
            </w:r>
          </w:p>
        </w:tc>
        <w:tc>
          <w:tcPr>
            <w:tcW w:w="280" w:type="dxa"/>
            <w:vAlign w:val="bottom"/>
          </w:tcPr>
          <w:p>
            <w:pPr>
              <w:spacing w:after="0"/>
              <w:rPr>
                <w:sz w:val="24"/>
                <w:szCs w:val="24"/>
                <w:color w:val="auto"/>
              </w:rPr>
            </w:pP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40,165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41,729</w:t>
            </w:r>
          </w:p>
        </w:tc>
      </w:tr>
      <w:tr>
        <w:trPr>
          <w:trHeight w:val="303"/>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 for HFI loans</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1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(8,379)</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(8,730)</w:t>
            </w:r>
          </w:p>
        </w:tc>
      </w:tr>
      <w:tr>
        <w:trPr>
          <w:trHeight w:val="302"/>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740" w:type="dxa"/>
            <w:vAlign w:val="bottom"/>
          </w:tcPr>
          <w:p>
            <w:pPr>
              <w:jc w:val="right"/>
              <w:ind w:right="3"/>
              <w:spacing w:after="0"/>
              <w:rPr>
                <w:sz w:val="20"/>
                <w:szCs w:val="20"/>
                <w:color w:val="auto"/>
              </w:rPr>
            </w:pPr>
            <w:r>
              <w:rPr>
                <w:rFonts w:ascii="Arial" w:cs="Arial" w:eastAsia="Arial" w:hAnsi="Arial"/>
                <w:sz w:val="15"/>
                <w:szCs w:val="15"/>
                <w:b w:val="1"/>
                <w:bCs w:val="1"/>
                <w:color w:val="auto"/>
              </w:rPr>
              <w:t>4,129,118</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4,135,631</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Excludes $10.6 billion and $10.4 billion of accrued interest receivable, net of allowance as of March 31, 2024 and December 31, 2023, respectively.</w:t>
      </w:r>
    </w:p>
    <w:p>
      <w:pPr>
        <w:spacing w:after="0" w:line="200" w:lineRule="exact"/>
        <w:rPr>
          <w:rFonts w:ascii="Arial" w:cs="Arial" w:eastAsia="Arial" w:hAnsi="Arial"/>
          <w:sz w:val="18"/>
          <w:szCs w:val="18"/>
          <w:color w:val="auto"/>
          <w:vertAlign w:val="superscript"/>
        </w:rPr>
      </w:pPr>
    </w:p>
    <w:p>
      <w:pPr>
        <w:spacing w:after="0" w:line="393"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the sales of mortgage loans during the period.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6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3240" w:type="dxa"/>
            <w:vAlign w:val="bottom"/>
            <w:tcBorders>
              <w:bottom w:val="single" w:sz="8" w:color="2C6937"/>
            </w:tcBorders>
            <w:gridSpan w:val="4"/>
          </w:tcPr>
          <w:p>
            <w:pPr>
              <w:jc w:val="right"/>
              <w:ind w:right="223"/>
              <w:spacing w:after="0"/>
              <w:rPr>
                <w:sz w:val="20"/>
                <w:szCs w:val="20"/>
                <w:color w:val="auto"/>
              </w:rPr>
            </w:pPr>
            <w:r>
              <w:rPr>
                <w:rFonts w:ascii="Arial" w:cs="Arial" w:eastAsia="Arial" w:hAnsi="Arial"/>
                <w:sz w:val="15"/>
                <w:szCs w:val="15"/>
                <w:b w:val="1"/>
                <w:bCs w:val="1"/>
                <w:color w:val="auto"/>
              </w:rPr>
              <w:t>For the Three Months Ended March 31,</w:t>
            </w:r>
          </w:p>
        </w:tc>
      </w:tr>
      <w:tr>
        <w:trPr>
          <w:trHeight w:val="199"/>
        </w:trPr>
        <w:tc>
          <w:tcPr>
            <w:tcW w:w="764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2023</w:t>
            </w:r>
          </w:p>
        </w:tc>
      </w:tr>
      <w:tr>
        <w:trPr>
          <w:trHeight w:val="283"/>
        </w:trPr>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5"/>
                <w:szCs w:val="15"/>
                <w:b w:val="1"/>
                <w:bCs w:val="1"/>
                <w:color w:val="auto"/>
              </w:rPr>
              <w:t>(Dollars in millions)</w:t>
            </w:r>
          </w:p>
        </w:tc>
        <w:tc>
          <w:tcPr>
            <w:tcW w:w="1040" w:type="dxa"/>
            <w:vAlign w:val="bottom"/>
          </w:tcPr>
          <w:p>
            <w:pPr>
              <w:spacing w:after="0"/>
              <w:rPr>
                <w:sz w:val="24"/>
                <w:szCs w:val="24"/>
                <w:color w:val="auto"/>
              </w:rPr>
            </w:pPr>
          </w:p>
        </w:tc>
      </w:tr>
      <w:tr>
        <w:trPr>
          <w:trHeight w:val="224"/>
        </w:trPr>
        <w:tc>
          <w:tcPr>
            <w:tcW w:w="7640" w:type="dxa"/>
            <w:vAlign w:val="bottom"/>
          </w:tcPr>
          <w:p>
            <w:pPr>
              <w:spacing w:after="0"/>
              <w:rPr>
                <w:sz w:val="20"/>
                <w:szCs w:val="20"/>
                <w:color w:val="auto"/>
              </w:rPr>
            </w:pPr>
            <w:r>
              <w:rPr>
                <w:rFonts w:ascii="Arial" w:cs="Arial" w:eastAsia="Arial" w:hAnsi="Arial"/>
                <w:sz w:val="15"/>
                <w:szCs w:val="15"/>
                <w:color w:val="auto"/>
              </w:rPr>
              <w:t>Purchase of HFI loans: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3"/>
        </w:trPr>
        <w:tc>
          <w:tcPr>
            <w:tcW w:w="764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62,290</w:t>
            </w:r>
          </w:p>
        </w:tc>
        <w:tc>
          <w:tcPr>
            <w:tcW w:w="100" w:type="dxa"/>
            <w:vAlign w:val="bottom"/>
          </w:tcPr>
          <w:p>
            <w:pPr>
              <w:spacing w:after="0"/>
              <w:rPr>
                <w:sz w:val="21"/>
                <w:szCs w:val="21"/>
                <w:color w:val="auto"/>
              </w:rPr>
            </w:pPr>
          </w:p>
        </w:tc>
        <w:tc>
          <w:tcPr>
            <w:tcW w:w="64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67,467</w:t>
            </w:r>
          </w:p>
        </w:tc>
      </w:tr>
      <w:tr>
        <w:trPr>
          <w:trHeight w:val="232"/>
        </w:trPr>
        <w:tc>
          <w:tcPr>
            <w:tcW w:w="764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10,068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10,235</w:t>
            </w:r>
          </w:p>
        </w:tc>
      </w:tr>
      <w:tr>
        <w:trPr>
          <w:trHeight w:val="392"/>
        </w:trPr>
        <w:tc>
          <w:tcPr>
            <w:tcW w:w="764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0"/>
        </w:trPr>
        <w:tc>
          <w:tcPr>
            <w:tcW w:w="764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236</w:t>
            </w:r>
          </w:p>
        </w:tc>
        <w:tc>
          <w:tcPr>
            <w:tcW w:w="100" w:type="dxa"/>
            <w:vAlign w:val="bottom"/>
          </w:tcPr>
          <w:p>
            <w:pPr>
              <w:spacing w:after="0"/>
              <w:rPr>
                <w:sz w:val="24"/>
                <w:szCs w:val="24"/>
                <w:color w:val="auto"/>
              </w:rPr>
            </w:pPr>
          </w:p>
        </w:tc>
        <w:tc>
          <w:tcPr>
            <w:tcW w:w="64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355"/>
        </w:trPr>
        <w:tc>
          <w:tcPr>
            <w:tcW w:w="764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63"/>
        </w:trPr>
        <w:tc>
          <w:tcPr>
            <w:tcW w:w="764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392"/>
        </w:trPr>
        <w:tc>
          <w:tcPr>
            <w:tcW w:w="764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0"/>
        </w:trPr>
        <w:tc>
          <w:tcPr>
            <w:tcW w:w="764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499</w:t>
            </w:r>
          </w:p>
        </w:tc>
        <w:tc>
          <w:tcPr>
            <w:tcW w:w="100" w:type="dxa"/>
            <w:vAlign w:val="bottom"/>
          </w:tcPr>
          <w:p>
            <w:pPr>
              <w:spacing w:after="0"/>
              <w:rPr>
                <w:sz w:val="24"/>
                <w:szCs w:val="24"/>
                <w:color w:val="auto"/>
              </w:rPr>
            </w:pPr>
          </w:p>
        </w:tc>
        <w:tc>
          <w:tcPr>
            <w:tcW w:w="640" w:type="dxa"/>
            <w:vAlign w:val="bottom"/>
          </w:tcPr>
          <w:p>
            <w:pPr>
              <w:jc w:val="right"/>
              <w:ind w:right="44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1,842</w:t>
            </w:r>
          </w:p>
        </w:tc>
      </w:tr>
      <w:tr>
        <w:trPr>
          <w:trHeight w:val="309"/>
        </w:trPr>
        <w:tc>
          <w:tcPr>
            <w:tcW w:w="7640" w:type="dxa"/>
            <w:vAlign w:val="bottom"/>
          </w:tcPr>
          <w:p>
            <w:pPr>
              <w:ind w:left="160"/>
              <w:spacing w:after="0"/>
              <w:rPr>
                <w:sz w:val="20"/>
                <w:szCs w:val="20"/>
                <w:color w:val="auto"/>
              </w:rPr>
            </w:pPr>
            <w:r>
              <w:rPr>
                <w:rFonts w:ascii="Arial" w:cs="Arial" w:eastAsia="Arial" w:hAnsi="Arial"/>
                <w:sz w:val="15"/>
                <w:szCs w:val="15"/>
                <w:color w:val="auto"/>
              </w:rPr>
              <w:t>Realized gains, net</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17</w:t>
            </w:r>
          </w:p>
        </w:tc>
      </w:tr>
    </w:tbl>
    <w:p>
      <w:pPr>
        <w:spacing w:after="0" w:line="88" w:lineRule="exact"/>
        <w:rPr>
          <w:sz w:val="20"/>
          <w:szCs w:val="20"/>
          <w:color w:val="auto"/>
        </w:rPr>
      </w:pPr>
    </w:p>
    <w:p>
      <w:pPr>
        <w:ind w:left="220" w:hanging="217"/>
        <w:spacing w:after="0"/>
        <w:tabs>
          <w:tab w:leader="none" w:pos="2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76" w:lineRule="exact"/>
        <w:rPr>
          <w:sz w:val="20"/>
          <w:szCs w:val="20"/>
          <w:color w:val="auto"/>
        </w:rPr>
      </w:pPr>
    </w:p>
    <w:p>
      <w:pPr>
        <w:jc w:val="both"/>
        <w:ind w:right="220"/>
        <w:spacing w:after="0" w:line="272"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$4.6 billion as of March 31, 2024 and December 31, 2023. As a result of our various loss mitigation and foreclosure prevention efforts, we expect that a portion of the loans in the process of formal foreclosure proceedings will not ultimately foreclose.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71" w:name="page72"/>
    <w:bookmarkEnd w:id="71"/>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90"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560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56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560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71"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right="480"/>
        <w:spacing w:after="0" w:line="451" w:lineRule="auto"/>
        <w:rPr>
          <w:sz w:val="20"/>
          <w:szCs w:val="20"/>
          <w:color w:val="auto"/>
        </w:rPr>
      </w:pPr>
      <w:r>
        <w:rPr>
          <w:rFonts w:ascii="Arial" w:cs="Arial" w:eastAsia="Arial" w:hAnsi="Arial"/>
          <w:sz w:val="14"/>
          <w:szCs w:val="14"/>
          <w:color w:val="auto"/>
        </w:rPr>
        <w:t>Adjustable-rate Other</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20" w:right="460"/>
        <w:spacing w:after="0" w:line="486"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7"/>
          <w:szCs w:val="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60007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Loans 90 Days</w:t>
            </w:r>
          </w:p>
        </w:tc>
        <w:tc>
          <w:tcPr>
            <w:tcW w:w="106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91"/>
              <w:spacing w:after="0" w:line="155" w:lineRule="exact"/>
              <w:rPr>
                <w:sz w:val="20"/>
                <w:szCs w:val="20"/>
                <w:color w:val="auto"/>
              </w:rPr>
            </w:pPr>
            <w:r>
              <w:rPr>
                <w:rFonts w:ascii="Arial" w:cs="Arial" w:eastAsia="Arial" w:hAnsi="Arial"/>
                <w:sz w:val="14"/>
                <w:szCs w:val="14"/>
                <w:b w:val="1"/>
                <w:bCs w:val="1"/>
                <w:color w:val="auto"/>
              </w:rPr>
              <w:t>or More</w:t>
            </w:r>
          </w:p>
        </w:tc>
        <w:tc>
          <w:tcPr>
            <w:tcW w:w="106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Delinquent and</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Nonaccrual</w:t>
            </w:r>
          </w:p>
        </w:tc>
      </w:tr>
      <w:tr>
        <w:trPr>
          <w:trHeight w:val="166"/>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Accruing</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2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Delinquent</w:t>
            </w: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4"/>
              </w:rPr>
              <w:t>Interest</w:t>
            </w:r>
          </w:p>
        </w:tc>
        <w:tc>
          <w:tcPr>
            <w:tcW w:w="106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Allowance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0007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29,350</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7,275</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17,352</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53,977</w:t>
            </w:r>
          </w:p>
        </w:tc>
        <w:tc>
          <w:tcPr>
            <w:tcW w:w="10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3,158,049</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3,212,026</w:t>
            </w:r>
          </w:p>
        </w:tc>
        <w:tc>
          <w:tcPr>
            <w:tcW w:w="12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3,118</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410,920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413,333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25,798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26,086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22,554</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23,754</w:t>
            </w:r>
          </w:p>
        </w:tc>
        <w:tc>
          <w:tcPr>
            <w:tcW w:w="12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193</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31,612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7,746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18,520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57,878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3,617,321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3,675,199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3,518</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465,991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467,844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659</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31,887</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7,746</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20,098</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59,731</w:t>
            </w:r>
          </w:p>
        </w:tc>
        <w:tc>
          <w:tcPr>
            <w:tcW w:w="100" w:type="dxa"/>
            <w:vAlign w:val="bottom"/>
          </w:tcPr>
          <w:p>
            <w:pPr>
              <w:spacing w:after="0"/>
              <w:rPr>
                <w:sz w:val="24"/>
                <w:szCs w:val="24"/>
                <w:color w:val="auto"/>
              </w:rPr>
            </w:pPr>
          </w:p>
        </w:tc>
        <w:tc>
          <w:tcPr>
            <w:tcW w:w="28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4,083,312</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4,143,043</w:t>
            </w:r>
          </w:p>
        </w:tc>
        <w:tc>
          <w:tcPr>
            <w:tcW w:w="120" w:type="dxa"/>
            <w:vAlign w:val="bottom"/>
          </w:tcPr>
          <w:p>
            <w:pPr>
              <w:spacing w:after="0"/>
              <w:rPr>
                <w:sz w:val="24"/>
                <w:szCs w:val="24"/>
                <w:color w:val="auto"/>
              </w:rPr>
            </w:pPr>
          </w:p>
        </w:tc>
        <w:tc>
          <w:tcPr>
            <w:tcW w:w="36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4,177</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18415</wp:posOffset>
            </wp:positionV>
            <wp:extent cx="59924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or More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w w:val="98"/>
              </w:rPr>
              <w:t>Accruing</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2"/>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0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2C6937"/>
            </w:tcBorders>
          </w:tcPr>
          <w:p>
            <w:pPr>
              <w:jc w:val="center"/>
              <w:ind w:left="91"/>
              <w:spacing w:after="0"/>
              <w:rPr>
                <w:sz w:val="20"/>
                <w:szCs w:val="20"/>
                <w:color w:val="auto"/>
              </w:rPr>
            </w:pPr>
            <w:r>
              <w:rPr>
                <w:rFonts w:ascii="Arial" w:cs="Arial" w:eastAsia="Arial" w:hAnsi="Arial"/>
                <w:sz w:val="14"/>
                <w:szCs w:val="14"/>
                <w:b w:val="1"/>
                <w:bCs w:val="1"/>
                <w:color w:val="auto"/>
                <w:w w:val="98"/>
              </w:rPr>
              <w:t>Interest</w:t>
            </w:r>
          </w:p>
        </w:tc>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33,119</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8,093</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18,659</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59,871</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3,148,171</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3,208,042</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3,457</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425,598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428,413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26,358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23,772</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25,091</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228</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3,623,573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3,687,904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3,882</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459,206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461,354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36,184</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8,625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21,670</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66,479</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4,082,779</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4,149,258</w:t>
            </w:r>
          </w:p>
        </w:tc>
        <w:tc>
          <w:tcPr>
            <w:tcW w:w="100" w:type="dxa"/>
            <w:vAlign w:val="bottom"/>
          </w:tcPr>
          <w:p>
            <w:pPr>
              <w:spacing w:after="0"/>
              <w:rPr>
                <w:sz w:val="24"/>
                <w:szCs w:val="24"/>
                <w:color w:val="auto"/>
              </w:rPr>
            </w:pPr>
          </w:p>
        </w:tc>
        <w:tc>
          <w:tcPr>
            <w:tcW w:w="36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4,476</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180"/>
            <w:col w:w="9480"/>
          </w:cols>
          <w:pgMar w:left="320" w:top="248" w:right="339" w:bottom="1440" w:gutter="0" w:footer="0" w:header="0"/>
          <w:type w:val="continuous"/>
        </w:sectPr>
      </w:pPr>
    </w:p>
    <w:p>
      <w:pPr>
        <w:ind w:left="240" w:right="160" w:hanging="237"/>
        <w:spacing w:after="0" w:line="226" w:lineRule="auto"/>
        <w:tabs>
          <w:tab w:leader="none" w:pos="233"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81"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2" w:name="page73"/>
    <w:bookmarkEnd w:id="72"/>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negatively affect the borrower’s ability to refinance or to sell the property for an amount at or above the outstanding balance of the loan.</w:t>
      </w:r>
    </w:p>
    <w:p>
      <w:pPr>
        <w:spacing w:after="0" w:line="8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The tables below also include current year write-offs of our single-family HFI mortgage loans by class of financing receivable and year of origination, excluding loans for which we have elected the fair value option.</w:t>
      </w:r>
    </w:p>
    <w:p>
      <w:pPr>
        <w:spacing w:after="0" w:line="165"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March 31, 2024 and Write-offs for the Three Months Ended March 31, 2024,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22,414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160,958</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317,454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881,833</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756,047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768,064</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2,906,770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64,778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89,524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33,474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198,802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57,866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31,637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103,133</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1,738</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3,321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38,232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284,737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440,353</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918,764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759,626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770,314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3,212,026</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15</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879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34,299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160,540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114,051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94,806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411,875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1,165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290</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981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8,058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34,852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160,581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114,053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94,808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413,333</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4,468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5,834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9,889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23,785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1,634</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636</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2,674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5,733</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5,928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1,622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9,895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26,086</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18,861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18,861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19,000</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19,000</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414"/>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23,458</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170,072</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356,221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1,048,207</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871,713</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891,620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3,361,291</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65,899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90,964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33,597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201,673</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58,353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31,993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104,095</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1,145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1,760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3,386</w:t>
            </w:r>
          </w:p>
        </w:tc>
      </w:tr>
      <w:tr>
        <w:trPr>
          <w:trHeight w:val="26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39,447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295,469</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480,938</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1,085,273</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875,301</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894,017</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3,670,445</w:t>
            </w:r>
          </w:p>
        </w:tc>
      </w:tr>
      <w:tr>
        <w:trPr>
          <w:trHeight w:val="25"/>
        </w:trPr>
        <w:tc>
          <w:tcPr>
            <w:tcW w:w="3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r>
      <w:tr>
        <w:trPr>
          <w:trHeight w:val="173"/>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16</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434340</wp:posOffset>
            </wp:positionV>
            <wp:extent cx="68059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3" w:name="page74"/>
    <w:bookmarkEnd w:id="73"/>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2023 and Write-offs for the Year Ended December 31, 2023,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148,641</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314,384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889,434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767,596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136,654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648,964</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2,905,673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57,686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95,509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38,790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197,295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61,658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101,885</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1,764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3,189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268,985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447,259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932,415</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771,430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137,546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650,407</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3,208,042</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560</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803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35,224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165,294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117,795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17,162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84,222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426,807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1,283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7,951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35,931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165,347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117,797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17,162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84,225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428,413</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24,043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641</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2,378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5,841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6,047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1,660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9,720</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26,358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19,445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19,573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19,600</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157,317</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354,060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1,060,673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887,045</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154,553</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762,320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3,375,968</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58,766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97,186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38,932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200,289</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62,216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35,990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4,014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102,884</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1,015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1,795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3,272</w:t>
            </w:r>
          </w:p>
        </w:tc>
      </w:tr>
      <w:tr>
        <w:trPr>
          <w:trHeight w:val="26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279,314</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489,031</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1,103,809</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890,887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155,447</w:t>
            </w:r>
          </w:p>
        </w:tc>
        <w:tc>
          <w:tcPr>
            <w:tcW w:w="10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763,925</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3,682,413</w:t>
            </w:r>
          </w:p>
        </w:tc>
      </w:tr>
      <w:tr>
        <w:trPr>
          <w:trHeight w:val="25"/>
        </w:trPr>
        <w:tc>
          <w:tcPr>
            <w:tcW w:w="38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r>
      <w:tr>
        <w:trPr>
          <w:trHeight w:val="173"/>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619</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866</w:t>
            </w:r>
          </w:p>
        </w:tc>
      </w:tr>
    </w:tbl>
    <w:p>
      <w:pPr>
        <w:spacing w:after="0" w:line="135" w:lineRule="exact"/>
        <w:rPr>
          <w:sz w:val="20"/>
          <w:szCs w:val="20"/>
          <w:color w:val="auto"/>
        </w:rPr>
      </w:pPr>
    </w:p>
    <w:p>
      <w:pPr>
        <w:ind w:left="240" w:right="20" w:hanging="237"/>
        <w:spacing w:after="0" w:line="252" w:lineRule="auto"/>
        <w:tabs>
          <w:tab w:leader="none" w:pos="233" w:val="left"/>
        </w:tabs>
        <w:numPr>
          <w:ilvl w:val="0"/>
          <w:numId w:val="71"/>
        </w:numPr>
        <w:rPr>
          <w:rFonts w:ascii="Arial" w:cs="Arial" w:eastAsia="Arial" w:hAnsi="Arial"/>
          <w:sz w:val="17"/>
          <w:szCs w:val="17"/>
          <w:color w:val="auto"/>
          <w:vertAlign w:val="superscript"/>
        </w:rPr>
      </w:pPr>
      <w:r>
        <w:rPr>
          <w:rFonts w:ascii="Arial" w:cs="Arial" w:eastAsia="Arial" w:hAnsi="Arial"/>
          <w:sz w:val="13"/>
          <w:szCs w:val="13"/>
          <w:color w:val="auto"/>
        </w:rPr>
        <w:t>Excludes amortized cost of $4.8 billion and $5.5 billion as of March 31, 2024 and December 31, 2023, respectively, of mortgage loans guaranteed or insured, in whole or in part, by the U.S. government or one of its agencies, which represents primarily reverse mortgages for which we do not calculate an estimated mark-to-market LTV ratio. For the three months ended March 31, 2024 and year ended December 31, 2023, it also excludes write-offs of $35 million and $7 million, respectively, of mortgage loans guaranteed or insured, in whole or in part, by the U.S. government or one of its agencies. Year of loan origination may not be the same as the period in which we subsequently acquired the loan.</w:t>
      </w:r>
    </w:p>
    <w:p>
      <w:pPr>
        <w:spacing w:after="0" w:line="20" w:lineRule="exact"/>
        <w:rPr>
          <w:rFonts w:ascii="Arial" w:cs="Arial" w:eastAsia="Arial" w:hAnsi="Arial"/>
          <w:sz w:val="17"/>
          <w:szCs w:val="17"/>
          <w:color w:val="auto"/>
          <w:vertAlign w:val="superscript"/>
        </w:rPr>
      </w:pPr>
    </w:p>
    <w:p>
      <w:pPr>
        <w:ind w:left="240" w:right="160" w:hanging="237"/>
        <w:spacing w:after="0" w:line="226" w:lineRule="auto"/>
        <w:tabs>
          <w:tab w:leader="none" w:pos="233"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4" w:name="page75"/>
    <w:bookmarkEnd w:id="74"/>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rental income and property valuations are key inputs to our internally assigned credit risk ratings. The tables below also include current year write-offs of our multifamily HFI mortgage loans by year of origination, excluding loans for which we have elected the fair value option.</w:t>
      </w:r>
    </w:p>
    <w:p>
      <w:pPr>
        <w:spacing w:after="0" w:line="200"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Credit Quality Indicators as of March 31, 2024 and Write-offs for the Three Months Ended March 31, 2024, by</w:t>
      </w:r>
    </w:p>
    <w:p>
      <w:pPr>
        <w:spacing w:after="0" w:line="13" w:lineRule="exact"/>
        <w:rPr>
          <w:sz w:val="20"/>
          <w:szCs w:val="20"/>
          <w:color w:val="auto"/>
        </w:rPr>
      </w:pPr>
    </w:p>
    <w:p>
      <w:pPr>
        <w:jc w:val="center"/>
        <w:ind w:left="36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635</wp:posOffset>
            </wp:positionV>
            <wp:extent cx="45104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4"/>
                <w:szCs w:val="14"/>
                <w:b w:val="1"/>
                <w:bCs w:val="1"/>
                <w:color w:val="auto"/>
                <w:w w:val="91"/>
              </w:rPr>
              <w:t>Prior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4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40" w:type="dxa"/>
            <w:vAlign w:val="bottom"/>
            <w:tcBorders>
              <w:top w:val="single" w:sz="8" w:color="2C6937"/>
            </w:tcBorders>
          </w:tcPr>
          <w:p>
            <w:pPr>
              <w:spacing w:after="0"/>
              <w:rPr>
                <w:sz w:val="23"/>
                <w:szCs w:val="23"/>
                <w:color w:val="auto"/>
              </w:rPr>
            </w:pPr>
          </w:p>
        </w:tc>
        <w:tc>
          <w:tcPr>
            <w:tcW w:w="1400" w:type="dxa"/>
            <w:vAlign w:val="bottom"/>
            <w:tcBorders>
              <w:top w:val="single" w:sz="8" w:color="2C6937"/>
            </w:tcBorders>
            <w:gridSpan w:val="9"/>
          </w:tcPr>
          <w:p>
            <w:pPr>
              <w:jc w:val="right"/>
              <w:ind w:right="120"/>
              <w:spacing w:after="0"/>
              <w:rPr>
                <w:sz w:val="20"/>
                <w:szCs w:val="20"/>
                <w:color w:val="auto"/>
              </w:rPr>
            </w:pPr>
            <w:r>
              <w:rPr>
                <w:rFonts w:ascii="Arial" w:cs="Arial" w:eastAsia="Arial" w:hAnsi="Arial"/>
                <w:sz w:val="14"/>
                <w:szCs w:val="14"/>
                <w:b w:val="1"/>
                <w:bCs w:val="1"/>
                <w:color w:val="auto"/>
                <w:w w:val="96"/>
              </w:rPr>
              <w:t>(Dollars in millions)</w:t>
            </w:r>
          </w:p>
        </w:tc>
        <w:tc>
          <w:tcPr>
            <w:tcW w:w="56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20" w:type="dxa"/>
            <w:vAlign w:val="bottom"/>
            <w:tcBorders>
              <w:top w:val="single" w:sz="8" w:color="2C6937"/>
            </w:tcBorders>
          </w:tcPr>
          <w:p>
            <w:pPr>
              <w:spacing w:after="0"/>
              <w:rPr>
                <w:sz w:val="23"/>
                <w:szCs w:val="23"/>
                <w:color w:val="auto"/>
              </w:rPr>
            </w:pPr>
          </w:p>
        </w:tc>
        <w:tc>
          <w:tcPr>
            <w:tcW w:w="4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6,042</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53,999</w:t>
            </w: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51,313</w:t>
            </w:r>
          </w:p>
        </w:tc>
        <w:tc>
          <w:tcPr>
            <w:tcW w:w="100" w:type="dxa"/>
            <w:vAlign w:val="bottom"/>
          </w:tcPr>
          <w:p>
            <w:pPr>
              <w:spacing w:after="0"/>
              <w:rPr>
                <w:sz w:val="24"/>
                <w:szCs w:val="24"/>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60,426</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72,831</w:t>
            </w:r>
          </w:p>
        </w:tc>
        <w:tc>
          <w:tcPr>
            <w:tcW w:w="36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191,517</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436,128</w:t>
            </w:r>
          </w:p>
        </w:tc>
        <w:tc>
          <w:tcPr>
            <w:tcW w:w="220" w:type="dxa"/>
            <w:vAlign w:val="bottom"/>
          </w:tcPr>
          <w:p>
            <w:pPr>
              <w:spacing w:after="0"/>
              <w:rPr>
                <w:sz w:val="24"/>
                <w:szCs w:val="24"/>
                <w:color w:val="auto"/>
              </w:rPr>
            </w:pPr>
          </w:p>
        </w:tc>
      </w:tr>
      <w:tr>
        <w:trPr>
          <w:trHeight w:val="232"/>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417</w:t>
            </w:r>
          </w:p>
        </w:tc>
        <w:tc>
          <w:tcPr>
            <w:tcW w:w="220" w:type="dxa"/>
            <w:vAlign w:val="bottom"/>
          </w:tcPr>
          <w:p>
            <w:pPr>
              <w:spacing w:after="0"/>
              <w:rPr>
                <w:sz w:val="20"/>
                <w:szCs w:val="20"/>
                <w:color w:val="auto"/>
              </w:rPr>
            </w:pPr>
          </w:p>
        </w:tc>
      </w:tr>
      <w:tr>
        <w:trPr>
          <w:trHeight w:val="271"/>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9,365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3,620</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2,464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15,388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31,298</w:t>
            </w:r>
          </w:p>
        </w:tc>
        <w:tc>
          <w:tcPr>
            <w:tcW w:w="220" w:type="dxa"/>
            <w:vAlign w:val="bottom"/>
          </w:tcPr>
          <w:p>
            <w:pPr>
              <w:spacing w:after="0"/>
              <w:rPr>
                <w:sz w:val="23"/>
                <w:szCs w:val="23"/>
                <w:color w:val="auto"/>
              </w:rPr>
            </w:pPr>
          </w:p>
        </w:tc>
      </w:tr>
      <w:tr>
        <w:trPr>
          <w:trHeight w:val="257"/>
        </w:trPr>
        <w:tc>
          <w:tcPr>
            <w:tcW w:w="38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4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4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22"/>
                <w:szCs w:val="22"/>
                <w:color w:val="auto"/>
              </w:rPr>
            </w:pPr>
          </w:p>
        </w:tc>
      </w:tr>
      <w:tr>
        <w:trPr>
          <w:trHeight w:val="302"/>
        </w:trPr>
        <w:tc>
          <w:tcPr>
            <w:tcW w:w="38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24"/>
                <w:szCs w:val="24"/>
                <w:color w:val="auto"/>
              </w:rPr>
            </w:pPr>
          </w:p>
        </w:tc>
        <w:tc>
          <w:tcPr>
            <w:tcW w:w="24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6,042</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54,464</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60,689</w:t>
            </w:r>
          </w:p>
        </w:tc>
        <w:tc>
          <w:tcPr>
            <w:tcW w:w="100" w:type="dxa"/>
            <w:vAlign w:val="bottom"/>
          </w:tcPr>
          <w:p>
            <w:pPr>
              <w:spacing w:after="0"/>
              <w:rPr>
                <w:sz w:val="24"/>
                <w:szCs w:val="24"/>
                <w:color w:val="auto"/>
              </w:rPr>
            </w:pPr>
          </w:p>
        </w:tc>
        <w:tc>
          <w:tcPr>
            <w:tcW w:w="14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64,291</w:t>
            </w:r>
          </w:p>
        </w:tc>
        <w:tc>
          <w:tcPr>
            <w:tcW w:w="12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75,317</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207,041</w:t>
            </w:r>
          </w:p>
        </w:tc>
        <w:tc>
          <w:tcPr>
            <w:tcW w:w="4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467,844</w:t>
            </w:r>
          </w:p>
        </w:tc>
        <w:tc>
          <w:tcPr>
            <w:tcW w:w="220" w:type="dxa"/>
            <w:vAlign w:val="bottom"/>
          </w:tcPr>
          <w:p>
            <w:pPr>
              <w:spacing w:after="0"/>
              <w:rPr>
                <w:sz w:val="24"/>
                <w:szCs w:val="24"/>
                <w:color w:val="auto"/>
              </w:rPr>
            </w:pPr>
          </w:p>
        </w:tc>
      </w:tr>
      <w:tr>
        <w:trPr>
          <w:trHeight w:val="20"/>
        </w:trPr>
        <w:tc>
          <w:tcPr>
            <w:tcW w:w="3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0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w:t>
            </w:r>
          </w:p>
        </w:tc>
        <w:tc>
          <w:tcPr>
            <w:tcW w:w="360" w:type="dxa"/>
            <w:vAlign w:val="bottom"/>
            <w:gridSpan w:val="4"/>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78</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133</w:t>
            </w:r>
          </w:p>
        </w:tc>
        <w:tc>
          <w:tcPr>
            <w:tcW w:w="220" w:type="dxa"/>
            <w:vAlign w:val="bottom"/>
          </w:tcPr>
          <w:p>
            <w:pPr>
              <w:spacing w:after="0"/>
              <w:rPr>
                <w:sz w:val="19"/>
                <w:szCs w:val="19"/>
                <w:color w:val="auto"/>
              </w:rPr>
            </w:pPr>
          </w:p>
        </w:tc>
      </w:tr>
      <w:tr>
        <w:trPr>
          <w:trHeight w:val="390"/>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gridSpan w:val="34"/>
          </w:tcPr>
          <w:p>
            <w:pPr>
              <w:jc w:val="right"/>
              <w:ind w:right="140"/>
              <w:spacing w:after="0"/>
              <w:rPr>
                <w:sz w:val="20"/>
                <w:szCs w:val="20"/>
                <w:color w:val="auto"/>
              </w:rPr>
            </w:pPr>
            <w:r>
              <w:rPr>
                <w:rFonts w:ascii="Arial" w:cs="Arial" w:eastAsia="Arial" w:hAnsi="Arial"/>
                <w:sz w:val="14"/>
                <w:szCs w:val="14"/>
                <w:b w:val="1"/>
                <w:bCs w:val="1"/>
                <w:color w:val="auto"/>
                <w:w w:val="97"/>
              </w:rPr>
              <w:t>Credit Quality Indicators as of December 31, 2023 and Write-offs for the Year Ended December 31, 2023, by</w:t>
            </w:r>
          </w:p>
        </w:tc>
      </w:tr>
      <w:tr>
        <w:trPr>
          <w:trHeight w:val="205"/>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9"/>
          </w:tcPr>
          <w:p>
            <w:pPr>
              <w:ind w:left="4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r>
      <w:tr>
        <w:trPr>
          <w:trHeight w:val="211"/>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24"/>
              <w:spacing w:after="0"/>
              <w:rPr>
                <w:sz w:val="20"/>
                <w:szCs w:val="20"/>
                <w:color w:val="auto"/>
              </w:rPr>
            </w:pPr>
            <w:r>
              <w:rPr>
                <w:rFonts w:ascii="Arial" w:cs="Arial" w:eastAsia="Arial" w:hAnsi="Arial"/>
                <w:sz w:val="14"/>
                <w:szCs w:val="14"/>
                <w:b w:val="1"/>
                <w:bCs w:val="1"/>
                <w:color w:val="auto"/>
              </w:rPr>
              <w:t>Prior</w:t>
            </w:r>
          </w:p>
        </w:tc>
        <w:tc>
          <w:tcPr>
            <w:tcW w:w="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8"/>
          </w:tcPr>
          <w:p>
            <w:pPr>
              <w:jc w:val="right"/>
              <w:ind w:right="444"/>
              <w:spacing w:after="0"/>
              <w:rPr>
                <w:sz w:val="20"/>
                <w:szCs w:val="20"/>
                <w:color w:val="auto"/>
              </w:rPr>
            </w:pPr>
            <w:r>
              <w:rPr>
                <w:rFonts w:ascii="Arial" w:cs="Arial" w:eastAsia="Arial" w:hAnsi="Arial"/>
                <w:sz w:val="14"/>
                <w:szCs w:val="14"/>
                <w:b w:val="1"/>
                <w:bCs w:val="1"/>
                <w:color w:val="auto"/>
                <w:w w:val="98"/>
              </w:rPr>
              <w:t>(Dollars in millions)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0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49,944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51,380</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60,563</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72,791</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56,901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136,860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428,439</w:t>
            </w:r>
          </w:p>
        </w:tc>
      </w:tr>
      <w:tr>
        <w:trPr>
          <w:trHeight w:val="232"/>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181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w w:val="95"/>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404</w:t>
            </w:r>
          </w:p>
        </w:tc>
      </w:tr>
      <w:tr>
        <w:trPr>
          <w:trHeight w:val="271"/>
        </w:trPr>
        <w:tc>
          <w:tcPr>
            <w:tcW w:w="390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9,517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3,654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2,703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3,893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12,188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32,476</w:t>
            </w:r>
          </w:p>
        </w:tc>
      </w:tr>
      <w:tr>
        <w:trPr>
          <w:trHeight w:val="257"/>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25</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56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w w:val="95"/>
              </w:rPr>
              <w:t>10</w:t>
            </w: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35</w:t>
            </w:r>
          </w:p>
        </w:tc>
      </w:tr>
      <w:tr>
        <w:trPr>
          <w:trHeight w:val="302"/>
        </w:trPr>
        <w:tc>
          <w:tcPr>
            <w:tcW w:w="390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50,494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60,908</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64,398</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75,526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60,850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149,178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461,354</w:t>
            </w:r>
          </w:p>
        </w:tc>
      </w:tr>
      <w:tr>
        <w:trPr>
          <w:trHeight w:val="20"/>
        </w:trPr>
        <w:tc>
          <w:tcPr>
            <w:tcW w:w="3900" w:type="dxa"/>
            <w:vAlign w:val="bottom"/>
            <w:tcBorders>
              <w:top w:val="single" w:sz="8" w:color="2C6937"/>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gridSpan w:val="2"/>
          </w:tcPr>
          <w:p>
            <w:pPr>
              <w:spacing w:after="0" w:line="20" w:lineRule="exact"/>
              <w:rPr>
                <w:sz w:val="1"/>
                <w:szCs w:val="1"/>
                <w:color w:val="auto"/>
              </w:rPr>
            </w:pPr>
          </w:p>
        </w:tc>
      </w:tr>
      <w:tr>
        <w:trPr>
          <w:trHeight w:val="223"/>
        </w:trPr>
        <w:tc>
          <w:tcPr>
            <w:tcW w:w="390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28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5"/>
                <w:szCs w:val="15"/>
                <w:color w:val="auto"/>
                <w:w w:val="95"/>
              </w:rPr>
              <w:t>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401</w:t>
            </w:r>
          </w:p>
        </w:tc>
      </w:tr>
    </w:tbl>
    <w:p>
      <w:pPr>
        <w:spacing w:after="0" w:line="110" w:lineRule="exact"/>
        <w:rPr>
          <w:sz w:val="20"/>
          <w:szCs w:val="20"/>
          <w:color w:val="auto"/>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Year of loan origination may not be the same as the period in which we subsequently acquired the loan.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45" w:lineRule="exact"/>
        <w:rPr>
          <w:rFonts w:ascii="Arial" w:cs="Arial" w:eastAsia="Arial" w:hAnsi="Arial"/>
          <w:sz w:val="9"/>
          <w:szCs w:val="9"/>
          <w:color w:val="auto"/>
        </w:rPr>
      </w:pPr>
    </w:p>
    <w:p>
      <w:pPr>
        <w:ind w:left="240" w:right="120" w:hanging="237"/>
        <w:spacing w:after="0" w:line="226"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spacing w:after="0" w:line="27" w:lineRule="exact"/>
        <w:rPr>
          <w:rFonts w:ascii="Arial" w:cs="Arial" w:eastAsia="Arial" w:hAnsi="Arial"/>
          <w:sz w:val="18"/>
          <w:szCs w:val="18"/>
          <w:color w:val="auto"/>
          <w:vertAlign w:val="superscript"/>
        </w:rPr>
      </w:pPr>
    </w:p>
    <w:p>
      <w:pPr>
        <w:ind w:left="240" w:right="100" w:hanging="237"/>
        <w:spacing w:after="0" w:line="226"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Loans classified as “Substandard” have a well-defined weakness that jeopardizes the timely full repayment. We had seniors housing loans with an amortized cost of $6.7 billion and $6.9 billion as of March 31, 2024 and December 31, 2023, respectively, classified as substandard.</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10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single-family borrowers, we may offer loan restructurings that are only in the form of a payment delay (</w:t>
      </w:r>
      <w:r>
        <w:rPr>
          <w:rFonts w:ascii="Arial" w:cs="Arial" w:eastAsia="Arial" w:hAnsi="Arial"/>
          <w:sz w:val="16"/>
          <w:szCs w:val="16"/>
          <w:i w:val="1"/>
          <w:iCs w:val="1"/>
          <w:color w:val="auto"/>
        </w:rPr>
        <w:t>e.g.,</w:t>
      </w:r>
      <w:r>
        <w:rPr>
          <w:rFonts w:ascii="Arial" w:cs="Arial" w:eastAsia="Arial" w:hAnsi="Arial"/>
          <w:sz w:val="16"/>
          <w:szCs w:val="16"/>
          <w:color w:val="auto"/>
        </w:rPr>
        <w:t xml:space="preserve"> a forbearance plan, a repayment plan, or a payment deferral). We may also offer loan modifications that contractually change the terms of the loan, generally after the successful completion of a three to four month trial period. Single-family loan modifications may result in the capitalization of past due amounts (a form of payment delay), an interest rate reduction, a term extension, a principal forbearance (which is another form of payment delay), or a combination thereof. During the trial period, the borrower makes reduced payments that are an estimate of the anticipated modified payment amount. Additionally, during the trial period, the mortgage loan is not contractually modified such that the loan continues to be reported as past due and the trial period is considered a form of payment delay with respect to the original contractual terms of the loan. See “Note 4, Mortgage Loans” in our 2023 Form 10-K for additional information about our single-family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368300</wp:posOffset>
            </wp:positionV>
            <wp:extent cx="68059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5" w:name="page76"/>
    <w:bookmarkEnd w:id="75"/>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 multifamily borrowers, loan restructurings include short-term forbearance plans and loan modification programs, which primarily result in term extensions of up to one year with no change to the loan’s interest rate. In certain cases, we may make more significant modifications of terms for borrowers experiencing financial difficulty, such as reducing the interest rate, converting to interest-only payments, extending the maturity for longer than one year, providing principal forbearance, or some combination of these terms. In some instances when a loan is restructured, we may require additional collateral, which may take the form of a guaranty from another entity, to further mitigate the risk of nonperformance.</w:t>
      </w:r>
    </w:p>
    <w:p>
      <w:pPr>
        <w:spacing w:after="0" w:line="3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2023 Form 10-K for additional information on our accounting policies for single-family and multifamily loans that have been restructured.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bookmarkStart w:id="76" w:name="page77"/>
    <w:bookmarkEnd w:id="76"/>
    <w:p>
      <w:pPr>
        <w:jc w:val="right"/>
        <w:ind w:right="6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jc w:val="both"/>
        <w:ind w:left="320" w:hanging="154"/>
        <w:spacing w:after="0" w:line="273" w:lineRule="auto"/>
        <w:rPr>
          <w:sz w:val="20"/>
          <w:szCs w:val="20"/>
          <w:color w:val="auto"/>
        </w:rPr>
      </w:pPr>
      <w:r>
        <w:rPr>
          <w:rFonts w:ascii="Arial" w:cs="Arial" w:eastAsia="Arial" w:hAnsi="Arial"/>
          <w:sz w:val="15"/>
          <w:szCs w:val="15"/>
          <w:color w:val="auto"/>
        </w:rPr>
        <w:t>20- and 30-year or more, amortizing fixed-rate</w:t>
      </w:r>
    </w:p>
    <w:p>
      <w:pPr>
        <w:spacing w:after="0" w:line="17" w:lineRule="exact"/>
        <w:rPr>
          <w:sz w:val="20"/>
          <w:szCs w:val="20"/>
          <w:color w:val="auto"/>
        </w:rPr>
      </w:pPr>
    </w:p>
    <w:p>
      <w:pPr>
        <w:ind w:left="320" w:right="20" w:hanging="154"/>
        <w:spacing w:after="0" w:line="273" w:lineRule="auto"/>
        <w:rPr>
          <w:sz w:val="20"/>
          <w:szCs w:val="20"/>
          <w:color w:val="auto"/>
        </w:rPr>
      </w:pPr>
      <w:r>
        <w:rPr>
          <w:rFonts w:ascii="Arial" w:cs="Arial" w:eastAsia="Arial" w:hAnsi="Arial"/>
          <w:sz w:val="15"/>
          <w:szCs w:val="15"/>
          <w:color w:val="auto"/>
        </w:rPr>
        <w:t>15-year or less, amortizing fixed-rate</w:t>
      </w:r>
    </w:p>
    <w:p>
      <w:pPr>
        <w:spacing w:after="0" w:line="17" w:lineRule="exact"/>
        <w:rPr>
          <w:sz w:val="20"/>
          <w:szCs w:val="20"/>
          <w:color w:val="auto"/>
        </w:rPr>
      </w:pPr>
    </w:p>
    <w:p>
      <w:pPr>
        <w:ind w:left="180" w:right="260"/>
        <w:spacing w:after="0" w:line="331" w:lineRule="auto"/>
        <w:rPr>
          <w:sz w:val="20"/>
          <w:szCs w:val="20"/>
          <w:color w:val="auto"/>
        </w:rPr>
      </w:pPr>
      <w:r>
        <w:rPr>
          <w:rFonts w:ascii="Arial" w:cs="Arial" w:eastAsia="Arial" w:hAnsi="Arial"/>
          <w:sz w:val="15"/>
          <w:szCs w:val="15"/>
          <w:color w:val="auto"/>
        </w:rPr>
        <w:t>Adjustable-rate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1049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20" w:right="240"/>
        <w:spacing w:after="0" w:line="323" w:lineRule="auto"/>
        <w:rPr>
          <w:sz w:val="20"/>
          <w:szCs w:val="20"/>
          <w:color w:val="auto"/>
        </w:rPr>
      </w:pPr>
      <w:r>
        <w:rPr>
          <w:rFonts w:ascii="Arial" w:cs="Arial" w:eastAsia="Arial" w:hAnsi="Arial"/>
          <w:sz w:val="15"/>
          <w:szCs w:val="15"/>
          <w:color w:val="auto"/>
        </w:rPr>
        <w:t>Total single-family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11049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1049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04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1049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March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80" w:type="dxa"/>
            <w:vAlign w:val="bottom"/>
            <w:tcBorders>
              <w:top w:val="single" w:sz="8" w:color="2C6937"/>
              <w:bottom w:val="single" w:sz="8" w:color="2C6937"/>
            </w:tcBorders>
          </w:tcPr>
          <w:p>
            <w:pPr>
              <w:ind w:left="1240"/>
              <w:spacing w:after="0"/>
              <w:rPr>
                <w:sz w:val="20"/>
                <w:szCs w:val="20"/>
                <w:color w:val="auto"/>
              </w:rPr>
            </w:pPr>
            <w:r>
              <w:rPr>
                <w:rFonts w:ascii="Arial" w:cs="Arial" w:eastAsia="Arial" w:hAnsi="Arial"/>
                <w:sz w:val="14"/>
                <w:szCs w:val="14"/>
                <w:b w:val="1"/>
                <w:bCs w:val="1"/>
                <w:color w:val="auto"/>
                <w:w w:val="98"/>
              </w:rPr>
              <w:t>Payment Delay (Only)</w:t>
            </w:r>
          </w:p>
        </w:tc>
        <w:tc>
          <w:tcPr>
            <w:tcW w:w="1200" w:type="dxa"/>
            <w:vAlign w:val="bottom"/>
            <w:tcBorders>
              <w:top w:val="single" w:sz="8" w:color="2C6937"/>
              <w:bottom w:val="single" w:sz="8" w:color="2C6937"/>
            </w:tcBorders>
          </w:tcPr>
          <w:p>
            <w:pPr>
              <w:spacing w:after="0"/>
              <w:rPr>
                <w:sz w:val="17"/>
                <w:szCs w:val="17"/>
                <w:color w:val="auto"/>
              </w:rPr>
            </w:pPr>
          </w:p>
        </w:tc>
        <w:tc>
          <w:tcPr>
            <w:tcW w:w="1520" w:type="dxa"/>
            <w:vAlign w:val="bottom"/>
            <w:tcBorders>
              <w:top w:val="single" w:sz="8" w:color="2C6937"/>
            </w:tcBorders>
          </w:tcPr>
          <w:p>
            <w:pPr>
              <w:spacing w:after="0"/>
              <w:rPr>
                <w:sz w:val="17"/>
                <w:szCs w:val="17"/>
                <w:color w:val="auto"/>
              </w:rPr>
            </w:pPr>
          </w:p>
        </w:tc>
        <w:tc>
          <w:tcPr>
            <w:tcW w:w="1500" w:type="dxa"/>
            <w:vAlign w:val="bottom"/>
            <w:tcBorders>
              <w:top w:val="single" w:sz="8" w:color="2C6937"/>
            </w:tcBorders>
          </w:tcPr>
          <w:p>
            <w:pPr>
              <w:spacing w:after="0"/>
              <w:rPr>
                <w:sz w:val="17"/>
                <w:szCs w:val="17"/>
                <w:color w:val="auto"/>
              </w:rPr>
            </w:pPr>
          </w:p>
        </w:tc>
        <w:tc>
          <w:tcPr>
            <w:tcW w:w="940" w:type="dxa"/>
            <w:vAlign w:val="bottom"/>
            <w:tcBorders>
              <w:top w:val="single" w:sz="8" w:color="2C6937"/>
            </w:tcBorders>
          </w:tcPr>
          <w:p>
            <w:pPr>
              <w:spacing w:after="0"/>
              <w:rPr>
                <w:sz w:val="17"/>
                <w:szCs w:val="17"/>
                <w:color w:val="auto"/>
              </w:rPr>
            </w:pPr>
          </w:p>
        </w:tc>
        <w:tc>
          <w:tcPr>
            <w:tcW w:w="152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tcPr>
          <w:p>
            <w:pPr>
              <w:jc w:val="center"/>
              <w:ind w:right="211"/>
              <w:spacing w:after="0" w:line="123" w:lineRule="exact"/>
              <w:rPr>
                <w:sz w:val="20"/>
                <w:szCs w:val="20"/>
                <w:color w:val="auto"/>
              </w:rPr>
            </w:pPr>
            <w:r>
              <w:rPr>
                <w:rFonts w:ascii="Arial" w:cs="Arial" w:eastAsia="Arial" w:hAnsi="Arial"/>
                <w:sz w:val="14"/>
                <w:szCs w:val="14"/>
                <w:b w:val="1"/>
                <w:bCs w:val="1"/>
                <w:color w:val="auto"/>
                <w:w w:val="98"/>
              </w:rPr>
              <w:t>Payment Delay,</w:t>
            </w:r>
          </w:p>
        </w:tc>
        <w:tc>
          <w:tcPr>
            <w:tcW w:w="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00" w:type="dxa"/>
            <w:vAlign w:val="bottom"/>
          </w:tcPr>
          <w:p>
            <w:pPr>
              <w:jc w:val="center"/>
              <w:ind w:right="211"/>
              <w:spacing w:after="0" w:line="133" w:lineRule="exact"/>
              <w:rPr>
                <w:sz w:val="20"/>
                <w:szCs w:val="20"/>
                <w:color w:val="auto"/>
              </w:rPr>
            </w:pPr>
            <w:r>
              <w:rPr>
                <w:rFonts w:ascii="Arial" w:cs="Arial" w:eastAsia="Arial" w:hAnsi="Arial"/>
                <w:sz w:val="14"/>
                <w:szCs w:val="14"/>
                <w:b w:val="1"/>
                <w:bCs w:val="1"/>
                <w:color w:val="auto"/>
                <w:w w:val="97"/>
              </w:rPr>
              <w:t>Term Extension,</w:t>
            </w: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80" w:type="dxa"/>
            <w:vAlign w:val="bottom"/>
          </w:tcPr>
          <w:p>
            <w:pPr>
              <w:spacing w:after="0"/>
              <w:rPr>
                <w:sz w:val="13"/>
                <w:szCs w:val="13"/>
                <w:color w:val="auto"/>
              </w:rPr>
            </w:pPr>
          </w:p>
        </w:tc>
        <w:tc>
          <w:tcPr>
            <w:tcW w:w="12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6"/>
              </w:rPr>
              <w:t>Trial Modification</w:t>
            </w:r>
          </w:p>
        </w:tc>
        <w:tc>
          <w:tcPr>
            <w:tcW w:w="15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Payment Delay</w:t>
            </w:r>
          </w:p>
        </w:tc>
        <w:tc>
          <w:tcPr>
            <w:tcW w:w="1500" w:type="dxa"/>
            <w:vAlign w:val="bottom"/>
          </w:tcPr>
          <w:p>
            <w:pPr>
              <w:jc w:val="center"/>
              <w:ind w:right="211"/>
              <w:spacing w:after="0" w:line="151" w:lineRule="exact"/>
              <w:rPr>
                <w:sz w:val="20"/>
                <w:szCs w:val="20"/>
                <w:color w:val="auto"/>
              </w:rPr>
            </w:pPr>
            <w:r>
              <w:rPr>
                <w:rFonts w:ascii="Arial" w:cs="Arial" w:eastAsia="Arial" w:hAnsi="Arial"/>
                <w:sz w:val="14"/>
                <w:szCs w:val="14"/>
                <w:b w:val="1"/>
                <w:bCs w:val="1"/>
                <w:color w:val="auto"/>
                <w:w w:val="96"/>
              </w:rPr>
              <w:t>Interest Rate</w:t>
            </w:r>
          </w:p>
        </w:tc>
        <w:tc>
          <w:tcPr>
            <w:tcW w:w="940" w:type="dxa"/>
            <w:vAlign w:val="bottom"/>
          </w:tcPr>
          <w:p>
            <w:pPr>
              <w:spacing w:after="0"/>
              <w:rPr>
                <w:sz w:val="13"/>
                <w:szCs w:val="13"/>
                <w:color w:val="auto"/>
              </w:rPr>
            </w:pPr>
          </w:p>
        </w:tc>
        <w:tc>
          <w:tcPr>
            <w:tcW w:w="1520" w:type="dxa"/>
            <w:vAlign w:val="bottom"/>
          </w:tcPr>
          <w:p>
            <w:pPr>
              <w:jc w:val="center"/>
              <w:ind w:left="191"/>
              <w:spacing w:after="0" w:line="151" w:lineRule="exact"/>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29"/>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Forbearance Plan   Payment Deferral</w:t>
            </w: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and Repayment</w:t>
            </w:r>
          </w:p>
        </w:tc>
        <w:tc>
          <w:tcPr>
            <w:tcW w:w="1520" w:type="dxa"/>
            <w:vAlign w:val="bottom"/>
          </w:tcPr>
          <w:p>
            <w:pPr>
              <w:jc w:val="center"/>
              <w:ind w:right="11"/>
              <w:spacing w:after="0" w:line="129" w:lineRule="exact"/>
              <w:rPr>
                <w:sz w:val="20"/>
                <w:szCs w:val="20"/>
                <w:color w:val="auto"/>
              </w:rPr>
            </w:pPr>
            <w:r>
              <w:rPr>
                <w:rFonts w:ascii="Arial" w:cs="Arial" w:eastAsia="Arial" w:hAnsi="Arial"/>
                <w:sz w:val="14"/>
                <w:szCs w:val="14"/>
                <w:b w:val="1"/>
                <w:bCs w:val="1"/>
                <w:color w:val="auto"/>
                <w:w w:val="95"/>
              </w:rPr>
              <w:t>and Term</w:t>
            </w:r>
          </w:p>
        </w:tc>
        <w:tc>
          <w:tcPr>
            <w:tcW w:w="1500" w:type="dxa"/>
            <w:vAlign w:val="bottom"/>
          </w:tcPr>
          <w:p>
            <w:pPr>
              <w:jc w:val="center"/>
              <w:ind w:right="211"/>
              <w:spacing w:after="0" w:line="129" w:lineRule="exact"/>
              <w:rPr>
                <w:sz w:val="20"/>
                <w:szCs w:val="20"/>
                <w:color w:val="auto"/>
              </w:rPr>
            </w:pPr>
            <w:r>
              <w:rPr>
                <w:rFonts w:ascii="Arial" w:cs="Arial" w:eastAsia="Arial" w:hAnsi="Arial"/>
                <w:sz w:val="14"/>
                <w:szCs w:val="14"/>
                <w:b w:val="1"/>
                <w:bCs w:val="1"/>
                <w:color w:val="auto"/>
                <w:w w:val="96"/>
              </w:rPr>
              <w:t>Reduction, and</w:t>
            </w:r>
          </w:p>
        </w:tc>
        <w:tc>
          <w:tcPr>
            <w:tcW w:w="9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1520" w:type="dxa"/>
            <w:vAlign w:val="bottom"/>
          </w:tcPr>
          <w:p>
            <w:pPr>
              <w:jc w:val="center"/>
              <w:ind w:left="211"/>
              <w:spacing w:after="0" w:line="129"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93"/>
        </w:trPr>
        <w:tc>
          <w:tcPr>
            <w:tcW w:w="2680" w:type="dxa"/>
            <w:vAlign w:val="bottom"/>
            <w:tcBorders>
              <w:bottom w:val="single" w:sz="8" w:color="2C6937"/>
            </w:tcBorders>
            <w:vMerge w:val="continue"/>
          </w:tcPr>
          <w:p>
            <w:pPr>
              <w:spacing w:after="0"/>
              <w:rPr>
                <w:sz w:val="16"/>
                <w:szCs w:val="16"/>
                <w:color w:val="auto"/>
              </w:rPr>
            </w:pPr>
          </w:p>
        </w:tc>
        <w:tc>
          <w:tcPr>
            <w:tcW w:w="120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Plans</w:t>
            </w:r>
          </w:p>
        </w:tc>
        <w:tc>
          <w:tcPr>
            <w:tcW w:w="1520" w:type="dxa"/>
            <w:vAlign w:val="bottom"/>
            <w:tcBorders>
              <w:bottom w:val="single" w:sz="8" w:color="2C6937"/>
            </w:tcBorders>
          </w:tcPr>
          <w:p>
            <w:pPr>
              <w:jc w:val="center"/>
              <w:ind w:right="11"/>
              <w:spacing w:after="0" w:line="194"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500" w:type="dxa"/>
            <w:vAlign w:val="bottom"/>
            <w:tcBorders>
              <w:bottom w:val="single" w:sz="8" w:color="2C6937"/>
            </w:tcBorders>
          </w:tcPr>
          <w:p>
            <w:pPr>
              <w:jc w:val="center"/>
              <w:ind w:right="211"/>
              <w:spacing w:after="0" w:line="194" w:lineRule="exact"/>
              <w:rPr>
                <w:sz w:val="20"/>
                <w:szCs w:val="20"/>
                <w:color w:val="auto"/>
              </w:rPr>
            </w:pPr>
            <w:r>
              <w:rPr>
                <w:rFonts w:ascii="Arial" w:cs="Arial" w:eastAsia="Arial" w:hAnsi="Arial"/>
                <w:sz w:val="14"/>
                <w:szCs w:val="14"/>
                <w:b w:val="1"/>
                <w:bCs w:val="1"/>
                <w:color w:val="auto"/>
                <w:w w:val="89"/>
              </w:rPr>
              <w:t>Other</w:t>
            </w:r>
            <w:r>
              <w:rPr>
                <w:rFonts w:ascii="Arial" w:cs="Arial" w:eastAsia="Arial" w:hAnsi="Arial"/>
                <w:sz w:val="17"/>
                <w:szCs w:val="17"/>
                <w:b w:val="1"/>
                <w:bCs w:val="1"/>
                <w:color w:val="auto"/>
                <w:w w:val="89"/>
                <w:vertAlign w:val="superscript"/>
              </w:rPr>
              <w:t>(1)</w:t>
            </w:r>
          </w:p>
        </w:tc>
        <w:tc>
          <w:tcPr>
            <w:tcW w:w="940" w:type="dxa"/>
            <w:vAlign w:val="bottom"/>
            <w:tcBorders>
              <w:bottom w:val="single" w:sz="8" w:color="2C6937"/>
            </w:tcBorders>
            <w:vMerge w:val="continue"/>
          </w:tcPr>
          <w:p>
            <w:pPr>
              <w:spacing w:after="0"/>
              <w:rPr>
                <w:sz w:val="16"/>
                <w:szCs w:val="16"/>
                <w:color w:val="auto"/>
              </w:rPr>
            </w:pPr>
          </w:p>
        </w:tc>
        <w:tc>
          <w:tcPr>
            <w:tcW w:w="1520" w:type="dxa"/>
            <w:vAlign w:val="bottom"/>
            <w:tcBorders>
              <w:bottom w:val="single" w:sz="8" w:color="2C6937"/>
            </w:tcBorders>
          </w:tcPr>
          <w:p>
            <w:pPr>
              <w:jc w:val="center"/>
              <w:ind w:left="211"/>
              <w:spacing w:after="0" w:line="194" w:lineRule="exact"/>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5,504</w:t>
            </w:r>
          </w:p>
        </w:tc>
        <w:tc>
          <w:tcPr>
            <w:tcW w:w="80" w:type="dxa"/>
            <w:vAlign w:val="bottom"/>
          </w:tcPr>
          <w:p>
            <w:pPr>
              <w:spacing w:after="0"/>
              <w:rPr>
                <w:sz w:val="18"/>
                <w:szCs w:val="18"/>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3,539</w:t>
            </w:r>
          </w:p>
        </w:tc>
        <w:tc>
          <w:tcPr>
            <w:tcW w:w="100" w:type="dxa"/>
            <w:vAlign w:val="bottom"/>
          </w:tcPr>
          <w:p>
            <w:pPr>
              <w:spacing w:after="0"/>
              <w:rPr>
                <w:sz w:val="18"/>
                <w:szCs w:val="18"/>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4,567</w:t>
            </w:r>
          </w:p>
        </w:tc>
        <w:tc>
          <w:tcPr>
            <w:tcW w:w="100" w:type="dxa"/>
            <w:vAlign w:val="bottom"/>
          </w:tcPr>
          <w:p>
            <w:pPr>
              <w:spacing w:after="0"/>
              <w:rPr>
                <w:sz w:val="18"/>
                <w:szCs w:val="18"/>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2,223</w:t>
            </w:r>
          </w:p>
        </w:tc>
        <w:tc>
          <w:tcPr>
            <w:tcW w:w="100" w:type="dxa"/>
            <w:vAlign w:val="bottom"/>
          </w:tcPr>
          <w:p>
            <w:pPr>
              <w:spacing w:after="0"/>
              <w:rPr>
                <w:sz w:val="18"/>
                <w:szCs w:val="18"/>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8"/>
                <w:szCs w:val="18"/>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15,865</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606"/>
        </w:trPr>
        <w:tc>
          <w:tcPr>
            <w:tcW w:w="44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220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496</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3"/>
        </w:trPr>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0"/>
                <w:szCs w:val="20"/>
                <w:color w:val="auto"/>
              </w:rPr>
            </w:pPr>
          </w:p>
        </w:tc>
        <w:tc>
          <w:tcPr>
            <w:tcW w:w="62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40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190</w:t>
            </w: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24"/>
        </w:trPr>
        <w:tc>
          <w:tcPr>
            <w:tcW w:w="440" w:type="dxa"/>
            <w:vAlign w:val="bottom"/>
          </w:tcPr>
          <w:p>
            <w:pPr>
              <w:spacing w:after="0"/>
              <w:rPr>
                <w:sz w:val="19"/>
                <w:szCs w:val="19"/>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5,786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2,252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16,614</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3"/>
        </w:trPr>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6"/>
        </w:trPr>
        <w:tc>
          <w:tcPr>
            <w:tcW w:w="44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rPr>
              <w:t>5,791</w:t>
            </w:r>
          </w:p>
        </w:tc>
        <w:tc>
          <w:tcPr>
            <w:tcW w:w="80" w:type="dxa"/>
            <w:vAlign w:val="bottom"/>
          </w:tcPr>
          <w:p>
            <w:pPr>
              <w:spacing w:after="0"/>
              <w:rPr>
                <w:sz w:val="19"/>
                <w:szCs w:val="19"/>
                <w:color w:val="auto"/>
              </w:rPr>
            </w:pPr>
          </w:p>
        </w:tc>
        <w:tc>
          <w:tcPr>
            <w:tcW w:w="44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3,726</w:t>
            </w:r>
          </w:p>
        </w:tc>
        <w:tc>
          <w:tcPr>
            <w:tcW w:w="100" w:type="dxa"/>
            <w:vAlign w:val="bottom"/>
          </w:tcPr>
          <w:p>
            <w:pPr>
              <w:spacing w:after="0"/>
              <w:rPr>
                <w:sz w:val="19"/>
                <w:szCs w:val="19"/>
                <w:color w:val="auto"/>
              </w:rPr>
            </w:pPr>
          </w:p>
        </w:tc>
        <w:tc>
          <w:tcPr>
            <w:tcW w:w="44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4,804</w:t>
            </w:r>
          </w:p>
        </w:tc>
        <w:tc>
          <w:tcPr>
            <w:tcW w:w="100" w:type="dxa"/>
            <w:vAlign w:val="bottom"/>
          </w:tcPr>
          <w:p>
            <w:pPr>
              <w:spacing w:after="0"/>
              <w:rPr>
                <w:sz w:val="19"/>
                <w:szCs w:val="19"/>
                <w:color w:val="auto"/>
              </w:rPr>
            </w:pPr>
          </w:p>
        </w:tc>
        <w:tc>
          <w:tcPr>
            <w:tcW w:w="44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2,252</w:t>
            </w:r>
          </w:p>
        </w:tc>
        <w:tc>
          <w:tcPr>
            <w:tcW w:w="100" w:type="dxa"/>
            <w:vAlign w:val="bottom"/>
          </w:tcPr>
          <w:p>
            <w:pPr>
              <w:spacing w:after="0"/>
              <w:rPr>
                <w:sz w:val="19"/>
                <w:szCs w:val="19"/>
                <w:color w:val="auto"/>
              </w:rPr>
            </w:pPr>
          </w:p>
        </w:tc>
        <w:tc>
          <w:tcPr>
            <w:tcW w:w="620" w:type="dxa"/>
            <w:vAlign w:val="bottom"/>
            <w:tcBorders>
              <w:top w:val="single" w:sz="8" w:color="2C6937"/>
              <w:bottom w:val="single" w:sz="8" w:color="2C6937"/>
            </w:tcBorders>
          </w:tcPr>
          <w:p>
            <w:pPr>
              <w:jc w:val="right"/>
              <w:ind w:right="44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9"/>
                <w:szCs w:val="19"/>
                <w:color w:val="auto"/>
              </w:rPr>
            </w:pPr>
          </w:p>
        </w:tc>
        <w:tc>
          <w:tcPr>
            <w:tcW w:w="400" w:type="dxa"/>
            <w:vAlign w:val="bottom"/>
            <w:tcBorders>
              <w:top w:val="single" w:sz="8" w:color="2C6937"/>
              <w:bottom w:val="single" w:sz="8" w:color="2C6937"/>
            </w:tcBorders>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16,631</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For the Three Months Ended March 31, 2023</w:t>
      </w:r>
    </w:p>
    <w:p>
      <w:pPr>
        <w:spacing w:after="0" w:line="27" w:lineRule="exact"/>
        <w:rPr>
          <w:sz w:val="20"/>
          <w:szCs w:val="20"/>
          <w:color w:val="auto"/>
        </w:rPr>
      </w:pPr>
    </w:p>
    <w:p>
      <w:pPr>
        <w:sectPr>
          <w:pgSz w:w="11900" w:h="16838" w:orient="portrait"/>
          <w:cols w:equalWidth="0" w:num="2">
            <w:col w:w="1480" w:space="360"/>
            <w:col w:w="9360"/>
          </w:cols>
          <w:pgMar w:left="320" w:top="248" w:right="37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2C6937"/>
              <w:bottom w:val="single" w:sz="8" w:color="2C6937"/>
            </w:tcBorders>
          </w:tcPr>
          <w:p>
            <w:pPr>
              <w:spacing w:after="0"/>
              <w:rPr>
                <w:sz w:val="17"/>
                <w:szCs w:val="17"/>
                <w:color w:val="auto"/>
              </w:rPr>
            </w:pPr>
          </w:p>
        </w:tc>
        <w:tc>
          <w:tcPr>
            <w:tcW w:w="820" w:type="dxa"/>
            <w:vAlign w:val="bottom"/>
            <w:tcBorders>
              <w:top w:val="single" w:sz="8" w:color="2C6937"/>
              <w:bottom w:val="single" w:sz="8" w:color="2C6937"/>
            </w:tcBorders>
          </w:tcPr>
          <w:p>
            <w:pPr>
              <w:spacing w:after="0"/>
              <w:rPr>
                <w:sz w:val="17"/>
                <w:szCs w:val="17"/>
                <w:color w:val="auto"/>
              </w:rPr>
            </w:pPr>
          </w:p>
        </w:tc>
        <w:tc>
          <w:tcPr>
            <w:tcW w:w="1420" w:type="dxa"/>
            <w:vAlign w:val="bottom"/>
            <w:tcBorders>
              <w:top w:val="single" w:sz="8" w:color="2C6937"/>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top w:val="single" w:sz="8" w:color="2C6937"/>
              <w:bottom w:val="single" w:sz="8" w:color="2C6937"/>
            </w:tcBorders>
          </w:tcPr>
          <w:p>
            <w:pPr>
              <w:spacing w:after="0"/>
              <w:rPr>
                <w:sz w:val="17"/>
                <w:szCs w:val="17"/>
                <w:color w:val="auto"/>
              </w:rPr>
            </w:pPr>
          </w:p>
        </w:tc>
        <w:tc>
          <w:tcPr>
            <w:tcW w:w="11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2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80" w:type="dxa"/>
            <w:vAlign w:val="bottom"/>
            <w:tcBorders>
              <w:top w:val="single" w:sz="8" w:color="2C6937"/>
            </w:tcBorders>
          </w:tcPr>
          <w:p>
            <w:pPr>
              <w:spacing w:after="0"/>
              <w:rPr>
                <w:sz w:val="17"/>
                <w:szCs w:val="17"/>
                <w:color w:val="auto"/>
              </w:rPr>
            </w:pPr>
          </w:p>
        </w:tc>
        <w:tc>
          <w:tcPr>
            <w:tcW w:w="920" w:type="dxa"/>
            <w:vAlign w:val="bottom"/>
            <w:tcBorders>
              <w:top w:val="single" w:sz="8" w:color="2C6937"/>
            </w:tcBorders>
          </w:tcPr>
          <w:p>
            <w:pPr>
              <w:spacing w:after="0"/>
              <w:rPr>
                <w:sz w:val="17"/>
                <w:szCs w:val="17"/>
                <w:color w:val="auto"/>
              </w:rPr>
            </w:pPr>
          </w:p>
        </w:tc>
        <w:tc>
          <w:tcPr>
            <w:tcW w:w="14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Trial Modification</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7"/>
              </w:rPr>
              <w:t>Term Extension and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Forbearance 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7"/>
              </w:rPr>
              <w:t>and Repayment</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and Term</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9"/>
              </w:rPr>
              <w:t>Interest Rate</w:t>
            </w:r>
          </w:p>
        </w:tc>
        <w:tc>
          <w:tcPr>
            <w:tcW w:w="280" w:type="dxa"/>
            <w:vAlign w:val="bottom"/>
          </w:tcPr>
          <w:p>
            <w:pPr>
              <w:spacing w:after="0"/>
              <w:rPr>
                <w:sz w:val="12"/>
                <w:szCs w:val="12"/>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jc w:val="center"/>
              <w:ind w:left="25"/>
              <w:spacing w:after="0" w:line="139" w:lineRule="exact"/>
              <w:rPr>
                <w:sz w:val="20"/>
                <w:szCs w:val="20"/>
                <w:color w:val="auto"/>
              </w:rPr>
            </w:pPr>
            <w:r>
              <w:rPr>
                <w:rFonts w:ascii="Arial" w:cs="Arial" w:eastAsia="Arial" w:hAnsi="Arial"/>
                <w:sz w:val="14"/>
                <w:szCs w:val="14"/>
                <w:b w:val="1"/>
                <w:bCs w:val="1"/>
                <w:color w:val="auto"/>
                <w:w w:val="97"/>
              </w:rPr>
              <w:t>by Financing</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6"/>
              </w:rPr>
              <w:t>Extension</w:t>
            </w:r>
            <w:r>
              <w:rPr>
                <w:rFonts w:ascii="Arial" w:cs="Arial" w:eastAsia="Arial" w:hAnsi="Arial"/>
                <w:sz w:val="17"/>
                <w:szCs w:val="17"/>
                <w:b w:val="1"/>
                <w:bCs w:val="1"/>
                <w:color w:val="auto"/>
                <w:w w:val="96"/>
                <w:vertAlign w:val="superscript"/>
              </w:rPr>
              <w:t>(1)</w:t>
            </w:r>
          </w:p>
        </w:tc>
        <w:tc>
          <w:tcPr>
            <w:tcW w:w="14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Borders>
              <w:bottom w:val="single" w:sz="8" w:color="2C6937"/>
            </w:tcBorders>
          </w:tcPr>
          <w:p>
            <w:pPr>
              <w:spacing w:after="0"/>
              <w:rPr>
                <w:sz w:val="15"/>
                <w:szCs w:val="15"/>
                <w:color w:val="auto"/>
              </w:rPr>
            </w:pPr>
          </w:p>
        </w:tc>
        <w:tc>
          <w:tcPr>
            <w:tcW w:w="920" w:type="dxa"/>
            <w:vAlign w:val="bottom"/>
            <w:tcBorders>
              <w:bottom w:val="single" w:sz="8" w:color="2C6937"/>
            </w:tcBorders>
            <w:vMerge w:val="continue"/>
          </w:tcPr>
          <w:p>
            <w:pPr>
              <w:spacing w:after="0"/>
              <w:rPr>
                <w:sz w:val="15"/>
                <w:szCs w:val="15"/>
                <w:color w:val="auto"/>
              </w:rPr>
            </w:pPr>
          </w:p>
        </w:tc>
        <w:tc>
          <w:tcPr>
            <w:tcW w:w="1460" w:type="dxa"/>
            <w:vAlign w:val="bottom"/>
            <w:tcBorders>
              <w:bottom w:val="single" w:sz="8" w:color="2C6937"/>
            </w:tcBorders>
          </w:tcPr>
          <w:p>
            <w:pPr>
              <w:jc w:val="center"/>
              <w:ind w:left="25"/>
              <w:spacing w:after="0" w:line="180" w:lineRule="exact"/>
              <w:rPr>
                <w:sz w:val="20"/>
                <w:szCs w:val="20"/>
                <w:color w:val="auto"/>
              </w:rPr>
            </w:pPr>
            <w:r>
              <w:rPr>
                <w:rFonts w:ascii="Arial" w:cs="Arial" w:eastAsia="Arial" w:hAnsi="Arial"/>
                <w:sz w:val="14"/>
                <w:szCs w:val="14"/>
                <w:b w:val="1"/>
                <w:bCs w:val="1"/>
                <w:color w:val="auto"/>
                <w:w w:val="93"/>
              </w:rPr>
              <w:t>Class</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w w:val="96"/>
              </w:rPr>
              <w:t>(Dollars in millions)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9,333</w:t>
            </w:r>
          </w:p>
        </w:tc>
        <w:tc>
          <w:tcPr>
            <w:tcW w:w="540" w:type="dxa"/>
            <w:vAlign w:val="bottom"/>
            <w:gridSpan w:val="3"/>
          </w:tcPr>
          <w:p>
            <w:pPr>
              <w:jc w:val="right"/>
              <w:ind w:right="271"/>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3,661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2,629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1,778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17,668</w:t>
            </w:r>
          </w:p>
        </w:tc>
        <w:tc>
          <w:tcPr>
            <w:tcW w:w="146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1"/>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amortizing fixed-</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0" w:type="dxa"/>
            <w:vAlign w:val="bottom"/>
            <w:gridSpan w:val="2"/>
          </w:tcPr>
          <w:p>
            <w:pPr>
              <w:ind w:left="320"/>
              <w:spacing w:after="0"/>
              <w:rPr>
                <w:sz w:val="20"/>
                <w:szCs w:val="20"/>
                <w:color w:val="auto"/>
              </w:rPr>
            </w:pPr>
            <w:r>
              <w:rPr>
                <w:rFonts w:ascii="Arial" w:cs="Arial" w:eastAsia="Arial" w:hAnsi="Arial"/>
                <w:sz w:val="15"/>
                <w:szCs w:val="15"/>
                <w:color w:val="auto"/>
              </w:rPr>
              <w:t>rate</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682</w:t>
            </w:r>
          </w:p>
        </w:tc>
        <w:tc>
          <w:tcPr>
            <w:tcW w:w="146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80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w:t>
            </w:r>
          </w:p>
        </w:tc>
        <w:tc>
          <w:tcPr>
            <w:tcW w:w="146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1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9"/>
                <w:szCs w:val="19"/>
                <w:color w:val="auto"/>
              </w:rPr>
            </w:pPr>
          </w:p>
        </w:tc>
        <w:tc>
          <w:tcPr>
            <w:tcW w:w="40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121</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28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303</w:t>
            </w:r>
          </w:p>
        </w:tc>
        <w:tc>
          <w:tcPr>
            <w:tcW w:w="1460" w:type="dxa"/>
            <w:vAlign w:val="bottom"/>
          </w:tcPr>
          <w:p>
            <w:pPr>
              <w:ind w:left="1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8"/>
        </w:trPr>
        <w:tc>
          <w:tcPr>
            <w:tcW w:w="180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9,919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3,888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1,813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18,725</w:t>
            </w:r>
          </w:p>
        </w:tc>
        <w:tc>
          <w:tcPr>
            <w:tcW w:w="1460" w:type="dxa"/>
            <w:vAlign w:val="bottom"/>
          </w:tcPr>
          <w:p>
            <w:pPr>
              <w:ind w:left="1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46"/>
        </w:trPr>
        <w:tc>
          <w:tcPr>
            <w:tcW w:w="1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1"/>
                <w:szCs w:val="21"/>
                <w:color w:val="auto"/>
              </w:rPr>
            </w:pPr>
          </w:p>
        </w:tc>
        <w:tc>
          <w:tcPr>
            <w:tcW w:w="400" w:type="dxa"/>
            <w:vAlign w:val="bottom"/>
            <w:tcBorders>
              <w:bottom w:val="single" w:sz="8" w:color="2C6937"/>
            </w:tcBorders>
          </w:tcPr>
          <w:p>
            <w:pPr>
              <w:spacing w:after="0"/>
              <w:rPr>
                <w:sz w:val="21"/>
                <w:szCs w:val="21"/>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572</w:t>
            </w:r>
          </w:p>
        </w:tc>
        <w:tc>
          <w:tcPr>
            <w:tcW w:w="20" w:type="dxa"/>
            <w:vAlign w:val="bottom"/>
            <w:tcBorders>
              <w:bottom w:val="single" w:sz="8" w:color="2C6937"/>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6937"/>
            </w:tcBorders>
          </w:tcPr>
          <w:p>
            <w:pPr>
              <w:spacing w:after="0"/>
              <w:rPr>
                <w:sz w:val="21"/>
                <w:szCs w:val="21"/>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0" w:type="dxa"/>
            <w:vAlign w:val="bottom"/>
            <w:tcBorders>
              <w:bottom w:val="single" w:sz="8" w:color="2C6937"/>
            </w:tcBorders>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00" w:type="dxa"/>
            <w:vAlign w:val="bottom"/>
            <w:tcBorders>
              <w:bottom w:val="single" w:sz="8" w:color="2C6937"/>
            </w:tcBorders>
          </w:tcPr>
          <w:p>
            <w:pPr>
              <w:spacing w:after="0"/>
              <w:rPr>
                <w:sz w:val="21"/>
                <w:szCs w:val="21"/>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40" w:type="dxa"/>
            <w:vAlign w:val="bottom"/>
            <w:tcBorders>
              <w:bottom w:val="single" w:sz="8" w:color="2C6937"/>
            </w:tcBorders>
          </w:tcPr>
          <w:p>
            <w:pPr>
              <w:spacing w:after="0"/>
              <w:rPr>
                <w:sz w:val="21"/>
                <w:szCs w:val="21"/>
                <w:color w:val="auto"/>
              </w:rPr>
            </w:pP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570</w:t>
            </w:r>
          </w:p>
        </w:tc>
        <w:tc>
          <w:tcPr>
            <w:tcW w:w="100" w:type="dxa"/>
            <w:vAlign w:val="bottom"/>
          </w:tcPr>
          <w:p>
            <w:pPr>
              <w:spacing w:after="0"/>
              <w:rPr>
                <w:sz w:val="21"/>
                <w:szCs w:val="21"/>
                <w:color w:val="auto"/>
              </w:rPr>
            </w:pPr>
          </w:p>
        </w:tc>
        <w:tc>
          <w:tcPr>
            <w:tcW w:w="280" w:type="dxa"/>
            <w:vAlign w:val="bottom"/>
            <w:tcBorders>
              <w:bottom w:val="single" w:sz="8" w:color="2C6937"/>
            </w:tcBorders>
          </w:tcPr>
          <w:p>
            <w:pPr>
              <w:spacing w:after="0"/>
              <w:rPr>
                <w:sz w:val="21"/>
                <w:szCs w:val="21"/>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1,142</w:t>
            </w:r>
          </w:p>
        </w:tc>
        <w:tc>
          <w:tcPr>
            <w:tcW w:w="146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0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10,491</w:t>
            </w:r>
          </w:p>
        </w:tc>
        <w:tc>
          <w:tcPr>
            <w:tcW w:w="540" w:type="dxa"/>
            <w:vAlign w:val="bottom"/>
            <w:gridSpan w:val="3"/>
          </w:tcPr>
          <w:p>
            <w:pPr>
              <w:jc w:val="right"/>
              <w:ind w:right="271"/>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3,888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2,808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1,813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867</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19,867</w:t>
            </w:r>
          </w:p>
        </w:tc>
        <w:tc>
          <w:tcPr>
            <w:tcW w:w="146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37" w:lineRule="exact"/>
        <w:rPr>
          <w:rFonts w:ascii="Arial" w:cs="Arial" w:eastAsia="Arial" w:hAnsi="Arial"/>
          <w:sz w:val="18"/>
          <w:szCs w:val="18"/>
          <w:color w:val="auto"/>
          <w:vertAlign w:val="superscript"/>
        </w:rPr>
      </w:pPr>
    </w:p>
    <w:p>
      <w:pPr>
        <w:ind w:left="260" w:hanging="257"/>
        <w:spacing w:after="0" w:line="195" w:lineRule="auto"/>
        <w:tabs>
          <w:tab w:leader="none" w:pos="26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5" w:lineRule="exact"/>
        <w:rPr>
          <w:rFonts w:ascii="Arial" w:cs="Arial" w:eastAsia="Arial" w:hAnsi="Arial"/>
          <w:sz w:val="18"/>
          <w:szCs w:val="18"/>
          <w:color w:val="auto"/>
          <w:vertAlign w:val="superscript"/>
        </w:rPr>
      </w:pPr>
    </w:p>
    <w:p>
      <w:pPr>
        <w:ind w:left="240" w:right="240" w:hanging="237"/>
        <w:spacing w:after="0" w:line="299" w:lineRule="auto"/>
        <w:tabs>
          <w:tab w:leader="none" w:pos="216" w:val="left"/>
        </w:tabs>
        <w:numPr>
          <w:ilvl w:val="0"/>
          <w:numId w:val="74"/>
        </w:numPr>
        <w:rPr>
          <w:rFonts w:ascii="Arial" w:cs="Arial" w:eastAsia="Arial" w:hAnsi="Arial"/>
          <w:sz w:val="8"/>
          <w:szCs w:val="8"/>
          <w:color w:val="auto"/>
        </w:rPr>
      </w:pPr>
      <w:r>
        <w:rPr>
          <w:rFonts w:ascii="Arial" w:cs="Arial" w:eastAsia="Arial" w:hAnsi="Arial"/>
          <w:sz w:val="13"/>
          <w:szCs w:val="13"/>
          <w:color w:val="auto"/>
        </w:rPr>
        <w:t>Excludes loans that were the subject of loss mitigation activity during the period that paid off, repurchased or sold prior to period end. Also excludes loans that liquidated either through foreclosure, deed-in-lieu of foreclosure, or a short sale. Loans may move from one category to another, as a result of the restructuring(s) they received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341630</wp:posOffset>
            </wp:positionV>
            <wp:extent cx="68059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77" w:name="page78"/>
    <w:bookmarkEnd w:id="77"/>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Our estimate of future credit losses uses a lifetime methodology, derived from modeled loan performance based on extensive historical experience of loans with similar risk characteristics, adjusted to reflect current conditions and reasonable and supportable forecasts. The historical loss experience used in our single-family and multifamily credit loss models includes the impact of the loss mitigation options provided to borrowers experiencing financial difficulty, and also includes the impact of projected loss severities as a result of a loan default.</w:t>
      </w:r>
    </w:p>
    <w:p>
      <w:pPr>
        <w:spacing w:after="0" w:line="59" w:lineRule="exact"/>
        <w:rPr>
          <w:sz w:val="20"/>
          <w:szCs w:val="20"/>
          <w:color w:val="auto"/>
        </w:rPr>
      </w:pPr>
    </w:p>
    <w:p>
      <w:pPr>
        <w:jc w:val="both"/>
        <w:ind w:right="180"/>
        <w:spacing w:after="0" w:line="272" w:lineRule="auto"/>
        <w:rPr>
          <w:sz w:val="20"/>
          <w:szCs w:val="20"/>
          <w:color w:val="auto"/>
        </w:rPr>
      </w:pPr>
      <w:r>
        <w:rPr>
          <w:rFonts w:ascii="Arial" w:cs="Arial" w:eastAsia="Arial" w:hAnsi="Arial"/>
          <w:sz w:val="16"/>
          <w:szCs w:val="16"/>
          <w:color w:val="auto"/>
        </w:rPr>
        <w:t>The following table summarizes the financial impacts of loan modifications and payment deferrals made to single-family HFI loans presented by class of financing receivable. We discuss the qualitative impacts of forbearance plans, repayment plans, and trial modifications earlier in this footnote. As a result, those loss mitigation options are excluded from the table below.</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12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2680" w:type="dxa"/>
            <w:vAlign w:val="bottom"/>
            <w:tcBorders>
              <w:bottom w:val="single" w:sz="8" w:color="2C6937"/>
            </w:tcBorders>
            <w:gridSpan w:val="4"/>
          </w:tcPr>
          <w:p>
            <w:pPr>
              <w:ind w:left="40"/>
              <w:spacing w:after="0"/>
              <w:rPr>
                <w:sz w:val="20"/>
                <w:szCs w:val="20"/>
                <w:color w:val="auto"/>
              </w:rPr>
            </w:pPr>
            <w:r>
              <w:rPr>
                <w:rFonts w:ascii="Arial" w:cs="Arial" w:eastAsia="Arial" w:hAnsi="Arial"/>
                <w:sz w:val="14"/>
                <w:szCs w:val="14"/>
                <w:b w:val="1"/>
                <w:bCs w:val="1"/>
                <w:color w:val="auto"/>
              </w:rPr>
              <w:t>For the Three Months Ended March 31,</w:t>
            </w:r>
          </w:p>
        </w:tc>
        <w:tc>
          <w:tcPr>
            <w:tcW w:w="1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ind w:right="24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Weighted-</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Average Amount</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20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7"/>
              </w:rPr>
              <w:t>Weighted-</w:t>
            </w:r>
          </w:p>
        </w:tc>
        <w:tc>
          <w:tcPr>
            <w:tcW w:w="140" w:type="dxa"/>
            <w:vAlign w:val="bottom"/>
          </w:tcPr>
          <w:p>
            <w:pPr>
              <w:spacing w:after="0"/>
              <w:rPr>
                <w:sz w:val="12"/>
                <w:szCs w:val="12"/>
                <w:color w:val="auto"/>
              </w:rPr>
            </w:pPr>
          </w:p>
        </w:tc>
        <w:tc>
          <w:tcPr>
            <w:tcW w:w="1280" w:type="dxa"/>
            <w:vAlign w:val="bottom"/>
            <w:vMerge w:val="restart"/>
          </w:tcPr>
          <w:p>
            <w:pPr>
              <w:jc w:val="center"/>
              <w:ind w:right="67"/>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2"/>
                <w:szCs w:val="12"/>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Average</w:t>
            </w: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13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Average</w:t>
            </w:r>
          </w:p>
        </w:tc>
        <w:tc>
          <w:tcPr>
            <w:tcW w:w="12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280" w:type="dxa"/>
            <w:vAlign w:val="bottom"/>
          </w:tcPr>
          <w:p>
            <w:pPr>
              <w:jc w:val="center"/>
              <w:ind w:right="67"/>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3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Interest Rate</w:t>
            </w:r>
          </w:p>
        </w:tc>
        <w:tc>
          <w:tcPr>
            <w:tcW w:w="12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Extension (in</w:t>
            </w:r>
          </w:p>
        </w:tc>
        <w:tc>
          <w:tcPr>
            <w:tcW w:w="140" w:type="dxa"/>
            <w:vAlign w:val="bottom"/>
          </w:tcPr>
          <w:p>
            <w:pPr>
              <w:spacing w:after="0"/>
              <w:rPr>
                <w:sz w:val="11"/>
                <w:szCs w:val="11"/>
                <w:color w:val="auto"/>
              </w:rPr>
            </w:pPr>
          </w:p>
        </w:tc>
        <w:tc>
          <w:tcPr>
            <w:tcW w:w="13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a Result of a</w:t>
            </w:r>
          </w:p>
        </w:tc>
        <w:tc>
          <w:tcPr>
            <w:tcW w:w="13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9"/>
              </w:rPr>
              <w:t>Interest Rate</w:t>
            </w:r>
          </w:p>
        </w:tc>
        <w:tc>
          <w:tcPr>
            <w:tcW w:w="12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Extension</w:t>
            </w:r>
          </w:p>
        </w:tc>
        <w:tc>
          <w:tcPr>
            <w:tcW w:w="140" w:type="dxa"/>
            <w:vAlign w:val="bottom"/>
          </w:tcPr>
          <w:p>
            <w:pPr>
              <w:spacing w:after="0"/>
              <w:rPr>
                <w:sz w:val="11"/>
                <w:szCs w:val="11"/>
                <w:color w:val="auto"/>
              </w:rPr>
            </w:pPr>
          </w:p>
        </w:tc>
        <w:tc>
          <w:tcPr>
            <w:tcW w:w="128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Months)</w:t>
            </w:r>
          </w:p>
        </w:tc>
        <w:tc>
          <w:tcPr>
            <w:tcW w:w="1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Payment Delay</w:t>
            </w:r>
            <w:r>
              <w:rPr>
                <w:rFonts w:ascii="Arial" w:cs="Arial" w:eastAsia="Arial" w:hAnsi="Arial"/>
                <w:sz w:val="8"/>
                <w:szCs w:val="8"/>
                <w:b w:val="1"/>
                <w:bCs w:val="1"/>
                <w:color w:val="auto"/>
              </w:rPr>
              <w:t>(1)</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(in Months)</w:t>
            </w:r>
          </w:p>
        </w:tc>
        <w:tc>
          <w:tcPr>
            <w:tcW w:w="140" w:type="dxa"/>
            <w:vAlign w:val="bottom"/>
          </w:tcPr>
          <w:p>
            <w:pPr>
              <w:spacing w:after="0"/>
              <w:rPr>
                <w:sz w:val="15"/>
                <w:szCs w:val="15"/>
                <w:color w:val="auto"/>
              </w:rPr>
            </w:pPr>
          </w:p>
        </w:tc>
        <w:tc>
          <w:tcPr>
            <w:tcW w:w="1280" w:type="dxa"/>
            <w:vAlign w:val="bottom"/>
          </w:tcPr>
          <w:p>
            <w:pPr>
              <w:jc w:val="center"/>
              <w:ind w:right="67"/>
              <w:spacing w:after="0"/>
              <w:rPr>
                <w:sz w:val="20"/>
                <w:szCs w:val="20"/>
                <w:color w:val="auto"/>
              </w:rPr>
            </w:pPr>
            <w:r>
              <w:rPr>
                <w:rFonts w:ascii="Arial" w:cs="Arial" w:eastAsia="Arial" w:hAnsi="Arial"/>
                <w:sz w:val="14"/>
                <w:szCs w:val="14"/>
                <w:b w:val="1"/>
                <w:bCs w:val="1"/>
                <w:color w:val="auto"/>
              </w:rPr>
              <w:t>Payment Delay</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0"/>
                <w:szCs w:val="20"/>
                <w:color w:val="auto"/>
              </w:rPr>
            </w:pPr>
            <w:r>
              <w:rPr>
                <w:rFonts w:ascii="Arial" w:cs="Arial" w:eastAsia="Arial" w:hAnsi="Arial"/>
                <w:sz w:val="13"/>
                <w:szCs w:val="13"/>
                <w:color w:val="auto"/>
              </w:rPr>
              <w:t>Loan by class of financing receivable</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124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2C6937"/>
            </w:tcBorders>
          </w:tcPr>
          <w:p>
            <w:pPr>
              <w:spacing w:after="0"/>
              <w:rPr>
                <w:sz w:val="22"/>
                <w:szCs w:val="22"/>
                <w:color w:val="auto"/>
              </w:rPr>
            </w:pPr>
          </w:p>
        </w:tc>
        <w:tc>
          <w:tcPr>
            <w:tcW w:w="128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2C6937"/>
            </w:tcBorders>
          </w:tcPr>
          <w:p>
            <w:pPr>
              <w:spacing w:after="0"/>
              <w:rPr>
                <w:sz w:val="22"/>
                <w:szCs w:val="22"/>
                <w:color w:val="auto"/>
              </w:rPr>
            </w:pPr>
          </w:p>
        </w:tc>
        <w:tc>
          <w:tcPr>
            <w:tcW w:w="1280" w:type="dxa"/>
            <w:vAlign w:val="bottom"/>
            <w:tcBorders>
              <w:top w:val="single" w:sz="8" w:color="2C6937"/>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60"/>
              <w:spacing w:after="0"/>
              <w:rPr>
                <w:sz w:val="20"/>
                <w:szCs w:val="20"/>
                <w:color w:val="auto"/>
              </w:rPr>
            </w:pPr>
            <w:r>
              <w:rPr>
                <w:rFonts w:ascii="Arial" w:cs="Arial" w:eastAsia="Arial" w:hAnsi="Arial"/>
                <w:sz w:val="13"/>
                <w:szCs w:val="13"/>
                <w:color w:val="auto"/>
              </w:rPr>
              <w:t>20- and 30-year or more, amortizing fixed-rate</w:t>
            </w:r>
          </w:p>
        </w:tc>
        <w:tc>
          <w:tcPr>
            <w:tcW w:w="1240" w:type="dxa"/>
            <w:vAlign w:val="bottom"/>
          </w:tcPr>
          <w:p>
            <w:pPr>
              <w:ind w:left="740"/>
              <w:spacing w:after="0"/>
              <w:rPr>
                <w:sz w:val="20"/>
                <w:szCs w:val="20"/>
                <w:color w:val="auto"/>
              </w:rPr>
            </w:pPr>
            <w:r>
              <w:rPr>
                <w:rFonts w:ascii="Arial" w:cs="Arial" w:eastAsia="Arial" w:hAnsi="Arial"/>
                <w:sz w:val="15"/>
                <w:szCs w:val="15"/>
                <w:color w:val="auto"/>
              </w:rPr>
              <w:t>1.04 %</w:t>
            </w:r>
          </w:p>
        </w:tc>
        <w:tc>
          <w:tcPr>
            <w:tcW w:w="8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163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13,886</w:t>
            </w:r>
          </w:p>
        </w:tc>
        <w:tc>
          <w:tcPr>
            <w:tcW w:w="80" w:type="dxa"/>
            <w:vAlign w:val="bottom"/>
          </w:tcPr>
          <w:p>
            <w:pPr>
              <w:spacing w:after="0"/>
              <w:rPr>
                <w:sz w:val="17"/>
                <w:szCs w:val="17"/>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1.08 %</w:t>
            </w:r>
          </w:p>
        </w:tc>
        <w:tc>
          <w:tcPr>
            <w:tcW w:w="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16,984</w:t>
            </w:r>
          </w:p>
        </w:tc>
        <w:tc>
          <w:tcPr>
            <w:tcW w:w="0" w:type="dxa"/>
            <w:vAlign w:val="bottom"/>
          </w:tcPr>
          <w:p>
            <w:pPr>
              <w:spacing w:after="0"/>
              <w:rPr>
                <w:sz w:val="1"/>
                <w:szCs w:val="1"/>
                <w:color w:val="auto"/>
              </w:rPr>
            </w:pPr>
          </w:p>
        </w:tc>
      </w:tr>
      <w:tr>
        <w:trPr>
          <w:trHeight w:val="206"/>
        </w:trPr>
        <w:tc>
          <w:tcPr>
            <w:tcW w:w="3040" w:type="dxa"/>
            <w:vAlign w:val="bottom"/>
          </w:tcPr>
          <w:p>
            <w:pPr>
              <w:ind w:left="160"/>
              <w:spacing w:after="0"/>
              <w:rPr>
                <w:sz w:val="20"/>
                <w:szCs w:val="20"/>
                <w:color w:val="auto"/>
              </w:rPr>
            </w:pPr>
            <w:r>
              <w:rPr>
                <w:rFonts w:ascii="Arial" w:cs="Arial" w:eastAsia="Arial" w:hAnsi="Arial"/>
                <w:sz w:val="13"/>
                <w:szCs w:val="13"/>
                <w:color w:val="auto"/>
              </w:rPr>
              <w:t>15-year or less, amortizing fixed-rate</w:t>
            </w:r>
          </w:p>
        </w:tc>
        <w:tc>
          <w:tcPr>
            <w:tcW w:w="1240" w:type="dxa"/>
            <w:vAlign w:val="bottom"/>
          </w:tcPr>
          <w:p>
            <w:pPr>
              <w:ind w:left="740"/>
              <w:spacing w:after="0"/>
              <w:rPr>
                <w:sz w:val="20"/>
                <w:szCs w:val="20"/>
                <w:color w:val="auto"/>
              </w:rPr>
            </w:pPr>
            <w:r>
              <w:rPr>
                <w:rFonts w:ascii="Arial" w:cs="Arial" w:eastAsia="Arial" w:hAnsi="Arial"/>
                <w:sz w:val="15"/>
                <w:szCs w:val="15"/>
                <w:color w:val="auto"/>
              </w:rPr>
              <w:t>1.54</w:t>
            </w:r>
          </w:p>
        </w:tc>
        <w:tc>
          <w:tcPr>
            <w:tcW w:w="80" w:type="dxa"/>
            <w:vAlign w:val="bottom"/>
          </w:tcPr>
          <w:p>
            <w:pPr>
              <w:spacing w:after="0"/>
              <w:rPr>
                <w:sz w:val="17"/>
                <w:szCs w:val="17"/>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13,893</w:t>
            </w:r>
          </w:p>
        </w:tc>
        <w:tc>
          <w:tcPr>
            <w:tcW w:w="80" w:type="dxa"/>
            <w:vAlign w:val="bottom"/>
          </w:tcPr>
          <w:p>
            <w:pPr>
              <w:spacing w:after="0"/>
              <w:rPr>
                <w:sz w:val="17"/>
                <w:szCs w:val="17"/>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0.74</w:t>
            </w:r>
          </w:p>
        </w:tc>
        <w:tc>
          <w:tcPr>
            <w:tcW w:w="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14,558</w:t>
            </w: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Adjustable-rate</w:t>
            </w:r>
          </w:p>
        </w:tc>
        <w:tc>
          <w:tcPr>
            <w:tcW w:w="1240" w:type="dxa"/>
            <w:vAlign w:val="bottom"/>
          </w:tcPr>
          <w:p>
            <w:pPr>
              <w:ind w:left="740"/>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13,238</w:t>
            </w:r>
          </w:p>
        </w:tc>
        <w:tc>
          <w:tcPr>
            <w:tcW w:w="8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15,629</w:t>
            </w:r>
          </w:p>
        </w:tc>
        <w:tc>
          <w:tcPr>
            <w:tcW w:w="0" w:type="dxa"/>
            <w:vAlign w:val="bottom"/>
          </w:tcPr>
          <w:p>
            <w:pPr>
              <w:spacing w:after="0"/>
              <w:rPr>
                <w:sz w:val="1"/>
                <w:szCs w:val="1"/>
                <w:color w:val="auto"/>
              </w:rPr>
            </w:pPr>
          </w:p>
        </w:tc>
      </w:tr>
      <w:tr>
        <w:trPr>
          <w:trHeight w:val="284"/>
        </w:trPr>
        <w:tc>
          <w:tcPr>
            <w:tcW w:w="3040" w:type="dxa"/>
            <w:vAlign w:val="bottom"/>
          </w:tcPr>
          <w:p>
            <w:pPr>
              <w:ind w:left="160"/>
              <w:spacing w:after="0"/>
              <w:rPr>
                <w:sz w:val="20"/>
                <w:szCs w:val="20"/>
                <w:color w:val="auto"/>
              </w:rPr>
            </w:pPr>
            <w:r>
              <w:rPr>
                <w:rFonts w:ascii="Arial" w:cs="Arial" w:eastAsia="Arial" w:hAnsi="Arial"/>
                <w:sz w:val="13"/>
                <w:szCs w:val="13"/>
                <w:color w:val="auto"/>
              </w:rPr>
              <w:t>Other</w:t>
            </w:r>
          </w:p>
        </w:tc>
        <w:tc>
          <w:tcPr>
            <w:tcW w:w="1240" w:type="dxa"/>
            <w:vAlign w:val="bottom"/>
          </w:tcPr>
          <w:p>
            <w:pPr>
              <w:ind w:left="740"/>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17,515</w:t>
            </w:r>
          </w:p>
        </w:tc>
        <w:tc>
          <w:tcPr>
            <w:tcW w:w="80" w:type="dxa"/>
            <w:vAlign w:val="bottom"/>
          </w:tcPr>
          <w:p>
            <w:pPr>
              <w:spacing w:after="0"/>
              <w:rPr>
                <w:sz w:val="24"/>
                <w:szCs w:val="24"/>
                <w:color w:val="auto"/>
              </w:rPr>
            </w:pPr>
          </w:p>
        </w:tc>
        <w:tc>
          <w:tcPr>
            <w:tcW w:w="1240" w:type="dxa"/>
            <w:vAlign w:val="bottom"/>
          </w:tcPr>
          <w:p>
            <w:pPr>
              <w:ind w:left="740"/>
              <w:spacing w:after="0"/>
              <w:rPr>
                <w:sz w:val="20"/>
                <w:szCs w:val="20"/>
                <w:color w:val="auto"/>
              </w:rPr>
            </w:pPr>
            <w:r>
              <w:rPr>
                <w:rFonts w:ascii="Arial" w:cs="Arial" w:eastAsia="Arial" w:hAnsi="Arial"/>
                <w:sz w:val="15"/>
                <w:szCs w:val="15"/>
                <w:color w:val="auto"/>
              </w:rPr>
              <w:t>1.54</w:t>
            </w:r>
          </w:p>
        </w:tc>
        <w:tc>
          <w:tcPr>
            <w:tcW w:w="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5"/>
                <w:szCs w:val="15"/>
                <w:color w:val="auto"/>
              </w:rPr>
              <w:t>185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20,269</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period-end.</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200" w:type="dxa"/>
            <w:vAlign w:val="bottom"/>
            <w:tcBorders>
              <w:bottom w:val="single" w:sz="8" w:color="2C6937"/>
            </w:tcBorders>
            <w:gridSpan w:val="5"/>
          </w:tcPr>
          <w:p>
            <w:pPr>
              <w:ind w:left="60"/>
              <w:spacing w:after="0"/>
              <w:rPr>
                <w:sz w:val="20"/>
                <w:szCs w:val="20"/>
                <w:color w:val="auto"/>
              </w:rPr>
            </w:pPr>
            <w:r>
              <w:rPr>
                <w:rFonts w:ascii="Arial" w:cs="Arial" w:eastAsia="Arial" w:hAnsi="Arial"/>
                <w:sz w:val="14"/>
                <w:szCs w:val="14"/>
                <w:b w:val="1"/>
                <w:bCs w:val="1"/>
                <w:color w:val="auto"/>
              </w:rPr>
              <w:t>For the Three Months Ended March 31, 2024</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right"/>
              <w:ind w:right="186"/>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tcPr>
          <w:p>
            <w:pPr>
              <w:jc w:val="center"/>
              <w:ind w:right="26"/>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871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1,376</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3"/>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24"/>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1,434</w:t>
            </w:r>
          </w:p>
        </w:tc>
        <w:tc>
          <w:tcPr>
            <w:tcW w:w="0" w:type="dxa"/>
            <w:vAlign w:val="bottom"/>
          </w:tcPr>
          <w:p>
            <w:pPr>
              <w:spacing w:after="0"/>
              <w:rPr>
                <w:sz w:val="1"/>
                <w:szCs w:val="1"/>
                <w:color w:val="auto"/>
              </w:rPr>
            </w:pPr>
          </w:p>
        </w:tc>
      </w:tr>
      <w:tr>
        <w:trPr>
          <w:trHeight w:val="233"/>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6"/>
        </w:trPr>
        <w:tc>
          <w:tcPr>
            <w:tcW w:w="466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6"/>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1,439</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777875</wp:posOffset>
            </wp:positionV>
            <wp:extent cx="68059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78" w:name="page79"/>
    <w:bookmarkEnd w:id="7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200" w:type="dxa"/>
            <w:vAlign w:val="bottom"/>
            <w:tcBorders>
              <w:bottom w:val="single" w:sz="8" w:color="2C6937"/>
            </w:tcBorders>
            <w:gridSpan w:val="5"/>
          </w:tcPr>
          <w:p>
            <w:pPr>
              <w:jc w:val="center"/>
              <w:ind w:right="200"/>
              <w:spacing w:after="0"/>
              <w:rPr>
                <w:sz w:val="20"/>
                <w:szCs w:val="20"/>
                <w:color w:val="auto"/>
              </w:rPr>
            </w:pPr>
            <w:r>
              <w:rPr>
                <w:rFonts w:ascii="Arial" w:cs="Arial" w:eastAsia="Arial" w:hAnsi="Arial"/>
                <w:sz w:val="14"/>
                <w:szCs w:val="14"/>
                <w:b w:val="1"/>
                <w:bCs w:val="1"/>
                <w:color w:val="auto"/>
                <w:w w:val="98"/>
              </w:rPr>
              <w:t>For the Three Months Ended March 31, 2023</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00" w:type="dxa"/>
            <w:vAlign w:val="bottom"/>
          </w:tcPr>
          <w:p>
            <w:pPr>
              <w:spacing w:after="0"/>
              <w:rPr>
                <w:sz w:val="12"/>
                <w:szCs w:val="12"/>
                <w:color w:val="auto"/>
              </w:rPr>
            </w:pPr>
          </w:p>
        </w:tc>
        <w:tc>
          <w:tcPr>
            <w:tcW w:w="15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8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Deferral (Only)</w:t>
            </w:r>
          </w:p>
        </w:tc>
        <w:tc>
          <w:tcPr>
            <w:tcW w:w="14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Borders>
              <w:bottom w:val="single" w:sz="8" w:color="2C6937"/>
            </w:tcBorders>
          </w:tcPr>
          <w:p>
            <w:pPr>
              <w:spacing w:after="0"/>
              <w:rPr>
                <w:sz w:val="15"/>
                <w:szCs w:val="15"/>
                <w:color w:val="auto"/>
              </w:rPr>
            </w:pPr>
          </w:p>
        </w:tc>
        <w:tc>
          <w:tcPr>
            <w:tcW w:w="1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Rate Reduction</w:t>
            </w: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766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284</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2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5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810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299</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37" w:lineRule="exact"/>
        <w:rPr>
          <w:rFonts w:ascii="Arial" w:cs="Arial" w:eastAsia="Arial" w:hAnsi="Arial"/>
          <w:sz w:val="18"/>
          <w:szCs w:val="18"/>
          <w:color w:val="auto"/>
          <w:vertAlign w:val="superscript"/>
        </w:rPr>
      </w:pPr>
    </w:p>
    <w:p>
      <w:pPr>
        <w:ind w:left="240" w:right="80" w:hanging="237"/>
        <w:spacing w:after="0" w:line="222" w:lineRule="auto"/>
        <w:tabs>
          <w:tab w:leader="none" w:pos="216"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for the three months ended March 31, 2024 did not default during the first quarter of 2024. The substantial majority of loans that received a completed modification or a payment deferral during the three months ended March 31, 2023 did not default during the first quarter of 2023.</w:t>
      </w:r>
    </w:p>
    <w:p>
      <w:pPr>
        <w:spacing w:after="0" w:line="5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March 31, 2024 and March 31, 2023, respectively, presented by portfolio segment and class of financing receivable.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8"/>
              </w:rPr>
              <w:t>As of March 31, 2024</w:t>
            </w:r>
            <w:r>
              <w:rPr>
                <w:rFonts w:ascii="Arial" w:cs="Arial" w:eastAsia="Arial" w:hAnsi="Arial"/>
                <w:sz w:val="8"/>
                <w:szCs w:val="8"/>
                <w:b w:val="1"/>
                <w:bCs w:val="1"/>
                <w:color w:val="auto"/>
                <w:w w:val="98"/>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3"/>
                <w:szCs w:val="13"/>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3,283</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2,080</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11,125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16,488</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12,856</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29,344</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943</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143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11,679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13,525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30,830</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343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356</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957</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3,457</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2,182</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12,022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17,661</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14,482</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32,143</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9" w:name="page80"/>
    <w:bookmarkEnd w:id="7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As of March 31, 2023</w:t>
            </w:r>
            <w:r>
              <w:rPr>
                <w:rFonts w:ascii="Arial" w:cs="Arial" w:eastAsia="Arial" w:hAnsi="Arial"/>
                <w:sz w:val="17"/>
                <w:szCs w:val="17"/>
                <w:b w:val="1"/>
                <w:bCs w:val="1"/>
                <w:color w:val="auto"/>
                <w:w w:val="95"/>
                <w:vertAlign w:val="superscript"/>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3,061</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2,180</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12,376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17,617</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22,071</w:t>
            </w:r>
          </w:p>
        </w:tc>
        <w:tc>
          <w:tcPr>
            <w:tcW w:w="10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39,688</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1,410</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417</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949</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18,782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42,207</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638</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638</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594</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1,232</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3,259</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2,317</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13,844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19,420</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24,019</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43,439</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580" w:hanging="237"/>
        <w:spacing w:after="0" w:line="226" w:lineRule="auto"/>
        <w:tabs>
          <w:tab w:leader="none" w:pos="216"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first quarter of 2024 were not delinquent as of March 31, 2024. The substantial majority of loans that received a completed modification or a payment deferral during the first quarter of 2023 were not delinquent as of March 31, 2023.</w:t>
      </w:r>
    </w:p>
    <w:p>
      <w:pPr>
        <w:spacing w:after="0" w:line="14" w:lineRule="exact"/>
        <w:rPr>
          <w:rFonts w:ascii="Arial" w:cs="Arial" w:eastAsia="Arial" w:hAnsi="Arial"/>
          <w:sz w:val="18"/>
          <w:szCs w:val="18"/>
          <w:color w:val="auto"/>
          <w:vertAlign w:val="superscript"/>
        </w:rPr>
      </w:pPr>
    </w:p>
    <w:p>
      <w:pPr>
        <w:ind w:left="240" w:hanging="237"/>
        <w:spacing w:after="0"/>
        <w:tabs>
          <w:tab w:leader="none" w:pos="240" w:val="left"/>
        </w:tabs>
        <w:numPr>
          <w:ilvl w:val="0"/>
          <w:numId w:val="77"/>
        </w:numPr>
        <w:rPr>
          <w:rFonts w:ascii="Arial" w:cs="Arial" w:eastAsia="Arial" w:hAnsi="Arial"/>
          <w:sz w:val="9"/>
          <w:szCs w:val="9"/>
          <w:color w:val="auto"/>
        </w:rPr>
      </w:pPr>
      <w:r>
        <w:rPr>
          <w:rFonts w:ascii="Arial" w:cs="Arial" w:eastAsia="Arial" w:hAnsi="Arial"/>
          <w:sz w:val="14"/>
          <w:szCs w:val="14"/>
          <w:color w:val="auto"/>
        </w:rPr>
        <w:t>Multifamily loans 60-89 days delinquent are included in the seriously delinquent column.</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9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This generally occurs when a single-family loan is three or more months past due and a multifamily loan is two or more months past due according to its contractual terms. A loan is reported as past due if a full payment of principal and interest is not received within one month of its due date. When a loan is placed on nonaccrual status based on delinquency status, interest previously accrued but not collected on the loan is reversed through interest income.</w:t>
      </w:r>
    </w:p>
    <w:p>
      <w:pPr>
        <w:spacing w:after="0" w:line="33"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Cost basis adjustments on HFI loans are amortized into interest income over the contractual life of the loan using the effective interest method. Cost basis adjustments on the loan are not amortized into income while a loan is on nonaccrual status. We have elected not to measure an allowance for credit losses on accrued interest receivable balances as we have a nonaccrual policy to ensure the timely reversal of unpaid accrued interest.</w:t>
      </w:r>
    </w:p>
    <w:p>
      <w:pPr>
        <w:spacing w:after="0" w:line="2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For single-family loans, we recognize any contractual interest payments received on the loan while on nonaccrual status as interest income on a cash basis. For multifamily loans, we account for interest income on a cost recovery basis and we apply any payment received while on nonaccrual status to reduce the amortized cost of the loan. Thus, we do not recognize any interest income on a multifamily loan placed on nonaccrual status until the amortized cost of the loan has been reduced to zero.</w:t>
      </w:r>
    </w:p>
    <w:p>
      <w:pPr>
        <w:spacing w:after="0" w:line="3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A nonaccrual loan is returned to accrual status when the full collection of principal and interest is reasonably assured. We generally determine that the full collection of principal and interest is reasonably assured when the loan returns to current payment status. If a loan is restructured for a borrower experiencing financial difficulty, we require a performance period of up to 6 months before we return the loan to accrual status. Upon a loan’s return to accrual status, we resume the recognition of interest income on an accrual basis and the amortization of cost basis adjustments, if any, into interest income. If interest is capitalized pursuant to a restructuring, any capitalized interest that had not been previously recognized as interest income or that had been reversed through interest income when the loan was placed on nonaccrual status is recorded as a discount to the loan and amortized into interest income over the remaining contractual life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for nonaccrual loans.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380" w:type="dxa"/>
            <w:vAlign w:val="bottom"/>
          </w:tcPr>
          <w:p>
            <w:pPr>
              <w:spacing w:after="0"/>
              <w:rPr>
                <w:sz w:val="18"/>
                <w:szCs w:val="18"/>
                <w:color w:val="auto"/>
              </w:rPr>
            </w:pPr>
          </w:p>
        </w:tc>
        <w:tc>
          <w:tcPr>
            <w:tcW w:w="3480" w:type="dxa"/>
            <w:vAlign w:val="bottom"/>
            <w:tcBorders>
              <w:bottom w:val="single" w:sz="8" w:color="2C6937"/>
            </w:tcBorders>
            <w:gridSpan w:val="4"/>
          </w:tcPr>
          <w:p>
            <w:pPr>
              <w:jc w:val="right"/>
              <w:ind w:right="63"/>
              <w:spacing w:after="0"/>
              <w:rPr>
                <w:sz w:val="20"/>
                <w:szCs w:val="20"/>
                <w:color w:val="auto"/>
              </w:rPr>
            </w:pPr>
            <w:r>
              <w:rPr>
                <w:rFonts w:ascii="Arial" w:cs="Arial" w:eastAsia="Arial" w:hAnsi="Arial"/>
                <w:sz w:val="15"/>
                <w:szCs w:val="15"/>
                <w:b w:val="1"/>
                <w:bCs w:val="1"/>
                <w:color w:val="auto"/>
              </w:rPr>
              <w:t>For the Three Months Ended March 31,</w:t>
            </w:r>
          </w:p>
        </w:tc>
        <w:tc>
          <w:tcPr>
            <w:tcW w:w="360" w:type="dxa"/>
            <w:vAlign w:val="bottom"/>
            <w:tcBorders>
              <w:bottom w:val="single" w:sz="8" w:color="2C6937"/>
            </w:tcBorders>
          </w:tcPr>
          <w:p>
            <w:pPr>
              <w:spacing w:after="0"/>
              <w:rPr>
                <w:sz w:val="18"/>
                <w:szCs w:val="18"/>
                <w:color w:val="auto"/>
              </w:rPr>
            </w:pPr>
          </w:p>
        </w:tc>
      </w:tr>
      <w:tr>
        <w:trPr>
          <w:trHeight w:val="199"/>
        </w:trPr>
        <w:tc>
          <w:tcPr>
            <w:tcW w:w="7380" w:type="dxa"/>
            <w:vAlign w:val="bottom"/>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72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360" w:type="dxa"/>
            <w:vAlign w:val="bottom"/>
            <w:tcBorders>
              <w:bottom w:val="single" w:sz="8" w:color="2C6937"/>
            </w:tcBorders>
          </w:tcPr>
          <w:p>
            <w:pPr>
              <w:spacing w:after="0"/>
              <w:rPr>
                <w:sz w:val="17"/>
                <w:szCs w:val="17"/>
                <w:color w:val="auto"/>
              </w:rPr>
            </w:pPr>
          </w:p>
        </w:tc>
      </w:tr>
      <w:tr>
        <w:trPr>
          <w:trHeight w:val="185"/>
        </w:trPr>
        <w:tc>
          <w:tcPr>
            <w:tcW w:w="7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20" w:type="dxa"/>
            <w:vAlign w:val="bottom"/>
            <w:gridSpan w:val="3"/>
          </w:tcPr>
          <w:p>
            <w:pPr>
              <w:jc w:val="right"/>
              <w:ind w:right="903"/>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r>
      <w:tr>
        <w:trPr>
          <w:trHeight w:val="232"/>
        </w:trPr>
        <w:tc>
          <w:tcPr>
            <w:tcW w:w="7380" w:type="dxa"/>
            <w:vAlign w:val="bottom"/>
          </w:tcPr>
          <w:p>
            <w:pPr>
              <w:spacing w:after="0"/>
              <w:rPr>
                <w:sz w:val="20"/>
                <w:szCs w:val="20"/>
                <w:color w:val="auto"/>
              </w:rPr>
            </w:pPr>
            <w:r>
              <w:rPr>
                <w:rFonts w:ascii="Arial" w:cs="Arial" w:eastAsia="Arial" w:hAnsi="Arial"/>
                <w:sz w:val="15"/>
                <w:szCs w:val="15"/>
                <w:color w:val="auto"/>
              </w:rPr>
              <w:t>Accrued interest receivable written off through the reversal of interest income:</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3"/>
        </w:trPr>
        <w:tc>
          <w:tcPr>
            <w:tcW w:w="738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160" w:type="dxa"/>
            <w:vAlign w:val="bottom"/>
          </w:tcPr>
          <w:p>
            <w:pPr>
              <w:jc w:val="right"/>
              <w:ind w:right="98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82</w:t>
            </w:r>
          </w:p>
        </w:tc>
        <w:tc>
          <w:tcPr>
            <w:tcW w:w="80" w:type="dxa"/>
            <w:vAlign w:val="bottom"/>
          </w:tcPr>
          <w:p>
            <w:pPr>
              <w:spacing w:after="0"/>
              <w:rPr>
                <w:sz w:val="21"/>
                <w:szCs w:val="21"/>
                <w:color w:val="auto"/>
              </w:rPr>
            </w:pPr>
          </w:p>
        </w:tc>
        <w:tc>
          <w:tcPr>
            <w:tcW w:w="1520" w:type="dxa"/>
            <w:vAlign w:val="bottom"/>
          </w:tcPr>
          <w:p>
            <w:pPr>
              <w:jc w:val="right"/>
              <w:ind w:right="1343"/>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32"/>
        </w:trPr>
        <w:tc>
          <w:tcPr>
            <w:tcW w:w="738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160" w:type="dxa"/>
            <w:vAlign w:val="bottom"/>
          </w:tcPr>
          <w:p>
            <w:pPr>
              <w:spacing w:after="0"/>
              <w:rPr>
                <w:sz w:val="20"/>
                <w:szCs w:val="20"/>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3</w:t>
            </w: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w:t>
            </w:r>
          </w:p>
        </w:tc>
      </w:tr>
    </w:tbl>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820" w:type="dxa"/>
            <w:vAlign w:val="bottom"/>
            <w:tcBorders>
              <w:bottom w:val="single" w:sz="8" w:color="2C6937"/>
            </w:tcBorders>
            <w:gridSpan w:val="3"/>
          </w:tcPr>
          <w:p>
            <w:pPr>
              <w:jc w:val="center"/>
              <w:ind w:left="1265"/>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7"/>
              </w:rPr>
              <w:t>For the Three Months</w:t>
            </w:r>
          </w:p>
        </w:tc>
        <w:tc>
          <w:tcPr>
            <w:tcW w:w="0" w:type="dxa"/>
            <w:vAlign w:val="bottom"/>
          </w:tcPr>
          <w:p>
            <w:pPr>
              <w:spacing w:after="0"/>
              <w:rPr>
                <w:sz w:val="1"/>
                <w:szCs w:val="1"/>
                <w:color w:val="auto"/>
              </w:rPr>
            </w:pPr>
          </w:p>
        </w:tc>
      </w:tr>
      <w:tr>
        <w:trPr>
          <w:trHeight w:val="55"/>
        </w:trPr>
        <w:tc>
          <w:tcPr>
            <w:tcW w:w="5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2024</w:t>
            </w:r>
          </w:p>
        </w:tc>
        <w:tc>
          <w:tcPr>
            <w:tcW w:w="200" w:type="dxa"/>
            <w:vAlign w:val="bottom"/>
          </w:tcPr>
          <w:p>
            <w:pPr>
              <w:spacing w:after="0"/>
              <w:rPr>
                <w:sz w:val="4"/>
                <w:szCs w:val="4"/>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66"/>
              <w:spacing w:after="0"/>
              <w:rPr>
                <w:sz w:val="20"/>
                <w:szCs w:val="20"/>
                <w:color w:val="auto"/>
              </w:rPr>
            </w:pPr>
            <w:r>
              <w:rPr>
                <w:rFonts w:ascii="Arial" w:cs="Arial" w:eastAsia="Arial" w:hAnsi="Arial"/>
                <w:sz w:val="14"/>
                <w:szCs w:val="14"/>
                <w:b w:val="1"/>
                <w:bCs w:val="1"/>
                <w:color w:val="auto"/>
                <w:w w:val="98"/>
              </w:rPr>
              <w:t>Ended March 31, 2024</w:t>
            </w:r>
          </w:p>
        </w:tc>
        <w:tc>
          <w:tcPr>
            <w:tcW w:w="0" w:type="dxa"/>
            <w:vAlign w:val="bottom"/>
          </w:tcPr>
          <w:p>
            <w:pPr>
              <w:spacing w:after="0"/>
              <w:rPr>
                <w:sz w:val="1"/>
                <w:szCs w:val="1"/>
                <w:color w:val="auto"/>
              </w:rPr>
            </w:pPr>
          </w:p>
        </w:tc>
      </w:tr>
      <w:tr>
        <w:trPr>
          <w:trHeight w:val="252"/>
        </w:trPr>
        <w:tc>
          <w:tcPr>
            <w:tcW w:w="5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2C6937"/>
            </w:tcBorders>
          </w:tcPr>
          <w:p>
            <w:pPr>
              <w:spacing w:after="0"/>
              <w:rPr>
                <w:sz w:val="21"/>
                <w:szCs w:val="21"/>
                <w:color w:val="auto"/>
              </w:rPr>
            </w:pPr>
          </w:p>
        </w:tc>
        <w:tc>
          <w:tcPr>
            <w:tcW w:w="1540" w:type="dxa"/>
            <w:vAlign w:val="bottom"/>
            <w:tcBorders>
              <w:top w:val="single" w:sz="8" w:color="2C6937"/>
            </w:tcBorders>
          </w:tcPr>
          <w:p>
            <w:pPr>
              <w:spacing w:after="0"/>
              <w:rPr>
                <w:sz w:val="21"/>
                <w:szCs w:val="21"/>
                <w:color w:val="auto"/>
              </w:rPr>
            </w:pPr>
          </w:p>
        </w:tc>
        <w:tc>
          <w:tcPr>
            <w:tcW w:w="80" w:type="dxa"/>
            <w:vAlign w:val="bottom"/>
            <w:tcBorders>
              <w:top w:val="single" w:sz="8" w:color="2C6937"/>
            </w:tcBorders>
          </w:tcPr>
          <w:p>
            <w:pPr>
              <w:spacing w:after="0"/>
              <w:rPr>
                <w:sz w:val="21"/>
                <w:szCs w:val="21"/>
                <w:color w:val="auto"/>
              </w:rPr>
            </w:pPr>
          </w:p>
        </w:tc>
        <w:tc>
          <w:tcPr>
            <w:tcW w:w="200" w:type="dxa"/>
            <w:vAlign w:val="bottom"/>
            <w:tcBorders>
              <w:top w:val="single" w:sz="8" w:color="2C6937"/>
            </w:tcBorders>
          </w:tcPr>
          <w:p>
            <w:pPr>
              <w:spacing w:after="0"/>
              <w:rPr>
                <w:sz w:val="21"/>
                <w:szCs w:val="21"/>
                <w:color w:val="auto"/>
              </w:rPr>
            </w:pPr>
          </w:p>
        </w:tc>
        <w:tc>
          <w:tcPr>
            <w:tcW w:w="1600" w:type="dxa"/>
            <w:vAlign w:val="bottom"/>
            <w:tcBorders>
              <w:top w:val="single" w:sz="8" w:color="2C6937"/>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1660" w:type="dxa"/>
            <w:vAlign w:val="bottom"/>
            <w:tcBorders>
              <w:top w:val="single" w:sz="8" w:color="2C6937"/>
            </w:tcBorders>
          </w:tcPr>
          <w:p>
            <w:pPr>
              <w:jc w:val="center"/>
              <w:ind w:right="66"/>
              <w:spacing w:after="0"/>
              <w:rPr>
                <w:sz w:val="20"/>
                <w:szCs w:val="20"/>
                <w:color w:val="auto"/>
              </w:rPr>
            </w:pPr>
            <w:r>
              <w:rPr>
                <w:rFonts w:ascii="Arial" w:cs="Arial" w:eastAsia="Arial" w:hAnsi="Arial"/>
                <w:sz w:val="14"/>
                <w:szCs w:val="14"/>
                <w:b w:val="1"/>
                <w:bCs w:val="1"/>
                <w:color w:val="auto"/>
                <w:w w:val="96"/>
              </w:rPr>
              <w:t>Total Interest Income</w:t>
            </w:r>
          </w:p>
        </w:tc>
        <w:tc>
          <w:tcPr>
            <w:tcW w:w="0" w:type="dxa"/>
            <w:vAlign w:val="bottom"/>
          </w:tcPr>
          <w:p>
            <w:pPr>
              <w:spacing w:after="0"/>
              <w:rPr>
                <w:sz w:val="1"/>
                <w:szCs w:val="1"/>
                <w:color w:val="auto"/>
              </w:rPr>
            </w:pPr>
          </w:p>
        </w:tc>
      </w:tr>
      <w:tr>
        <w:trPr>
          <w:trHeight w:val="205"/>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3520" w:type="dxa"/>
            <w:vAlign w:val="bottom"/>
            <w:tcBorders>
              <w:bottom w:val="single" w:sz="8" w:color="2C6937"/>
            </w:tcBorders>
            <w:gridSpan w:val="5"/>
          </w:tcPr>
          <w:p>
            <w:pPr>
              <w:jc w:val="center"/>
              <w:ind w:right="360"/>
              <w:spacing w:after="0"/>
              <w:rPr>
                <w:sz w:val="20"/>
                <w:szCs w:val="20"/>
                <w:color w:val="auto"/>
              </w:rPr>
            </w:pPr>
            <w:r>
              <w:rPr>
                <w:rFonts w:ascii="Arial" w:cs="Arial" w:eastAsia="Arial" w:hAnsi="Arial"/>
                <w:sz w:val="14"/>
                <w:szCs w:val="14"/>
                <w:b w:val="1"/>
                <w:bCs w:val="1"/>
                <w:color w:val="auto"/>
                <w:w w:val="98"/>
              </w:rPr>
              <w:t>Amortized Cost</w:t>
            </w:r>
            <w:r>
              <w:rPr>
                <w:rFonts w:ascii="Arial" w:cs="Arial" w:eastAsia="Arial" w:hAnsi="Arial"/>
                <w:sz w:val="8"/>
                <w:szCs w:val="8"/>
                <w:b w:val="1"/>
                <w:bCs w:val="1"/>
                <w:color w:val="auto"/>
                <w:w w:val="98"/>
              </w:rPr>
              <w:t>(1)</w:t>
            </w:r>
          </w:p>
        </w:tc>
        <w:tc>
          <w:tcPr>
            <w:tcW w:w="140" w:type="dxa"/>
            <w:vAlign w:val="bottom"/>
            <w:tcBorders>
              <w:bottom w:val="single" w:sz="8" w:color="2C6937"/>
            </w:tcBorders>
          </w:tcPr>
          <w:p>
            <w:pPr>
              <w:spacing w:after="0"/>
              <w:rPr>
                <w:sz w:val="17"/>
                <w:szCs w:val="17"/>
                <w:color w:val="auto"/>
              </w:rPr>
            </w:pPr>
          </w:p>
        </w:tc>
        <w:tc>
          <w:tcPr>
            <w:tcW w:w="1660" w:type="dxa"/>
            <w:vAlign w:val="bottom"/>
            <w:tcBorders>
              <w:bottom w:val="single" w:sz="8" w:color="2C6937"/>
            </w:tcBorders>
          </w:tcPr>
          <w:p>
            <w:pPr>
              <w:jc w:val="center"/>
              <w:ind w:right="66"/>
              <w:spacing w:after="0"/>
              <w:rPr>
                <w:sz w:val="20"/>
                <w:szCs w:val="20"/>
                <w:color w:val="auto"/>
              </w:rPr>
            </w:pPr>
            <w:r>
              <w:rPr>
                <w:rFonts w:ascii="Arial" w:cs="Arial" w:eastAsia="Arial" w:hAnsi="Arial"/>
                <w:sz w:val="14"/>
                <w:szCs w:val="14"/>
                <w:b w:val="1"/>
                <w:bCs w:val="1"/>
                <w:color w:val="auto"/>
                <w:w w:val="95"/>
              </w:rPr>
              <w:t>Recognized</w:t>
            </w:r>
            <w:r>
              <w:rPr>
                <w:rFonts w:ascii="Arial" w:cs="Arial" w:eastAsia="Arial" w:hAnsi="Arial"/>
                <w:sz w:val="17"/>
                <w:szCs w:val="17"/>
                <w:b w:val="1"/>
                <w:bCs w:val="1"/>
                <w:color w:val="auto"/>
                <w:w w:val="95"/>
                <w:vertAlign w:val="superscript"/>
              </w:rPr>
              <w:t>(2)</w:t>
            </w:r>
          </w:p>
        </w:tc>
        <w:tc>
          <w:tcPr>
            <w:tcW w:w="0" w:type="dxa"/>
            <w:vAlign w:val="bottom"/>
          </w:tcPr>
          <w:p>
            <w:pPr>
              <w:spacing w:after="0"/>
              <w:rPr>
                <w:sz w:val="1"/>
                <w:szCs w:val="1"/>
                <w:color w:val="auto"/>
              </w:rPr>
            </w:pPr>
          </w:p>
        </w:tc>
      </w:tr>
      <w:tr>
        <w:trPr>
          <w:trHeight w:val="275"/>
        </w:trPr>
        <w:tc>
          <w:tcPr>
            <w:tcW w:w="5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Pr>
          <w:p>
            <w:pPr>
              <w:jc w:val="right"/>
              <w:ind w:right="5"/>
              <w:spacing w:after="0"/>
              <w:rPr>
                <w:sz w:val="20"/>
                <w:szCs w:val="20"/>
                <w:color w:val="auto"/>
              </w:rPr>
            </w:pPr>
            <w:r>
              <w:rPr>
                <w:rFonts w:ascii="Arial" w:cs="Arial" w:eastAsia="Arial" w:hAnsi="Arial"/>
                <w:sz w:val="15"/>
                <w:szCs w:val="15"/>
                <w:b w:val="1"/>
                <w:bCs w:val="1"/>
                <w:color w:val="auto"/>
              </w:rPr>
              <w:t>22,712</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21,971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309"/>
        </w:trPr>
        <w:tc>
          <w:tcPr>
            <w:tcW w:w="5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60" w:type="dxa"/>
            <w:vAlign w:val="bottom"/>
          </w:tcPr>
          <w:p>
            <w:pPr>
              <w:spacing w:after="0"/>
              <w:rPr>
                <w:sz w:val="24"/>
                <w:szCs w:val="24"/>
                <w:color w:val="auto"/>
              </w:rPr>
            </w:pPr>
          </w:p>
        </w:tc>
        <w:tc>
          <w:tcPr>
            <w:tcW w:w="1540" w:type="dxa"/>
            <w:vAlign w:val="bottom"/>
          </w:tcPr>
          <w:p>
            <w:pPr>
              <w:jc w:val="right"/>
              <w:ind w:right="5"/>
              <w:spacing w:after="0"/>
              <w:rPr>
                <w:sz w:val="20"/>
                <w:szCs w:val="20"/>
                <w:color w:val="auto"/>
              </w:rPr>
            </w:pPr>
            <w:r>
              <w:rPr>
                <w:rFonts w:ascii="Arial" w:cs="Arial" w:eastAsia="Arial" w:hAnsi="Arial"/>
                <w:sz w:val="15"/>
                <w:szCs w:val="15"/>
                <w:b w:val="1"/>
                <w:bCs w:val="1"/>
                <w:color w:val="auto"/>
              </w:rPr>
              <w:t>734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727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9"/>
        </w:trPr>
        <w:tc>
          <w:tcPr>
            <w:tcW w:w="5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60" w:type="dxa"/>
            <w:vAlign w:val="bottom"/>
          </w:tcPr>
          <w:p>
            <w:pPr>
              <w:spacing w:after="0"/>
              <w:rPr>
                <w:sz w:val="24"/>
                <w:szCs w:val="24"/>
                <w:color w:val="auto"/>
              </w:rPr>
            </w:pPr>
          </w:p>
        </w:tc>
        <w:tc>
          <w:tcPr>
            <w:tcW w:w="1540" w:type="dxa"/>
            <w:vAlign w:val="bottom"/>
          </w:tcPr>
          <w:p>
            <w:pPr>
              <w:jc w:val="right"/>
              <w:ind w:right="5"/>
              <w:spacing w:after="0"/>
              <w:rPr>
                <w:sz w:val="20"/>
                <w:szCs w:val="20"/>
                <w:color w:val="auto"/>
              </w:rPr>
            </w:pPr>
            <w:r>
              <w:rPr>
                <w:rFonts w:ascii="Arial" w:cs="Arial" w:eastAsia="Arial" w:hAnsi="Arial"/>
                <w:sz w:val="15"/>
                <w:szCs w:val="15"/>
                <w:b w:val="1"/>
                <w:bCs w:val="1"/>
                <w:color w:val="auto"/>
              </w:rPr>
              <w:t>115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3"/>
        </w:trPr>
        <w:tc>
          <w:tcPr>
            <w:tcW w:w="5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480</w:t>
            </w:r>
          </w:p>
        </w:tc>
        <w:tc>
          <w:tcPr>
            <w:tcW w:w="8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508</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09"/>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260" w:type="dxa"/>
            <w:vAlign w:val="bottom"/>
          </w:tcPr>
          <w:p>
            <w:pPr>
              <w:spacing w:after="0"/>
              <w:rPr>
                <w:sz w:val="24"/>
                <w:szCs w:val="24"/>
                <w:color w:val="auto"/>
              </w:rPr>
            </w:pPr>
          </w:p>
        </w:tc>
        <w:tc>
          <w:tcPr>
            <w:tcW w:w="1540" w:type="dxa"/>
            <w:vAlign w:val="bottom"/>
          </w:tcPr>
          <w:p>
            <w:pPr>
              <w:jc w:val="right"/>
              <w:ind w:right="5"/>
              <w:spacing w:after="0"/>
              <w:rPr>
                <w:sz w:val="20"/>
                <w:szCs w:val="20"/>
                <w:color w:val="auto"/>
              </w:rPr>
            </w:pPr>
            <w:r>
              <w:rPr>
                <w:rFonts w:ascii="Arial" w:cs="Arial" w:eastAsia="Arial" w:hAnsi="Arial"/>
                <w:sz w:val="15"/>
                <w:szCs w:val="15"/>
                <w:b w:val="1"/>
                <w:bCs w:val="1"/>
                <w:color w:val="auto"/>
              </w:rPr>
              <w:t>24,041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23,315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303"/>
        </w:trPr>
        <w:tc>
          <w:tcPr>
            <w:tcW w:w="5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1,812</w:t>
            </w:r>
          </w:p>
        </w:tc>
        <w:tc>
          <w:tcPr>
            <w:tcW w:w="8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1,890</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02"/>
        </w:trPr>
        <w:tc>
          <w:tcPr>
            <w:tcW w:w="5560" w:type="dxa"/>
            <w:vAlign w:val="bottom"/>
            <w:tcBorders>
              <w:bottom w:val="single" w:sz="8" w:color="2C6937"/>
            </w:tcBorders>
          </w:tcPr>
          <w:p>
            <w:pPr>
              <w:ind w:left="260"/>
              <w:spacing w:after="0"/>
              <w:rPr>
                <w:sz w:val="20"/>
                <w:szCs w:val="20"/>
                <w:color w:val="auto"/>
              </w:rPr>
            </w:pPr>
            <w:r>
              <w:rPr>
                <w:rFonts w:ascii="Arial" w:cs="Arial" w:eastAsia="Arial" w:hAnsi="Arial"/>
                <w:sz w:val="15"/>
                <w:szCs w:val="15"/>
                <w:color w:val="auto"/>
              </w:rPr>
              <w:t>Total nonaccrual loans</w:t>
            </w:r>
          </w:p>
        </w:tc>
        <w:tc>
          <w:tcPr>
            <w:tcW w:w="100" w:type="dxa"/>
            <w:vAlign w:val="bottom"/>
          </w:tcPr>
          <w:p>
            <w:pPr>
              <w:spacing w:after="0"/>
              <w:rPr>
                <w:sz w:val="24"/>
                <w:szCs w:val="24"/>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25,853</w:t>
            </w:r>
          </w:p>
        </w:tc>
        <w:tc>
          <w:tcPr>
            <w:tcW w:w="80" w:type="dxa"/>
            <w:vAlign w:val="bottom"/>
          </w:tcPr>
          <w:p>
            <w:pPr>
              <w:spacing w:after="0"/>
              <w:rPr>
                <w:sz w:val="24"/>
                <w:szCs w:val="24"/>
                <w:color w:val="auto"/>
              </w:rPr>
            </w:pPr>
          </w:p>
        </w:tc>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25,205</w:t>
            </w:r>
          </w:p>
        </w:tc>
        <w:tc>
          <w:tcPr>
            <w:tcW w:w="100" w:type="dxa"/>
            <w:vAlign w:val="bottom"/>
          </w:tcPr>
          <w:p>
            <w:pPr>
              <w:spacing w:after="0"/>
              <w:rPr>
                <w:sz w:val="24"/>
                <w:szCs w:val="24"/>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
        </w:trPr>
        <w:tc>
          <w:tcPr>
            <w:tcW w:w="5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15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6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gridSpan w:val="3"/>
          </w:tcPr>
          <w:p>
            <w:pPr>
              <w:jc w:val="center"/>
              <w:ind w:left="1265"/>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7"/>
              </w:rPr>
              <w:t>For the Three Months</w:t>
            </w:r>
          </w:p>
        </w:tc>
        <w:tc>
          <w:tcPr>
            <w:tcW w:w="0" w:type="dxa"/>
            <w:vAlign w:val="bottom"/>
          </w:tcPr>
          <w:p>
            <w:pPr>
              <w:spacing w:after="0"/>
              <w:rPr>
                <w:sz w:val="1"/>
                <w:szCs w:val="1"/>
                <w:color w:val="auto"/>
              </w:rPr>
            </w:pPr>
          </w:p>
        </w:tc>
      </w:tr>
      <w:tr>
        <w:trPr>
          <w:trHeight w:val="55"/>
        </w:trPr>
        <w:tc>
          <w:tcPr>
            <w:tcW w:w="5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4"/>
                <w:szCs w:val="4"/>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66"/>
              <w:spacing w:after="0"/>
              <w:rPr>
                <w:sz w:val="20"/>
                <w:szCs w:val="20"/>
                <w:color w:val="auto"/>
              </w:rPr>
            </w:pPr>
            <w:r>
              <w:rPr>
                <w:rFonts w:ascii="Arial" w:cs="Arial" w:eastAsia="Arial" w:hAnsi="Arial"/>
                <w:sz w:val="14"/>
                <w:szCs w:val="14"/>
                <w:b w:val="1"/>
                <w:bCs w:val="1"/>
                <w:color w:val="auto"/>
                <w:w w:val="98"/>
              </w:rPr>
              <w:t>Ended March 31, 2023</w:t>
            </w:r>
          </w:p>
        </w:tc>
        <w:tc>
          <w:tcPr>
            <w:tcW w:w="0" w:type="dxa"/>
            <w:vAlign w:val="bottom"/>
          </w:tcPr>
          <w:p>
            <w:pPr>
              <w:spacing w:after="0"/>
              <w:rPr>
                <w:sz w:val="1"/>
                <w:szCs w:val="1"/>
                <w:color w:val="auto"/>
              </w:rPr>
            </w:pPr>
          </w:p>
        </w:tc>
      </w:tr>
      <w:tr>
        <w:trPr>
          <w:trHeight w:val="252"/>
        </w:trPr>
        <w:tc>
          <w:tcPr>
            <w:tcW w:w="5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2C6937"/>
            </w:tcBorders>
          </w:tcPr>
          <w:p>
            <w:pPr>
              <w:spacing w:after="0"/>
              <w:rPr>
                <w:sz w:val="21"/>
                <w:szCs w:val="21"/>
                <w:color w:val="auto"/>
              </w:rPr>
            </w:pPr>
          </w:p>
        </w:tc>
        <w:tc>
          <w:tcPr>
            <w:tcW w:w="1540" w:type="dxa"/>
            <w:vAlign w:val="bottom"/>
            <w:tcBorders>
              <w:top w:val="single" w:sz="8" w:color="2C6937"/>
            </w:tcBorders>
          </w:tcPr>
          <w:p>
            <w:pPr>
              <w:spacing w:after="0"/>
              <w:rPr>
                <w:sz w:val="21"/>
                <w:szCs w:val="21"/>
                <w:color w:val="auto"/>
              </w:rPr>
            </w:pPr>
          </w:p>
        </w:tc>
        <w:tc>
          <w:tcPr>
            <w:tcW w:w="80" w:type="dxa"/>
            <w:vAlign w:val="bottom"/>
            <w:tcBorders>
              <w:top w:val="single" w:sz="8" w:color="2C6937"/>
            </w:tcBorders>
          </w:tcPr>
          <w:p>
            <w:pPr>
              <w:spacing w:after="0"/>
              <w:rPr>
                <w:sz w:val="21"/>
                <w:szCs w:val="21"/>
                <w:color w:val="auto"/>
              </w:rPr>
            </w:pPr>
          </w:p>
        </w:tc>
        <w:tc>
          <w:tcPr>
            <w:tcW w:w="200" w:type="dxa"/>
            <w:vAlign w:val="bottom"/>
            <w:tcBorders>
              <w:top w:val="single" w:sz="8" w:color="2C6937"/>
            </w:tcBorders>
          </w:tcPr>
          <w:p>
            <w:pPr>
              <w:spacing w:after="0"/>
              <w:rPr>
                <w:sz w:val="21"/>
                <w:szCs w:val="21"/>
                <w:color w:val="auto"/>
              </w:rPr>
            </w:pPr>
          </w:p>
        </w:tc>
        <w:tc>
          <w:tcPr>
            <w:tcW w:w="1600" w:type="dxa"/>
            <w:vAlign w:val="bottom"/>
            <w:tcBorders>
              <w:top w:val="single" w:sz="8" w:color="2C6937"/>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2C6937"/>
            </w:tcBorders>
          </w:tcPr>
          <w:p>
            <w:pPr>
              <w:spacing w:after="0"/>
              <w:rPr>
                <w:sz w:val="21"/>
                <w:szCs w:val="21"/>
                <w:color w:val="auto"/>
              </w:rPr>
            </w:pPr>
          </w:p>
        </w:tc>
        <w:tc>
          <w:tcPr>
            <w:tcW w:w="1660" w:type="dxa"/>
            <w:vAlign w:val="bottom"/>
            <w:tcBorders>
              <w:top w:val="single" w:sz="8" w:color="2C6937"/>
            </w:tcBorders>
          </w:tcPr>
          <w:p>
            <w:pPr>
              <w:jc w:val="center"/>
              <w:ind w:right="66"/>
              <w:spacing w:after="0"/>
              <w:rPr>
                <w:sz w:val="20"/>
                <w:szCs w:val="20"/>
                <w:color w:val="auto"/>
              </w:rPr>
            </w:pPr>
            <w:r>
              <w:rPr>
                <w:rFonts w:ascii="Arial" w:cs="Arial" w:eastAsia="Arial" w:hAnsi="Arial"/>
                <w:sz w:val="14"/>
                <w:szCs w:val="14"/>
                <w:b w:val="1"/>
                <w:bCs w:val="1"/>
                <w:color w:val="auto"/>
                <w:w w:val="96"/>
              </w:rPr>
              <w:t>Total Interest Income</w:t>
            </w:r>
          </w:p>
        </w:tc>
        <w:tc>
          <w:tcPr>
            <w:tcW w:w="0" w:type="dxa"/>
            <w:vAlign w:val="bottom"/>
          </w:tcPr>
          <w:p>
            <w:pPr>
              <w:spacing w:after="0"/>
              <w:rPr>
                <w:sz w:val="1"/>
                <w:szCs w:val="1"/>
                <w:color w:val="auto"/>
              </w:rPr>
            </w:pPr>
          </w:p>
        </w:tc>
      </w:tr>
      <w:tr>
        <w:trPr>
          <w:trHeight w:val="205"/>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3520" w:type="dxa"/>
            <w:vAlign w:val="bottom"/>
            <w:tcBorders>
              <w:bottom w:val="single" w:sz="8" w:color="2C6937"/>
            </w:tcBorders>
            <w:gridSpan w:val="5"/>
          </w:tcPr>
          <w:p>
            <w:pPr>
              <w:jc w:val="center"/>
              <w:ind w:right="36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140" w:type="dxa"/>
            <w:vAlign w:val="bottom"/>
            <w:tcBorders>
              <w:bottom w:val="single" w:sz="8" w:color="2C6937"/>
            </w:tcBorders>
          </w:tcPr>
          <w:p>
            <w:pPr>
              <w:spacing w:after="0"/>
              <w:rPr>
                <w:sz w:val="17"/>
                <w:szCs w:val="17"/>
                <w:color w:val="auto"/>
              </w:rPr>
            </w:pPr>
          </w:p>
        </w:tc>
        <w:tc>
          <w:tcPr>
            <w:tcW w:w="1660" w:type="dxa"/>
            <w:vAlign w:val="bottom"/>
            <w:tcBorders>
              <w:bottom w:val="single" w:sz="8" w:color="2C6937"/>
            </w:tcBorders>
          </w:tcPr>
          <w:p>
            <w:pPr>
              <w:jc w:val="center"/>
              <w:ind w:right="66"/>
              <w:spacing w:after="0"/>
              <w:rPr>
                <w:sz w:val="20"/>
                <w:szCs w:val="20"/>
                <w:color w:val="auto"/>
              </w:rPr>
            </w:pPr>
            <w:r>
              <w:rPr>
                <w:rFonts w:ascii="Arial" w:cs="Arial" w:eastAsia="Arial" w:hAnsi="Arial"/>
                <w:sz w:val="14"/>
                <w:szCs w:val="14"/>
                <w:b w:val="1"/>
                <w:bCs w:val="1"/>
                <w:color w:val="auto"/>
                <w:w w:val="95"/>
              </w:rPr>
              <w:t>Recognized</w:t>
            </w:r>
            <w:r>
              <w:rPr>
                <w:rFonts w:ascii="Arial" w:cs="Arial" w:eastAsia="Arial" w:hAnsi="Arial"/>
                <w:sz w:val="17"/>
                <w:szCs w:val="17"/>
                <w:b w:val="1"/>
                <w:bCs w:val="1"/>
                <w:color w:val="auto"/>
                <w:w w:val="95"/>
                <w:vertAlign w:val="superscript"/>
              </w:rPr>
              <w:t>(2)</w:t>
            </w:r>
          </w:p>
        </w:tc>
        <w:tc>
          <w:tcPr>
            <w:tcW w:w="0" w:type="dxa"/>
            <w:vAlign w:val="bottom"/>
          </w:tcPr>
          <w:p>
            <w:pPr>
              <w:spacing w:after="0"/>
              <w:rPr>
                <w:sz w:val="1"/>
                <w:szCs w:val="1"/>
                <w:color w:val="auto"/>
              </w:rPr>
            </w:pPr>
          </w:p>
        </w:tc>
      </w:tr>
      <w:tr>
        <w:trPr>
          <w:trHeight w:val="275"/>
        </w:trPr>
        <w:tc>
          <w:tcPr>
            <w:tcW w:w="5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5"/>
              <w:spacing w:after="0"/>
              <w:rPr>
                <w:sz w:val="20"/>
                <w:szCs w:val="20"/>
                <w:color w:val="auto"/>
              </w:rPr>
            </w:pPr>
            <w:r>
              <w:rPr>
                <w:rFonts w:ascii="Arial" w:cs="Arial" w:eastAsia="Arial" w:hAnsi="Arial"/>
                <w:sz w:val="15"/>
                <w:szCs w:val="15"/>
                <w:color w:val="auto"/>
              </w:rPr>
              <w:t>14,172</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9,447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309"/>
        </w:trPr>
        <w:tc>
          <w:tcPr>
            <w:tcW w:w="5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60" w:type="dxa"/>
            <w:vAlign w:val="bottom"/>
          </w:tcPr>
          <w:p>
            <w:pPr>
              <w:spacing w:after="0"/>
              <w:rPr>
                <w:sz w:val="24"/>
                <w:szCs w:val="24"/>
                <w:color w:val="auto"/>
              </w:rPr>
            </w:pPr>
          </w:p>
        </w:tc>
        <w:tc>
          <w:tcPr>
            <w:tcW w:w="1540" w:type="dxa"/>
            <w:vAlign w:val="bottom"/>
          </w:tcPr>
          <w:p>
            <w:pPr>
              <w:jc w:val="right"/>
              <w:ind w:right="5"/>
              <w:spacing w:after="0"/>
              <w:rPr>
                <w:sz w:val="20"/>
                <w:szCs w:val="20"/>
                <w:color w:val="auto"/>
              </w:rPr>
            </w:pPr>
            <w:r>
              <w:rPr>
                <w:rFonts w:ascii="Arial" w:cs="Arial" w:eastAsia="Arial" w:hAnsi="Arial"/>
                <w:sz w:val="15"/>
                <w:szCs w:val="15"/>
                <w:color w:val="auto"/>
              </w:rPr>
              <w:t>429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9"/>
        </w:trPr>
        <w:tc>
          <w:tcPr>
            <w:tcW w:w="5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60" w:type="dxa"/>
            <w:vAlign w:val="bottom"/>
          </w:tcPr>
          <w:p>
            <w:pPr>
              <w:spacing w:after="0"/>
              <w:rPr>
                <w:sz w:val="24"/>
                <w:szCs w:val="24"/>
                <w:color w:val="auto"/>
              </w:rPr>
            </w:pPr>
          </w:p>
        </w:tc>
        <w:tc>
          <w:tcPr>
            <w:tcW w:w="1540" w:type="dxa"/>
            <w:vAlign w:val="bottom"/>
          </w:tcPr>
          <w:p>
            <w:pPr>
              <w:jc w:val="right"/>
              <w:ind w:right="5"/>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0"/>
        </w:trPr>
        <w:tc>
          <w:tcPr>
            <w:tcW w:w="5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601</w:t>
            </w:r>
          </w:p>
        </w:tc>
        <w:tc>
          <w:tcPr>
            <w:tcW w:w="8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0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260" w:type="dxa"/>
            <w:vAlign w:val="bottom"/>
          </w:tcPr>
          <w:p>
            <w:pPr>
              <w:spacing w:after="0"/>
              <w:rPr>
                <w:sz w:val="24"/>
                <w:szCs w:val="24"/>
                <w:color w:val="auto"/>
              </w:rPr>
            </w:pPr>
          </w:p>
        </w:tc>
        <w:tc>
          <w:tcPr>
            <w:tcW w:w="1540" w:type="dxa"/>
            <w:vAlign w:val="bottom"/>
          </w:tcPr>
          <w:p>
            <w:pPr>
              <w:jc w:val="right"/>
              <w:ind w:right="5"/>
              <w:spacing w:after="0"/>
              <w:rPr>
                <w:sz w:val="20"/>
                <w:szCs w:val="20"/>
                <w:color w:val="auto"/>
              </w:rPr>
            </w:pPr>
            <w:r>
              <w:rPr>
                <w:rFonts w:ascii="Arial" w:cs="Arial" w:eastAsia="Arial" w:hAnsi="Arial"/>
                <w:sz w:val="15"/>
                <w:szCs w:val="15"/>
                <w:color w:val="auto"/>
              </w:rPr>
              <w:t>15,277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10,317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310"/>
        </w:trPr>
        <w:tc>
          <w:tcPr>
            <w:tcW w:w="5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5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1,541</w:t>
            </w:r>
          </w:p>
        </w:tc>
        <w:tc>
          <w:tcPr>
            <w:tcW w:w="8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2,200</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302"/>
        </w:trPr>
        <w:tc>
          <w:tcPr>
            <w:tcW w:w="566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5"/>
              <w:spacing w:after="0"/>
              <w:rPr>
                <w:sz w:val="20"/>
                <w:szCs w:val="20"/>
                <w:color w:val="auto"/>
              </w:rPr>
            </w:pPr>
            <w:r>
              <w:rPr>
                <w:rFonts w:ascii="Arial" w:cs="Arial" w:eastAsia="Arial" w:hAnsi="Arial"/>
                <w:sz w:val="15"/>
                <w:szCs w:val="15"/>
                <w:color w:val="auto"/>
              </w:rPr>
              <w:t>16,818</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5"/>
              <w:spacing w:after="0"/>
              <w:rPr>
                <w:sz w:val="20"/>
                <w:szCs w:val="20"/>
                <w:color w:val="auto"/>
              </w:rPr>
            </w:pPr>
            <w:r>
              <w:rPr>
                <w:rFonts w:ascii="Arial" w:cs="Arial" w:eastAsia="Arial" w:hAnsi="Arial"/>
                <w:sz w:val="15"/>
                <w:szCs w:val="15"/>
                <w:color w:val="auto"/>
              </w:rPr>
              <w:t>12,517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5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6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Amortized cost is presented net of any write-offs, which are recognized when a loan balance is deemed uncollectible.</w:t>
      </w:r>
    </w:p>
    <w:p>
      <w:pPr>
        <w:spacing w:after="0" w:line="25" w:lineRule="exact"/>
        <w:rPr>
          <w:rFonts w:ascii="Arial" w:cs="Arial" w:eastAsia="Arial" w:hAnsi="Arial"/>
          <w:sz w:val="18"/>
          <w:szCs w:val="18"/>
          <w:color w:val="auto"/>
          <w:vertAlign w:val="superscript"/>
        </w:rPr>
      </w:pPr>
    </w:p>
    <w:p>
      <w:pPr>
        <w:ind w:left="240" w:right="80" w:hanging="237"/>
        <w:spacing w:after="0" w:line="260" w:lineRule="auto"/>
        <w:tabs>
          <w:tab w:leader="none" w:pos="233" w:val="left"/>
        </w:tabs>
        <w:numPr>
          <w:ilvl w:val="0"/>
          <w:numId w:val="78"/>
        </w:numPr>
        <w:rPr>
          <w:rFonts w:ascii="Arial" w:cs="Arial" w:eastAsia="Arial" w:hAnsi="Arial"/>
          <w:sz w:val="9"/>
          <w:szCs w:val="9"/>
          <w:color w:val="auto"/>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1" w:name="page82"/>
    <w:bookmarkEnd w:id="81"/>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Loan Losses</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 When calculating our allowance for loan losses, we consider the unpaid principal balance, net of unamortized premiums and discounts, and other cost basis adjustments of HFI loans at the balance sheet date. We record write-offs as a reduction to our allowance for loan losses at the point of foreclosure, completion of a short sale, upon the redesignation of nonperforming and reperforming loans from HFI to HFS or when a loan is determined to be uncollectible.</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 The benefit or provision for loan losses excludes provision for accrued interest receivable losses, guaranty loss reserves and credit losses on available-for-sale (“AFS”) debt securities. Cumulatively, these amounts are recognized as “Benefit (provision) for credit losses” in our condensed consolidated statements of operations and comprehensive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Borders>
              <w:bottom w:val="single" w:sz="8" w:color="2C6937"/>
            </w:tcBorders>
            <w:gridSpan w:val="4"/>
          </w:tcPr>
          <w:p>
            <w:pPr>
              <w:jc w:val="right"/>
              <w:ind w:right="143"/>
              <w:spacing w:after="0"/>
              <w:rPr>
                <w:sz w:val="20"/>
                <w:szCs w:val="20"/>
                <w:color w:val="auto"/>
              </w:rPr>
            </w:pPr>
            <w:r>
              <w:rPr>
                <w:rFonts w:ascii="Arial" w:cs="Arial" w:eastAsia="Arial" w:hAnsi="Arial"/>
                <w:sz w:val="15"/>
                <w:szCs w:val="15"/>
                <w:b w:val="1"/>
                <w:bCs w:val="1"/>
                <w:color w:val="auto"/>
              </w:rPr>
              <w:t>For the Three Months Ended March 31,</w:t>
            </w:r>
          </w:p>
        </w:tc>
        <w:tc>
          <w:tcPr>
            <w:tcW w:w="800" w:type="dxa"/>
            <w:vAlign w:val="bottom"/>
            <w:tcBorders>
              <w:bottom w:val="single" w:sz="8" w:color="2C6937"/>
            </w:tcBorders>
          </w:tcPr>
          <w:p>
            <w:pPr>
              <w:spacing w:after="0"/>
              <w:rPr>
                <w:sz w:val="18"/>
                <w:szCs w:val="18"/>
                <w:color w:val="auto"/>
              </w:rPr>
            </w:pPr>
          </w:p>
        </w:tc>
      </w:tr>
      <w:tr>
        <w:trPr>
          <w:trHeight w:val="222"/>
        </w:trPr>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2024</w:t>
            </w:r>
          </w:p>
        </w:tc>
        <w:tc>
          <w:tcPr>
            <w:tcW w:w="88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2023</w:t>
            </w:r>
          </w:p>
        </w:tc>
        <w:tc>
          <w:tcPr>
            <w:tcW w:w="800" w:type="dxa"/>
            <w:vAlign w:val="bottom"/>
            <w:tcBorders>
              <w:bottom w:val="single" w:sz="8" w:color="2C6937"/>
            </w:tcBorders>
          </w:tcPr>
          <w:p>
            <w:pPr>
              <w:spacing w:after="0"/>
              <w:rPr>
                <w:sz w:val="19"/>
                <w:szCs w:val="19"/>
                <w:color w:val="auto"/>
              </w:rPr>
            </w:pPr>
          </w:p>
        </w:tc>
      </w:tr>
      <w:tr>
        <w:trPr>
          <w:trHeight w:val="286"/>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60" w:type="dxa"/>
            <w:vAlign w:val="bottom"/>
            <w:gridSpan w:val="3"/>
          </w:tcPr>
          <w:p>
            <w:pPr>
              <w:jc w:val="right"/>
              <w:ind w:right="903"/>
              <w:spacing w:after="0"/>
              <w:rPr>
                <w:sz w:val="20"/>
                <w:szCs w:val="20"/>
                <w:color w:val="auto"/>
              </w:rPr>
            </w:pPr>
            <w:r>
              <w:rPr>
                <w:rFonts w:ascii="Arial" w:cs="Arial" w:eastAsia="Arial" w:hAnsi="Arial"/>
                <w:sz w:val="15"/>
                <w:szCs w:val="15"/>
                <w:b w:val="1"/>
                <w:bCs w:val="1"/>
                <w:color w:val="auto"/>
              </w:rPr>
              <w:t>(Dollars in millions)</w:t>
            </w:r>
          </w:p>
        </w:tc>
        <w:tc>
          <w:tcPr>
            <w:tcW w:w="800" w:type="dxa"/>
            <w:vAlign w:val="bottom"/>
          </w:tcPr>
          <w:p>
            <w:pPr>
              <w:spacing w:after="0"/>
              <w:rPr>
                <w:sz w:val="24"/>
                <w:szCs w:val="24"/>
                <w:color w:val="auto"/>
              </w:rPr>
            </w:pPr>
          </w:p>
        </w:tc>
      </w:tr>
      <w:tr>
        <w:trPr>
          <w:trHeight w:val="301"/>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0"/>
        </w:trPr>
        <w:tc>
          <w:tcPr>
            <w:tcW w:w="634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540" w:type="dxa"/>
            <w:vAlign w:val="bottom"/>
          </w:tcPr>
          <w:p>
            <w:pPr>
              <w:jc w:val="right"/>
              <w:ind w:right="13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(6,671)</w:t>
            </w:r>
          </w:p>
        </w:tc>
        <w:tc>
          <w:tcPr>
            <w:tcW w:w="80" w:type="dxa"/>
            <w:vAlign w:val="bottom"/>
          </w:tcPr>
          <w:p>
            <w:pPr>
              <w:spacing w:after="0"/>
              <w:rPr>
                <w:sz w:val="24"/>
                <w:szCs w:val="24"/>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(9,443)</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Benefit for loan losses</w:t>
            </w:r>
          </w:p>
        </w:tc>
        <w:tc>
          <w:tcPr>
            <w:tcW w:w="15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b w:val="1"/>
                <w:bCs w:val="1"/>
                <w:color w:val="auto"/>
              </w:rPr>
              <w:t>339</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5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b w:val="1"/>
                <w:bCs w:val="1"/>
                <w:color w:val="auto"/>
              </w:rPr>
              <w:t>115</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(58)</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303"/>
        </w:trPr>
        <w:tc>
          <w:tcPr>
            <w:tcW w:w="6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5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160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r>
      <w:tr>
        <w:trPr>
          <w:trHeight w:val="295"/>
        </w:trPr>
        <w:tc>
          <w:tcPr>
            <w:tcW w:w="62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540" w:type="dxa"/>
            <w:vAlign w:val="bottom"/>
            <w:tcBorders>
              <w:bottom w:val="single" w:sz="8" w:color="2C6937"/>
            </w:tcBorders>
          </w:tcPr>
          <w:p>
            <w:pPr>
              <w:jc w:val="right"/>
              <w:ind w:right="13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(6,275)</w:t>
            </w:r>
          </w:p>
        </w:tc>
        <w:tc>
          <w:tcPr>
            <w:tcW w:w="80" w:type="dxa"/>
            <w:vAlign w:val="bottom"/>
          </w:tcPr>
          <w:p>
            <w:pPr>
              <w:spacing w:after="0"/>
              <w:rPr>
                <w:sz w:val="24"/>
                <w:szCs w:val="24"/>
                <w:color w:val="auto"/>
              </w:rPr>
            </w:pPr>
          </w:p>
        </w:tc>
        <w:tc>
          <w:tcPr>
            <w:tcW w:w="1600" w:type="dxa"/>
            <w:vAlign w:val="bottom"/>
            <w:tcBorders>
              <w:bottom w:val="single" w:sz="8" w:color="2C6937"/>
            </w:tcBorders>
          </w:tcPr>
          <w:p>
            <w:pPr>
              <w:jc w:val="right"/>
              <w:ind w:right="140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(9,479)</w:t>
            </w:r>
          </w:p>
        </w:tc>
      </w:tr>
      <w:tr>
        <w:trPr>
          <w:trHeight w:val="26"/>
        </w:trPr>
        <w:tc>
          <w:tcPr>
            <w:tcW w:w="62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2C6937"/>
            </w:tcBorders>
          </w:tcPr>
          <w:p>
            <w:pPr>
              <w:spacing w:after="0"/>
              <w:rPr>
                <w:sz w:val="2"/>
                <w:szCs w:val="2"/>
                <w:color w:val="auto"/>
              </w:rPr>
            </w:pPr>
          </w:p>
        </w:tc>
        <w:tc>
          <w:tcPr>
            <w:tcW w:w="800" w:type="dxa"/>
            <w:vAlign w:val="bottom"/>
            <w:tcBorders>
              <w:bottom w:val="single" w:sz="8" w:color="2C6937"/>
            </w:tcBorders>
          </w:tcPr>
          <w:p>
            <w:pPr>
              <w:spacing w:after="0"/>
              <w:rPr>
                <w:sz w:val="2"/>
                <w:szCs w:val="2"/>
                <w:color w:val="auto"/>
              </w:rPr>
            </w:pPr>
          </w:p>
        </w:tc>
      </w:tr>
      <w:tr>
        <w:trPr>
          <w:trHeight w:val="288"/>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0"/>
        </w:trPr>
        <w:tc>
          <w:tcPr>
            <w:tcW w:w="634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540" w:type="dxa"/>
            <w:vAlign w:val="bottom"/>
          </w:tcPr>
          <w:p>
            <w:pPr>
              <w:jc w:val="right"/>
              <w:ind w:right="13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(2,059)</w:t>
            </w:r>
          </w:p>
        </w:tc>
        <w:tc>
          <w:tcPr>
            <w:tcW w:w="80" w:type="dxa"/>
            <w:vAlign w:val="bottom"/>
          </w:tcPr>
          <w:p>
            <w:pPr>
              <w:spacing w:after="0"/>
              <w:rPr>
                <w:sz w:val="24"/>
                <w:szCs w:val="24"/>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(1,904)</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Provision for loan losses</w:t>
            </w:r>
          </w:p>
        </w:tc>
        <w:tc>
          <w:tcPr>
            <w:tcW w:w="1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(157)</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(180)</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5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b w:val="1"/>
                <w:bCs w:val="1"/>
                <w:color w:val="auto"/>
              </w:rPr>
              <w:t>133</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303"/>
        </w:trPr>
        <w:tc>
          <w:tcPr>
            <w:tcW w:w="6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5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w:t>
            </w:r>
          </w:p>
        </w:tc>
        <w:tc>
          <w:tcPr>
            <w:tcW w:w="80" w:type="dxa"/>
            <w:vAlign w:val="bottom"/>
          </w:tcPr>
          <w:p>
            <w:pPr>
              <w:spacing w:after="0"/>
              <w:rPr>
                <w:sz w:val="24"/>
                <w:szCs w:val="24"/>
                <w:color w:val="auto"/>
              </w:rPr>
            </w:pPr>
          </w:p>
        </w:tc>
        <w:tc>
          <w:tcPr>
            <w:tcW w:w="160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r>
      <w:tr>
        <w:trPr>
          <w:trHeight w:val="302"/>
        </w:trPr>
        <w:tc>
          <w:tcPr>
            <w:tcW w:w="62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540" w:type="dxa"/>
            <w:vAlign w:val="bottom"/>
            <w:tcBorders>
              <w:bottom w:val="single" w:sz="8" w:color="2C6937"/>
            </w:tcBorders>
          </w:tcPr>
          <w:p>
            <w:pPr>
              <w:jc w:val="right"/>
              <w:ind w:right="13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(2,104)</w:t>
            </w:r>
          </w:p>
        </w:tc>
        <w:tc>
          <w:tcPr>
            <w:tcW w:w="80" w:type="dxa"/>
            <w:vAlign w:val="bottom"/>
          </w:tcPr>
          <w:p>
            <w:pPr>
              <w:spacing w:after="0"/>
              <w:rPr>
                <w:sz w:val="24"/>
                <w:szCs w:val="24"/>
                <w:color w:val="auto"/>
              </w:rPr>
            </w:pPr>
          </w:p>
        </w:tc>
        <w:tc>
          <w:tcPr>
            <w:tcW w:w="1600" w:type="dxa"/>
            <w:vAlign w:val="bottom"/>
            <w:tcBorders>
              <w:bottom w:val="single" w:sz="8" w:color="2C6937"/>
            </w:tcBorders>
          </w:tcPr>
          <w:p>
            <w:pPr>
              <w:jc w:val="right"/>
              <w:ind w:right="140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(1,856)</w:t>
            </w:r>
          </w:p>
        </w:tc>
      </w:tr>
      <w:tr>
        <w:trPr>
          <w:trHeight w:val="20"/>
        </w:trPr>
        <w:tc>
          <w:tcPr>
            <w:tcW w:w="62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r>
      <w:tr>
        <w:trPr>
          <w:trHeight w:val="287"/>
        </w:trPr>
        <w:tc>
          <w:tcPr>
            <w:tcW w:w="634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0"/>
        </w:trPr>
        <w:tc>
          <w:tcPr>
            <w:tcW w:w="634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540" w:type="dxa"/>
            <w:vAlign w:val="bottom"/>
          </w:tcPr>
          <w:p>
            <w:pPr>
              <w:jc w:val="right"/>
              <w:ind w:right="13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(8,730)</w:t>
            </w:r>
          </w:p>
        </w:tc>
        <w:tc>
          <w:tcPr>
            <w:tcW w:w="80" w:type="dxa"/>
            <w:vAlign w:val="bottom"/>
          </w:tcPr>
          <w:p>
            <w:pPr>
              <w:spacing w:after="0"/>
              <w:rPr>
                <w:sz w:val="24"/>
                <w:szCs w:val="24"/>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(11,347)</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5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b w:val="1"/>
                <w:bCs w:val="1"/>
                <w:color w:val="auto"/>
              </w:rPr>
              <w:t>182</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(176)</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5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b w:val="1"/>
                <w:bCs w:val="1"/>
                <w:color w:val="auto"/>
              </w:rPr>
              <w:t>248</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279</w:t>
            </w:r>
          </w:p>
        </w:tc>
      </w:tr>
      <w:tr>
        <w:trPr>
          <w:trHeight w:val="309"/>
        </w:trPr>
        <w:tc>
          <w:tcPr>
            <w:tcW w:w="634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(79)</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303"/>
        </w:trPr>
        <w:tc>
          <w:tcPr>
            <w:tcW w:w="624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15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1600" w:type="dxa"/>
            <w:vAlign w:val="bottom"/>
            <w:tcBorders>
              <w:bottom w:val="single" w:sz="8" w:color="2C6937"/>
            </w:tcBorders>
          </w:tcPr>
          <w:p>
            <w:pPr>
              <w:spacing w:after="0"/>
              <w:rPr>
                <w:sz w:val="24"/>
                <w:szCs w:val="24"/>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r>
      <w:tr>
        <w:trPr>
          <w:trHeight w:val="302"/>
        </w:trPr>
        <w:tc>
          <w:tcPr>
            <w:tcW w:w="634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540" w:type="dxa"/>
            <w:vAlign w:val="bottom"/>
          </w:tcPr>
          <w:p>
            <w:pPr>
              <w:jc w:val="right"/>
              <w:ind w:right="13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(8,379)</w:t>
            </w:r>
          </w:p>
        </w:tc>
        <w:tc>
          <w:tcPr>
            <w:tcW w:w="80" w:type="dxa"/>
            <w:vAlign w:val="bottom"/>
          </w:tcPr>
          <w:p>
            <w:pPr>
              <w:spacing w:after="0"/>
              <w:rPr>
                <w:sz w:val="24"/>
                <w:szCs w:val="24"/>
                <w:color w:val="auto"/>
              </w:rPr>
            </w:pPr>
          </w:p>
        </w:tc>
        <w:tc>
          <w:tcPr>
            <w:tcW w:w="1600" w:type="dxa"/>
            <w:vAlign w:val="bottom"/>
          </w:tcPr>
          <w:p>
            <w:pPr>
              <w:jc w:val="right"/>
              <w:ind w:right="140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(11,335)</w:t>
            </w:r>
          </w:p>
        </w:tc>
      </w:tr>
      <w:tr>
        <w:trPr>
          <w:trHeight w:val="20"/>
        </w:trPr>
        <w:tc>
          <w:tcPr>
            <w:tcW w:w="6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benefit or provision for loan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 volume and effectiveness of our loss mitigation activities, including forbearances and loan modifications, the volume of foreclosures completed, and the volume and pricing of loans redesignated from HFI to HFS. Our benefit or provision can also be impacted by updates to the models, assumptions, and data used in determining our allowance for loan losses.</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single-family benefit for loan losses in the first quarter of 2024 was primarily driven by a benefit from forecasted home price growth, partially offset by a provision from changes in loan activity and a provision from actual and projected interest rates, as described below:</w:t>
      </w:r>
    </w:p>
    <w:p>
      <w:pPr>
        <w:spacing w:after="0" w:line="15" w:lineRule="exact"/>
        <w:rPr>
          <w:sz w:val="20"/>
          <w:szCs w:val="20"/>
          <w:color w:val="auto"/>
        </w:rPr>
      </w:pPr>
    </w:p>
    <w:p>
      <w:pPr>
        <w:ind w:left="620" w:right="40" w:hanging="307"/>
        <w:spacing w:after="0" w:line="281" w:lineRule="auto"/>
        <w:tabs>
          <w:tab w:leader="none" w:pos="612"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first quarter of 2024, we observed stronger-than-expected forecasted home price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Higher home prices decrease the likelihood that loans will default and reduce the amount of losses on loans that do default, which impacts our estimate of losses and ultimately reduces our loss reserves and 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348615</wp:posOffset>
            </wp:positionV>
            <wp:extent cx="68059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2" w:name="page83"/>
    <w:bookmarkEnd w:id="82"/>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right="140" w:hanging="307"/>
        <w:spacing w:after="0" w:line="271" w:lineRule="auto"/>
        <w:tabs>
          <w:tab w:leader="none" w:pos="612"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Provision from changes in loan activity, which includes provision on newly acquired loans</w:t>
      </w:r>
      <w:r>
        <w:rPr>
          <w:rFonts w:ascii="Arial" w:cs="Arial" w:eastAsia="Arial" w:hAnsi="Arial"/>
          <w:sz w:val="16"/>
          <w:szCs w:val="16"/>
          <w:color w:val="auto"/>
        </w:rPr>
        <w:t>. This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2024 single-family acquisitions, which primarily consisted of purchase loans. Purchase loans generally have higher origination LTV ratios than refinance loans; therefore, purchase loans have a higher estimated risk of default and loss severity in the allowance than refinance loans and a correspondingly higher loan loss provision at the time of acquisition.</w:t>
      </w:r>
    </w:p>
    <w:p>
      <w:pPr>
        <w:spacing w:after="0" w:line="58" w:lineRule="exact"/>
        <w:rPr>
          <w:rFonts w:ascii="Arial" w:cs="Arial" w:eastAsia="Arial" w:hAnsi="Arial"/>
          <w:sz w:val="16"/>
          <w:szCs w:val="16"/>
          <w:color w:val="auto"/>
        </w:rPr>
      </w:pPr>
    </w:p>
    <w:p>
      <w:pPr>
        <w:ind w:left="620" w:hanging="307"/>
        <w:spacing w:after="0" w:line="272" w:lineRule="auto"/>
        <w:tabs>
          <w:tab w:leader="none" w:pos="612"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actual and projected interest rates. </w:t>
      </w:r>
      <w:r>
        <w:rPr>
          <w:rFonts w:ascii="Arial" w:cs="Arial" w:eastAsia="Arial" w:hAnsi="Arial"/>
          <w:sz w:val="16"/>
          <w:szCs w:val="16"/>
          <w:color w:val="auto"/>
        </w:rPr>
        <w:t>Actual and projected interest rates increased in the first quarter of 2024 compared with our prior</w:t>
      </w:r>
      <w:r>
        <w:rPr>
          <w:rFonts w:ascii="Arial" w:cs="Arial" w:eastAsia="Arial" w:hAnsi="Arial"/>
          <w:sz w:val="16"/>
          <w:szCs w:val="16"/>
          <w:i w:val="1"/>
          <w:iCs w:val="1"/>
          <w:color w:val="auto"/>
        </w:rPr>
        <w:t xml:space="preserve"> </w:t>
      </w:r>
      <w:r>
        <w:rPr>
          <w:rFonts w:ascii="Arial" w:cs="Arial" w:eastAsia="Arial" w:hAnsi="Arial"/>
          <w:sz w:val="16"/>
          <w:szCs w:val="16"/>
          <w:color w:val="auto"/>
        </w:rPr>
        <w:t>forecast. As mortgage rates increase, we expect a decrease in future prepayments on single-family loans. Lower expected prepayments extend the expected life of the loan, which increases our expectation of loan losses.</w:t>
      </w:r>
    </w:p>
    <w:p>
      <w:pPr>
        <w:spacing w:after="0" w:line="58"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We recognized a modest single-family benefit for loan losses in the first quarter of 2023, primarily driven by a benefit from actual and forecasted home price growth, substantially offset by a provision on newly acquired loans, as described in more detail below:</w:t>
      </w:r>
    </w:p>
    <w:p>
      <w:pPr>
        <w:spacing w:after="0" w:line="27" w:lineRule="exact"/>
        <w:rPr>
          <w:sz w:val="20"/>
          <w:szCs w:val="20"/>
          <w:color w:val="auto"/>
        </w:rPr>
      </w:pPr>
    </w:p>
    <w:p>
      <w:pPr>
        <w:ind w:left="620" w:right="140" w:hanging="307"/>
        <w:spacing w:after="0" w:line="293" w:lineRule="auto"/>
        <w:tabs>
          <w:tab w:leader="none" w:pos="612"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Benefit from actual and forecasted home price growth</w:t>
      </w:r>
      <w:r>
        <w:rPr>
          <w:rFonts w:ascii="Arial" w:cs="Arial" w:eastAsia="Arial" w:hAnsi="Arial"/>
          <w:sz w:val="16"/>
          <w:szCs w:val="16"/>
          <w:color w:val="auto"/>
        </w:rPr>
        <w:t>. During the first quarter of 2023, we observed modest actual home price appreciation.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our updated 2023 home price forecast changed from our prior estimate, resulting in a lower estimate of home price declines for the year.</w:t>
      </w:r>
    </w:p>
    <w:p>
      <w:pPr>
        <w:spacing w:after="0" w:line="40"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from changes in loan activity, which includes provision on newly acquired loan</w:t>
      </w:r>
      <w:r>
        <w:rPr>
          <w:rFonts w:ascii="Arial" w:cs="Arial" w:eastAsia="Arial" w:hAnsi="Arial"/>
          <w:sz w:val="16"/>
          <w:szCs w:val="16"/>
          <w:color w:val="auto"/>
        </w:rPr>
        <w:t>s. This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2023 single-family acquisitions, as described in our quarterly report on Form 10-Q for the quarter ended March 31, 2023.</w:t>
      </w:r>
    </w:p>
    <w:p>
      <w:pPr>
        <w:spacing w:after="0" w:line="4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multifamily provision for loan losses in the first quarter of 2024 was primarily driven by continued declines in actual and projected multifamily property values, which includes an adjustment of $150 million to supplement model results relating to property value uncertainty, as well as increases in actual and projected interest rates compared to our prior forecast. Our forecast of multifamily property value estimates further declines in the near term offset by a long-term improvement.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primary factors that contributed to our multifamily provision for loan losses for the first quarter of 2023 were:</w:t>
      </w:r>
    </w:p>
    <w:p>
      <w:pPr>
        <w:spacing w:after="0" w:line="138" w:lineRule="exact"/>
        <w:rPr>
          <w:sz w:val="20"/>
          <w:szCs w:val="20"/>
          <w:color w:val="auto"/>
        </w:rPr>
      </w:pPr>
    </w:p>
    <w:p>
      <w:pPr>
        <w:ind w:left="620" w:right="20" w:hanging="307"/>
        <w:spacing w:after="0" w:line="293" w:lineRule="auto"/>
        <w:tabs>
          <w:tab w:leader="none" w:pos="612"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Provision for actual and projected economic dat</w:t>
      </w:r>
      <w:r>
        <w:rPr>
          <w:rFonts w:ascii="Arial" w:cs="Arial" w:eastAsia="Arial" w:hAnsi="Arial"/>
          <w:sz w:val="16"/>
          <w:szCs w:val="16"/>
          <w:color w:val="auto"/>
        </w:rPr>
        <w:t>a, which was primarily driven by decreases in actual and projected multifamily property values. This</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in higher estimated LTV ratios, which increased our estimate of expected loan losses.</w:t>
      </w:r>
    </w:p>
    <w:p>
      <w:pPr>
        <w:spacing w:after="0" w:line="53" w:lineRule="exact"/>
        <w:rPr>
          <w:rFonts w:ascii="Arial" w:cs="Arial" w:eastAsia="Arial" w:hAnsi="Arial"/>
          <w:sz w:val="16"/>
          <w:szCs w:val="16"/>
          <w:color w:val="auto"/>
        </w:rPr>
      </w:pPr>
    </w:p>
    <w:p>
      <w:pPr>
        <w:ind w:left="620" w:right="260" w:hanging="307"/>
        <w:spacing w:after="0" w:line="310" w:lineRule="auto"/>
        <w:tabs>
          <w:tab w:leader="none" w:pos="612"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Pr</w:t>
      </w:r>
      <w:r>
        <w:rPr>
          <w:rFonts w:ascii="Arial" w:cs="Arial" w:eastAsia="Arial" w:hAnsi="Arial"/>
          <w:sz w:val="16"/>
          <w:szCs w:val="16"/>
          <w:color w:val="auto"/>
        </w:rPr>
        <w:t>o</w:t>
      </w:r>
      <w:r>
        <w:rPr>
          <w:rFonts w:ascii="Arial" w:cs="Arial" w:eastAsia="Arial" w:hAnsi="Arial"/>
          <w:sz w:val="16"/>
          <w:szCs w:val="16"/>
          <w:i w:val="1"/>
          <w:iCs w:val="1"/>
          <w:color w:val="auto"/>
        </w:rPr>
        <w:t>vision relating to our multifamily seniors housing loans</w:t>
      </w:r>
      <w:r>
        <w:rPr>
          <w:rFonts w:ascii="Arial" w:cs="Arial" w:eastAsia="Arial" w:hAnsi="Arial"/>
          <w:sz w:val="16"/>
          <w:szCs w:val="16"/>
          <w:color w:val="auto"/>
        </w:rPr>
        <w:t>. In the first quarter of 2023, uncertainty related to our seniors housing loans remained</w:t>
      </w:r>
      <w:r>
        <w:rPr>
          <w:rFonts w:ascii="Arial" w:cs="Arial" w:eastAsia="Arial" w:hAnsi="Arial"/>
          <w:sz w:val="16"/>
          <w:szCs w:val="16"/>
          <w:i w:val="1"/>
          <w:iCs w:val="1"/>
          <w:color w:val="auto"/>
        </w:rPr>
        <w:t xml:space="preserve"> </w:t>
      </w:r>
      <w:r>
        <w:rPr>
          <w:rFonts w:ascii="Arial" w:cs="Arial" w:eastAsia="Arial" w:hAnsi="Arial"/>
          <w:sz w:val="16"/>
          <w:szCs w:val="16"/>
          <w:color w:val="auto"/>
        </w:rPr>
        <w:t>elevated, including uncertainty related to adjustable-rate loans.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these factors was partially offset by the following, which reduced our multifamily provision for loan loss:</w:t>
      </w:r>
    </w:p>
    <w:p>
      <w:pPr>
        <w:spacing w:after="0" w:line="87" w:lineRule="exact"/>
        <w:rPr>
          <w:sz w:val="20"/>
          <w:szCs w:val="20"/>
          <w:color w:val="auto"/>
        </w:rPr>
      </w:pPr>
    </w:p>
    <w:p>
      <w:pPr>
        <w:ind w:left="620" w:right="540" w:hanging="307"/>
        <w:spacing w:after="0" w:line="293" w:lineRule="auto"/>
        <w:tabs>
          <w:tab w:leader="none" w:pos="612"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projected interest rates. </w:t>
      </w:r>
      <w:r>
        <w:rPr>
          <w:rFonts w:ascii="Arial" w:cs="Arial" w:eastAsia="Arial" w:hAnsi="Arial"/>
          <w:sz w:val="16"/>
          <w:szCs w:val="16"/>
          <w:color w:val="auto"/>
        </w:rPr>
        <w:t>Actual and projected interest rates decreased in the first quarter of 2023, which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probability of default resulting in a benefit for loan losses.</w:t>
      </w:r>
    </w:p>
    <w:p>
      <w:pPr>
        <w:spacing w:after="0" w:line="54"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color w:val="auto"/>
        </w:rPr>
        <w:t>Multifamily write-offs for the first quarter of 2023 were due to write-offs on a seniors housing portfolio. The seniors housing loans in our multifamily book had been disproportionately affected by the COVID-19 pandemic and ongoing economic trends, higher operating costs exacerbated by the increase in inflation, and higher short-term interest rates for adjustable-rate mortgages, resulting in increased costs for these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3" w:name="page84"/>
    <w:bookmarkEnd w:id="83"/>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Trading Securities</w:t>
      </w:r>
    </w:p>
    <w:p>
      <w:pPr>
        <w:spacing w:after="0" w:line="68"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color w:val="auto"/>
        </w:rPr>
        <w:t>Trading securities are recorded at fair value with subsequent changes in fair value recorded as “Fair value gains, net” in our condensed consolidated statements of operations and comprehensive income. The following table displays our investments in trading securities.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2080" w:type="dxa"/>
            <w:vAlign w:val="bottom"/>
            <w:tcBorders>
              <w:bottom w:val="single" w:sz="8" w:color="2C6937"/>
            </w:tcBorders>
            <w:gridSpan w:val="4"/>
          </w:tcPr>
          <w:p>
            <w:pPr>
              <w:jc w:val="right"/>
              <w:ind w:right="103"/>
              <w:spacing w:after="0"/>
              <w:rPr>
                <w:sz w:val="20"/>
                <w:szCs w:val="20"/>
                <w:color w:val="auto"/>
              </w:rPr>
            </w:pPr>
            <w:r>
              <w:rPr>
                <w:rFonts w:ascii="Arial" w:cs="Arial" w:eastAsia="Arial" w:hAnsi="Arial"/>
                <w:sz w:val="14"/>
                <w:szCs w:val="14"/>
                <w:b w:val="1"/>
                <w:bCs w:val="1"/>
                <w:color w:val="auto"/>
              </w:rPr>
              <w:t>As of</w:t>
            </w:r>
          </w:p>
        </w:tc>
        <w:tc>
          <w:tcPr>
            <w:tcW w:w="17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407"/>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gridSpan w:val="2"/>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700" w:type="dxa"/>
            <w:vAlign w:val="bottom"/>
            <w:tcBorders>
              <w:bottom w:val="single" w:sz="8" w:color="2C6937"/>
            </w:tcBorders>
          </w:tcPr>
          <w:p>
            <w:pPr>
              <w:jc w:val="right"/>
              <w:ind w:right="265"/>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4"/>
        </w:trPr>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5"/>
          </w:tcPr>
          <w:p>
            <w:pPr>
              <w:jc w:val="right"/>
              <w:ind w:right="1385"/>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Mortgage-related securities (includes $343 million and $364 million, respectively, related to</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140" w:type="dxa"/>
            <w:vAlign w:val="bottom"/>
            <w:gridSpan w:val="2"/>
          </w:tcPr>
          <w:p>
            <w:pPr>
              <w:ind w:left="180"/>
              <w:spacing w:after="0"/>
              <w:rPr>
                <w:sz w:val="20"/>
                <w:szCs w:val="20"/>
                <w:color w:val="auto"/>
              </w:rPr>
            </w:pPr>
            <w:r>
              <w:rPr>
                <w:rFonts w:ascii="Arial" w:cs="Arial" w:eastAsia="Arial" w:hAnsi="Arial"/>
                <w:sz w:val="15"/>
                <w:szCs w:val="15"/>
                <w:color w:val="auto"/>
              </w:rPr>
              <w:t>consolidated trusts)</w:t>
            </w:r>
          </w:p>
        </w:tc>
        <w:tc>
          <w:tcPr>
            <w:tcW w:w="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ind w:right="7"/>
              <w:spacing w:after="0"/>
              <w:rPr>
                <w:sz w:val="20"/>
                <w:szCs w:val="20"/>
                <w:color w:val="auto"/>
              </w:rPr>
            </w:pPr>
            <w:r>
              <w:rPr>
                <w:rFonts w:ascii="Arial" w:cs="Arial" w:eastAsia="Arial" w:hAnsi="Arial"/>
                <w:sz w:val="15"/>
                <w:szCs w:val="15"/>
                <w:b w:val="1"/>
                <w:bCs w:val="1"/>
                <w:color w:val="auto"/>
              </w:rPr>
              <w:t>1,714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4,770</w:t>
            </w:r>
          </w:p>
        </w:tc>
        <w:tc>
          <w:tcPr>
            <w:tcW w:w="0" w:type="dxa"/>
            <w:vAlign w:val="bottom"/>
          </w:tcPr>
          <w:p>
            <w:pPr>
              <w:spacing w:after="0"/>
              <w:rPr>
                <w:sz w:val="1"/>
                <w:szCs w:val="1"/>
                <w:color w:val="auto"/>
              </w:rPr>
            </w:pPr>
          </w:p>
        </w:tc>
      </w:tr>
      <w:tr>
        <w:trPr>
          <w:trHeight w:val="154"/>
        </w:trPr>
        <w:tc>
          <w:tcPr>
            <w:tcW w:w="7140" w:type="dxa"/>
            <w:vAlign w:val="bottom"/>
            <w:gridSpan w:val="2"/>
          </w:tcPr>
          <w:p>
            <w:pPr>
              <w:ind w:left="20"/>
              <w:spacing w:after="0" w:line="154" w:lineRule="exact"/>
              <w:rPr>
                <w:sz w:val="20"/>
                <w:szCs w:val="20"/>
                <w:color w:val="auto"/>
              </w:rPr>
            </w:pPr>
            <w:r>
              <w:rPr>
                <w:rFonts w:ascii="Arial" w:cs="Arial" w:eastAsia="Arial" w:hAnsi="Arial"/>
                <w:sz w:val="15"/>
                <w:szCs w:val="15"/>
                <w:color w:val="auto"/>
              </w:rPr>
              <w:t>Non-mortgage-related securities (includes $4.9 billion and $5.7 billion, respectively, pledged as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auto"/>
              </w:rPr>
              <w:t>47,647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47,782</w:t>
            </w:r>
          </w:p>
        </w:tc>
        <w:tc>
          <w:tcPr>
            <w:tcW w:w="0" w:type="dxa"/>
            <w:vAlign w:val="bottom"/>
          </w:tcPr>
          <w:p>
            <w:pPr>
              <w:spacing w:after="0"/>
              <w:rPr>
                <w:sz w:val="1"/>
                <w:szCs w:val="1"/>
                <w:color w:val="auto"/>
              </w:rPr>
            </w:pPr>
          </w:p>
        </w:tc>
      </w:tr>
      <w:tr>
        <w:trPr>
          <w:trHeight w:val="206"/>
        </w:trPr>
        <w:tc>
          <w:tcPr>
            <w:tcW w:w="7040" w:type="dxa"/>
            <w:vAlign w:val="bottom"/>
            <w:tcBorders>
              <w:bottom w:val="single" w:sz="8" w:color="2C6937"/>
            </w:tcBorders>
          </w:tcPr>
          <w:p>
            <w:pPr>
              <w:ind w:left="180"/>
              <w:spacing w:after="0" w:line="207" w:lineRule="exact"/>
              <w:rPr>
                <w:sz w:val="20"/>
                <w:szCs w:val="20"/>
                <w:color w:val="auto"/>
              </w:rPr>
            </w:pPr>
            <w:r>
              <w:rPr>
                <w:rFonts w:ascii="Arial" w:cs="Arial" w:eastAsia="Arial" w:hAnsi="Arial"/>
                <w:sz w:val="15"/>
                <w:szCs w:val="15"/>
                <w:color w:val="auto"/>
              </w:rPr>
              <w:t>collateral)</w:t>
            </w:r>
            <w:r>
              <w:rPr>
                <w:rFonts w:ascii="Arial" w:cs="Arial" w:eastAsia="Arial" w:hAnsi="Arial"/>
                <w:sz w:val="20"/>
                <w:szCs w:val="20"/>
                <w:color w:val="auto"/>
                <w:vertAlign w:val="superscript"/>
              </w:rPr>
              <w:t>(1)</w:t>
            </w:r>
          </w:p>
        </w:tc>
        <w:tc>
          <w:tcPr>
            <w:tcW w:w="10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70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40" w:type="dxa"/>
            <w:vAlign w:val="bottom"/>
            <w:gridSpan w:val="2"/>
          </w:tcPr>
          <w:p>
            <w:pPr>
              <w:ind w:left="120"/>
              <w:spacing w:after="0"/>
              <w:rPr>
                <w:sz w:val="20"/>
                <w:szCs w:val="20"/>
                <w:color w:val="auto"/>
              </w:rPr>
            </w:pPr>
            <w:r>
              <w:rPr>
                <w:rFonts w:ascii="Arial" w:cs="Arial" w:eastAsia="Arial" w:hAnsi="Arial"/>
                <w:sz w:val="15"/>
                <w:szCs w:val="15"/>
                <w:color w:val="auto"/>
              </w:rPr>
              <w:t>Total trading securities</w:t>
            </w:r>
          </w:p>
        </w:tc>
        <w:tc>
          <w:tcPr>
            <w:tcW w:w="3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ind w:right="7"/>
              <w:spacing w:after="0"/>
              <w:rPr>
                <w:sz w:val="20"/>
                <w:szCs w:val="20"/>
                <w:color w:val="auto"/>
              </w:rPr>
            </w:pPr>
            <w:r>
              <w:rPr>
                <w:rFonts w:ascii="Arial" w:cs="Arial" w:eastAsia="Arial" w:hAnsi="Arial"/>
                <w:sz w:val="15"/>
                <w:szCs w:val="15"/>
                <w:b w:val="1"/>
                <w:bCs w:val="1"/>
                <w:color w:val="auto"/>
              </w:rPr>
              <w:t>49,361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52,552</w:t>
            </w:r>
          </w:p>
        </w:tc>
        <w:tc>
          <w:tcPr>
            <w:tcW w:w="0" w:type="dxa"/>
            <w:vAlign w:val="bottom"/>
          </w:tcPr>
          <w:p>
            <w:pPr>
              <w:spacing w:after="0"/>
              <w:rPr>
                <w:sz w:val="1"/>
                <w:szCs w:val="1"/>
                <w:color w:val="auto"/>
              </w:rPr>
            </w:pPr>
          </w:p>
        </w:tc>
      </w:tr>
      <w:tr>
        <w:trPr>
          <w:trHeight w:val="20"/>
        </w:trPr>
        <w:tc>
          <w:tcPr>
            <w:tcW w:w="70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7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140" w:type="dxa"/>
            <w:vAlign w:val="bottom"/>
            <w:gridSpan w:val="2"/>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3"/>
                <w:szCs w:val="13"/>
                <w:color w:val="auto"/>
              </w:rPr>
              <w:t>Primarily includes U.S. Treasury securities.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140" w:type="dxa"/>
            <w:vAlign w:val="bottom"/>
            <w:gridSpan w:val="2"/>
          </w:tcPr>
          <w:p>
            <w:pPr>
              <w:spacing w:after="0"/>
              <w:rPr>
                <w:sz w:val="20"/>
                <w:szCs w:val="20"/>
                <w:color w:val="auto"/>
              </w:rPr>
            </w:pPr>
            <w:r>
              <w:rPr>
                <w:rFonts w:ascii="Arial" w:cs="Arial" w:eastAsia="Arial" w:hAnsi="Arial"/>
                <w:sz w:val="16"/>
                <w:szCs w:val="16"/>
                <w:color w:val="auto"/>
              </w:rPr>
              <w:t>The following table displays information about our net trading gains (losses).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3780" w:type="dxa"/>
            <w:vAlign w:val="bottom"/>
            <w:tcBorders>
              <w:bottom w:val="single" w:sz="8" w:color="2C6937"/>
            </w:tcBorders>
            <w:gridSpan w:val="5"/>
          </w:tcPr>
          <w:p>
            <w:pPr>
              <w:jc w:val="right"/>
              <w:ind w:right="665"/>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6"/>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66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700" w:type="dxa"/>
            <w:vAlign w:val="bottom"/>
            <w:tcBorders>
              <w:bottom w:val="single" w:sz="8" w:color="2C6937"/>
            </w:tcBorders>
          </w:tcPr>
          <w:p>
            <w:pPr>
              <w:jc w:val="right"/>
              <w:ind w:right="72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5"/>
          </w:tcPr>
          <w:p>
            <w:pPr>
              <w:jc w:val="right"/>
              <w:ind w:right="1345"/>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14"/>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Net trading gains (losses)</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(261)</w:t>
            </w:r>
          </w:p>
        </w:tc>
        <w:tc>
          <w:tcPr>
            <w:tcW w:w="1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746</w:t>
            </w:r>
          </w:p>
        </w:tc>
        <w:tc>
          <w:tcPr>
            <w:tcW w:w="0" w:type="dxa"/>
            <w:vAlign w:val="bottom"/>
          </w:tcPr>
          <w:p>
            <w:pPr>
              <w:spacing w:after="0"/>
              <w:rPr>
                <w:sz w:val="1"/>
                <w:szCs w:val="1"/>
                <w:color w:val="auto"/>
              </w:rPr>
            </w:pPr>
          </w:p>
        </w:tc>
      </w:tr>
      <w:tr>
        <w:trPr>
          <w:trHeight w:val="232"/>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Net trading gains (losses) recognized in the period related to securities still held at period end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(242)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799</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Available-for-Sale Securities</w:t>
      </w:r>
    </w:p>
    <w:p>
      <w:pPr>
        <w:spacing w:after="0" w:line="6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record AFS securities at fair value with unrealized gains and losses, recorded net of tax, as a component of “Other comprehensive income” and we recognize realized gains and losses from the sale of AFS securities in “Investment gains (losses), net” in our condensed consolidated statements of operations and comprehensive income. We define the amortized cost basis of our AFS securities as unpaid principal balance, net of unamortized premiums and discounts, and other cost basis adjustments. We record an allowance for credit losses for AFS securities that reflects the impairment for credit losses, which are limited to the amount that fair value is less than the amortized cost. Impairment due to non-credit losses are recorded as unrealized losses within “Other comprehensive income.”</w:t>
      </w:r>
    </w:p>
    <w:p>
      <w:pPr>
        <w:spacing w:after="0" w:line="41"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The following tables display the amortized cost, allowance for credit losses, gross unrealized gains and losses in accumulated other comprehensive income (loss) (“AOCI”), and fair value by major security type for AFS securities.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40" w:type="dxa"/>
            <w:vAlign w:val="bottom"/>
            <w:tcBorders>
              <w:bottom w:val="single" w:sz="8" w:color="2C6937"/>
            </w:tcBorders>
          </w:tcPr>
          <w:p>
            <w:pPr>
              <w:spacing w:after="0"/>
              <w:rPr>
                <w:sz w:val="16"/>
                <w:szCs w:val="16"/>
                <w:color w:val="auto"/>
              </w:rPr>
            </w:pPr>
          </w:p>
        </w:tc>
        <w:tc>
          <w:tcPr>
            <w:tcW w:w="1680" w:type="dxa"/>
            <w:vAlign w:val="bottom"/>
            <w:tcBorders>
              <w:bottom w:val="single" w:sz="8" w:color="2C6937"/>
            </w:tcBorders>
            <w:gridSpan w:val="4"/>
          </w:tcPr>
          <w:p>
            <w:pPr>
              <w:jc w:val="center"/>
              <w:ind w:right="100"/>
              <w:spacing w:after="0"/>
              <w:rPr>
                <w:sz w:val="20"/>
                <w:szCs w:val="20"/>
                <w:color w:val="auto"/>
              </w:rPr>
            </w:pPr>
            <w:r>
              <w:rPr>
                <w:rFonts w:ascii="Arial" w:cs="Arial" w:eastAsia="Arial" w:hAnsi="Arial"/>
                <w:sz w:val="14"/>
                <w:szCs w:val="14"/>
                <w:b w:val="1"/>
                <w:bCs w:val="1"/>
                <w:color w:val="auto"/>
                <w:w w:val="96"/>
              </w:rPr>
              <w:t>As of March 31, 2024</w:t>
            </w:r>
          </w:p>
        </w:tc>
        <w:tc>
          <w:tcPr>
            <w:tcW w:w="1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Amortized</w:t>
            </w:r>
          </w:p>
        </w:tc>
        <w:tc>
          <w:tcPr>
            <w:tcW w:w="120" w:type="dxa"/>
            <w:vAlign w:val="bottom"/>
          </w:tcPr>
          <w:p>
            <w:pPr>
              <w:spacing w:after="0"/>
              <w:rPr>
                <w:sz w:val="15"/>
                <w:szCs w:val="15"/>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Allowance for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Gross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126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8"/>
              </w:rPr>
              <w:t>Unrealized</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spacing w:after="0"/>
              <w:rPr>
                <w:sz w:val="20"/>
                <w:szCs w:val="20"/>
                <w:color w:val="auto"/>
              </w:rPr>
            </w:pPr>
            <w:r>
              <w:rPr>
                <w:rFonts w:ascii="Arial" w:cs="Arial" w:eastAsia="Arial" w:hAnsi="Arial"/>
                <w:sz w:val="14"/>
                <w:szCs w:val="14"/>
                <w:b w:val="1"/>
                <w:bCs w:val="1"/>
                <w:color w:val="auto"/>
              </w:rPr>
              <w:t>Credit Losses</w:t>
            </w:r>
          </w:p>
        </w:tc>
        <w:tc>
          <w:tcPr>
            <w:tcW w:w="2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320" w:type="dxa"/>
            <w:vAlign w:val="bottom"/>
            <w:tcBorders>
              <w:bottom w:val="single" w:sz="8" w:color="2C6937"/>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Gains in AOCI</w:t>
            </w:r>
          </w:p>
        </w:tc>
        <w:tc>
          <w:tcPr>
            <w:tcW w:w="1420" w:type="dxa"/>
            <w:vAlign w:val="bottom"/>
            <w:tcBorders>
              <w:bottom w:val="single" w:sz="8" w:color="2C6937"/>
            </w:tcBorders>
            <w:gridSpan w:val="3"/>
          </w:tcPr>
          <w:p>
            <w:pPr>
              <w:jc w:val="center"/>
              <w:ind w:right="280"/>
              <w:spacing w:after="0"/>
              <w:rPr>
                <w:sz w:val="20"/>
                <w:szCs w:val="20"/>
                <w:color w:val="auto"/>
              </w:rPr>
            </w:pPr>
            <w:r>
              <w:rPr>
                <w:rFonts w:ascii="Arial" w:cs="Arial" w:eastAsia="Arial" w:hAnsi="Arial"/>
                <w:sz w:val="14"/>
                <w:szCs w:val="14"/>
                <w:b w:val="1"/>
                <w:bCs w:val="1"/>
                <w:color w:val="auto"/>
                <w:w w:val="98"/>
              </w:rPr>
              <w:t>Losses in AOCI</w:t>
            </w:r>
          </w:p>
        </w:tc>
        <w:tc>
          <w:tcPr>
            <w:tcW w:w="11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40" w:type="dxa"/>
            <w:vAlign w:val="bottom"/>
            <w:gridSpan w:val="2"/>
          </w:tcPr>
          <w:p>
            <w:pPr>
              <w:ind w:left="20"/>
              <w:spacing w:after="0"/>
              <w:rPr>
                <w:sz w:val="20"/>
                <w:szCs w:val="20"/>
                <w:color w:val="auto"/>
              </w:rPr>
            </w:pPr>
            <w:r>
              <w:rPr>
                <w:rFonts w:ascii="Arial" w:cs="Arial" w:eastAsia="Arial" w:hAnsi="Arial"/>
                <w:sz w:val="15"/>
                <w:szCs w:val="15"/>
                <w:color w:val="auto"/>
              </w:rPr>
              <w:t>Agency securities</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395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ind w:left="80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center"/>
              <w:ind w:left="586"/>
              <w:spacing w:after="0"/>
              <w:rPr>
                <w:sz w:val="20"/>
                <w:szCs w:val="20"/>
                <w:color w:val="auto"/>
              </w:rPr>
            </w:pPr>
            <w:r>
              <w:rPr>
                <w:rFonts w:ascii="Arial" w:cs="Arial" w:eastAsia="Arial" w:hAnsi="Arial"/>
                <w:sz w:val="15"/>
                <w:szCs w:val="15"/>
                <w:color w:val="auto"/>
              </w:rPr>
              <w:t>(29)</w:t>
            </w:r>
          </w:p>
        </w:tc>
        <w:tc>
          <w:tcPr>
            <w:tcW w:w="280" w:type="dxa"/>
            <w:vAlign w:val="bottom"/>
          </w:tcPr>
          <w:p>
            <w:pPr>
              <w:spacing w:after="0"/>
              <w:rPr>
                <w:sz w:val="17"/>
                <w:szCs w:val="17"/>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367</w:t>
            </w:r>
          </w:p>
        </w:tc>
        <w:tc>
          <w:tcPr>
            <w:tcW w:w="0" w:type="dxa"/>
            <w:vAlign w:val="bottom"/>
          </w:tcPr>
          <w:p>
            <w:pPr>
              <w:spacing w:after="0"/>
              <w:rPr>
                <w:sz w:val="1"/>
                <w:szCs w:val="1"/>
                <w:color w:val="auto"/>
              </w:rPr>
            </w:pPr>
          </w:p>
        </w:tc>
      </w:tr>
      <w:tr>
        <w:trPr>
          <w:trHeight w:val="207"/>
        </w:trPr>
        <w:tc>
          <w:tcPr>
            <w:tcW w:w="4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152</w:t>
            </w:r>
          </w:p>
        </w:tc>
        <w:tc>
          <w:tcPr>
            <w:tcW w:w="26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ind w:left="820"/>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2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center"/>
              <w:ind w:left="6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99"/>
        </w:trPr>
        <w:tc>
          <w:tcPr>
            <w:tcW w:w="444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547</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(2)</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19</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center"/>
              <w:ind w:left="586"/>
              <w:spacing w:after="0"/>
              <w:rPr>
                <w:sz w:val="20"/>
                <w:szCs w:val="20"/>
                <w:color w:val="auto"/>
              </w:rPr>
            </w:pPr>
            <w:r>
              <w:rPr>
                <w:rFonts w:ascii="Arial" w:cs="Arial" w:eastAsia="Arial" w:hAnsi="Arial"/>
                <w:sz w:val="15"/>
                <w:szCs w:val="15"/>
                <w:color w:val="auto"/>
              </w:rPr>
              <w:t>(29)</w:t>
            </w:r>
          </w:p>
        </w:tc>
        <w:tc>
          <w:tcPr>
            <w:tcW w:w="280" w:type="dxa"/>
            <w:vAlign w:val="bottom"/>
          </w:tcPr>
          <w:p>
            <w:pPr>
              <w:spacing w:after="0"/>
              <w:rPr>
                <w:sz w:val="17"/>
                <w:szCs w:val="17"/>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20"/>
        </w:trPr>
        <w:tc>
          <w:tcPr>
            <w:tcW w:w="43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433705</wp:posOffset>
            </wp:positionV>
            <wp:extent cx="68059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4" w:name="page85"/>
    <w:bookmarkEnd w:id="84"/>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700" w:type="dxa"/>
            <w:vAlign w:val="bottom"/>
            <w:tcBorders>
              <w:bottom w:val="single" w:sz="8" w:color="2C6937"/>
            </w:tcBorders>
            <w:gridSpan w:val="5"/>
          </w:tcPr>
          <w:p>
            <w:pPr>
              <w:jc w:val="center"/>
              <w:ind w:right="80"/>
              <w:spacing w:after="0"/>
              <w:rPr>
                <w:sz w:val="20"/>
                <w:szCs w:val="20"/>
                <w:color w:val="auto"/>
              </w:rPr>
            </w:pPr>
            <w:r>
              <w:rPr>
                <w:rFonts w:ascii="Arial" w:cs="Arial" w:eastAsia="Arial" w:hAnsi="Arial"/>
                <w:sz w:val="14"/>
                <w:szCs w:val="14"/>
                <w:b w:val="1"/>
                <w:bCs w:val="1"/>
                <w:color w:val="auto"/>
                <w:w w:val="98"/>
              </w:rPr>
              <w:t>As of December 31, 2023</w:t>
            </w:r>
          </w:p>
        </w:tc>
        <w:tc>
          <w:tcPr>
            <w:tcW w:w="1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Amortized</w:t>
            </w:r>
          </w:p>
        </w:tc>
        <w:tc>
          <w:tcPr>
            <w:tcW w:w="120" w:type="dxa"/>
            <w:vAlign w:val="bottom"/>
          </w:tcPr>
          <w:p>
            <w:pPr>
              <w:spacing w:after="0"/>
              <w:rPr>
                <w:sz w:val="15"/>
                <w:szCs w:val="15"/>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Gross</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3"/>
                <w:szCs w:val="13"/>
                <w:color w:val="auto"/>
              </w:rPr>
            </w:pPr>
          </w:p>
        </w:tc>
        <w:tc>
          <w:tcPr>
            <w:tcW w:w="12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5"/>
              </w:rPr>
              <w:t>Unrealized</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385"/>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Borders>
              <w:bottom w:val="single" w:sz="8" w:color="2C6937"/>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jc w:val="center"/>
              <w:ind w:right="47"/>
              <w:spacing w:after="0"/>
              <w:rPr>
                <w:sz w:val="20"/>
                <w:szCs w:val="20"/>
                <w:color w:val="auto"/>
              </w:rPr>
            </w:pPr>
            <w:r>
              <w:rPr>
                <w:rFonts w:ascii="Arial" w:cs="Arial" w:eastAsia="Arial" w:hAnsi="Arial"/>
                <w:sz w:val="14"/>
                <w:szCs w:val="14"/>
                <w:b w:val="1"/>
                <w:bCs w:val="1"/>
                <w:color w:val="auto"/>
                <w:w w:val="97"/>
              </w:rPr>
              <w:t>Gains in AOCI</w:t>
            </w:r>
          </w:p>
        </w:tc>
        <w:tc>
          <w:tcPr>
            <w:tcW w:w="260" w:type="dxa"/>
            <w:vAlign w:val="bottom"/>
          </w:tcPr>
          <w:p>
            <w:pPr>
              <w:spacing w:after="0"/>
              <w:rPr>
                <w:sz w:val="17"/>
                <w:szCs w:val="17"/>
                <w:color w:val="auto"/>
              </w:rPr>
            </w:pPr>
          </w:p>
        </w:tc>
        <w:tc>
          <w:tcPr>
            <w:tcW w:w="116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6"/>
              </w:rPr>
              <w:t>Losses in AOCI</w:t>
            </w:r>
          </w:p>
        </w:tc>
        <w:tc>
          <w:tcPr>
            <w:tcW w:w="260" w:type="dxa"/>
            <w:vAlign w:val="bottom"/>
          </w:tcPr>
          <w:p>
            <w:pPr>
              <w:spacing w:after="0"/>
              <w:rPr>
                <w:sz w:val="17"/>
                <w:szCs w:val="17"/>
                <w:color w:val="auto"/>
              </w:rPr>
            </w:pPr>
          </w:p>
        </w:tc>
        <w:tc>
          <w:tcPr>
            <w:tcW w:w="1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224"/>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Agency securities</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405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ind w:left="820"/>
              <w:spacing w:after="0"/>
              <w:rPr>
                <w:sz w:val="20"/>
                <w:szCs w:val="20"/>
                <w:color w:val="auto"/>
              </w:rPr>
            </w:pPr>
            <w:r>
              <w:rPr>
                <w:rFonts w:ascii="Arial" w:cs="Arial" w:eastAsia="Arial" w:hAnsi="Arial"/>
                <w:sz w:val="15"/>
                <w:szCs w:val="15"/>
                <w:color w:val="auto"/>
              </w:rPr>
              <w:t>—</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center"/>
              <w:ind w:left="586"/>
              <w:spacing w:after="0"/>
              <w:rPr>
                <w:sz w:val="20"/>
                <w:szCs w:val="20"/>
                <w:color w:val="auto"/>
              </w:rPr>
            </w:pPr>
            <w:r>
              <w:rPr>
                <w:rFonts w:ascii="Arial" w:cs="Arial" w:eastAsia="Arial" w:hAnsi="Arial"/>
                <w:sz w:val="15"/>
                <w:szCs w:val="15"/>
                <w:color w:val="auto"/>
                <w:w w:val="97"/>
              </w:rPr>
              <w:t>(29)</w:t>
            </w:r>
          </w:p>
        </w:tc>
        <w:tc>
          <w:tcPr>
            <w:tcW w:w="260" w:type="dxa"/>
            <w:vAlign w:val="bottom"/>
          </w:tcPr>
          <w:p>
            <w:pPr>
              <w:spacing w:after="0"/>
              <w:rPr>
                <w:sz w:val="17"/>
                <w:szCs w:val="17"/>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377</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2C6937"/>
            </w:tcBorders>
          </w:tcPr>
          <w:p>
            <w:pPr>
              <w:ind w:left="40"/>
              <w:spacing w:after="0"/>
              <w:rPr>
                <w:sz w:val="20"/>
                <w:szCs w:val="20"/>
                <w:color w:val="auto"/>
              </w:rPr>
            </w:pPr>
            <w:r>
              <w:rPr>
                <w:rFonts w:ascii="Arial" w:cs="Arial" w:eastAsia="Arial" w:hAnsi="Arial"/>
                <w:sz w:val="15"/>
                <w:szCs w:val="15"/>
                <w:color w:val="auto"/>
              </w:rPr>
              <w:t>Other mortgage-related securities</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179</w:t>
            </w:r>
          </w:p>
        </w:tc>
        <w:tc>
          <w:tcPr>
            <w:tcW w:w="26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ind w:left="820"/>
              <w:spacing w:after="0"/>
              <w:rPr>
                <w:sz w:val="20"/>
                <w:szCs w:val="20"/>
                <w:color w:val="auto"/>
              </w:rPr>
            </w:pPr>
            <w:r>
              <w:rPr>
                <w:rFonts w:ascii="Arial" w:cs="Arial" w:eastAsia="Arial" w:hAnsi="Arial"/>
                <w:sz w:val="15"/>
                <w:szCs w:val="15"/>
                <w:color w:val="auto"/>
                <w:w w:val="97"/>
              </w:rPr>
              <w:t>(2)</w:t>
            </w:r>
          </w:p>
        </w:tc>
        <w:tc>
          <w:tcPr>
            <w:tcW w:w="20" w:type="dxa"/>
            <w:vAlign w:val="bottom"/>
            <w:tcBorders>
              <w:bottom w:val="single" w:sz="8" w:color="2C6937"/>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center"/>
              <w:ind w:left="60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99"/>
        </w:trPr>
        <w:tc>
          <w:tcPr>
            <w:tcW w:w="446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584</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ind w:left="820"/>
              <w:spacing w:after="0"/>
              <w:rPr>
                <w:sz w:val="20"/>
                <w:szCs w:val="20"/>
                <w:color w:val="auto"/>
              </w:rPr>
            </w:pPr>
            <w:r>
              <w:rPr>
                <w:rFonts w:ascii="Arial" w:cs="Arial" w:eastAsia="Arial" w:hAnsi="Arial"/>
                <w:sz w:val="15"/>
                <w:szCs w:val="15"/>
                <w:color w:val="auto"/>
                <w:w w:val="97"/>
              </w:rPr>
              <w:t>(2)</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center"/>
              <w:ind w:left="586"/>
              <w:spacing w:after="0"/>
              <w:rPr>
                <w:sz w:val="20"/>
                <w:szCs w:val="20"/>
                <w:color w:val="auto"/>
              </w:rPr>
            </w:pPr>
            <w:r>
              <w:rPr>
                <w:rFonts w:ascii="Arial" w:cs="Arial" w:eastAsia="Arial" w:hAnsi="Arial"/>
                <w:sz w:val="15"/>
                <w:szCs w:val="15"/>
                <w:color w:val="auto"/>
                <w:w w:val="97"/>
              </w:rPr>
              <w:t>(29)</w:t>
            </w:r>
          </w:p>
        </w:tc>
        <w:tc>
          <w:tcPr>
            <w:tcW w:w="260" w:type="dxa"/>
            <w:vAlign w:val="bottom"/>
          </w:tcPr>
          <w:p>
            <w:pPr>
              <w:spacing w:after="0"/>
              <w:rPr>
                <w:sz w:val="17"/>
                <w:szCs w:val="17"/>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20"/>
        </w:trPr>
        <w:tc>
          <w:tcPr>
            <w:tcW w:w="4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Agency securities consist of securities issued by us, Freddie Mac, or Ginnie Mae. The principal and interest on these securities are guaranteed by the issuing agency. We believe that the guaranty provided by the issuing agency, the support provided to the agencies by the U.S. government, the importance of the agencies to the liquidity and stability in the secondary mortgage market, and the long history of zero credit losses on agency mortgage-related securities are all indicators that there are currently no credit losses on these securities, even if the security is in an unrealized loss position. In addition, we generally hold these securities that are in an unrealized loss position to recovery. As a result, unless we intend to sell the security, we do not recognize an allowance for credit losses on agency mortgage-related securities.</w:t>
      </w:r>
    </w:p>
    <w:p>
      <w:pPr>
        <w:spacing w:after="0" w:line="67"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 following table displays additional information regarding gross unrealized losses and fair value by major security type for AFS securities in an unrealized loss position, excluding allowance for credit losses.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4"/>
          </w:tcPr>
          <w:p>
            <w:pPr>
              <w:jc w:val="center"/>
              <w:ind w:left="246"/>
              <w:spacing w:after="0"/>
              <w:rPr>
                <w:sz w:val="20"/>
                <w:szCs w:val="20"/>
                <w:color w:val="auto"/>
              </w:rPr>
            </w:pPr>
            <w:r>
              <w:rPr>
                <w:rFonts w:ascii="Arial" w:cs="Arial" w:eastAsia="Arial" w:hAnsi="Arial"/>
                <w:sz w:val="14"/>
                <w:szCs w:val="14"/>
                <w:b w:val="1"/>
                <w:bCs w:val="1"/>
                <w:color w:val="auto"/>
                <w:w w:val="97"/>
              </w:rPr>
              <w:t>As of</w:t>
            </w: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840" w:type="dxa"/>
            <w:vAlign w:val="bottom"/>
            <w:tcBorders>
              <w:bottom w:val="single" w:sz="8" w:color="2C6937"/>
            </w:tcBorders>
            <w:gridSpan w:val="7"/>
          </w:tcPr>
          <w:p>
            <w:pPr>
              <w:ind w:left="120"/>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7"/>
          </w:tcPr>
          <w:p>
            <w:pPr>
              <w:ind w:left="6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80" w:type="dxa"/>
            <w:vAlign w:val="bottom"/>
          </w:tcPr>
          <w:p>
            <w:pPr>
              <w:spacing w:after="0"/>
              <w:rPr>
                <w:sz w:val="15"/>
                <w:szCs w:val="15"/>
                <w:color w:val="auto"/>
              </w:rPr>
            </w:pPr>
          </w:p>
        </w:tc>
        <w:tc>
          <w:tcPr>
            <w:tcW w:w="1940" w:type="dxa"/>
            <w:vAlign w:val="bottom"/>
            <w:gridSpan w:val="7"/>
          </w:tcPr>
          <w:p>
            <w:pPr>
              <w:jc w:val="right"/>
              <w:ind w:right="25"/>
              <w:spacing w:after="0"/>
              <w:rPr>
                <w:sz w:val="20"/>
                <w:szCs w:val="20"/>
                <w:color w:val="auto"/>
              </w:rPr>
            </w:pPr>
            <w:r>
              <w:rPr>
                <w:rFonts w:ascii="Arial" w:cs="Arial" w:eastAsia="Arial" w:hAnsi="Arial"/>
                <w:sz w:val="14"/>
                <w:szCs w:val="14"/>
                <w:b w:val="1"/>
                <w:bCs w:val="1"/>
                <w:color w:val="auto"/>
              </w:rPr>
              <w:t>Less Than 12 Consecutive</w:t>
            </w:r>
          </w:p>
        </w:tc>
        <w:tc>
          <w:tcPr>
            <w:tcW w:w="100" w:type="dxa"/>
            <w:vAlign w:val="bottom"/>
          </w:tcPr>
          <w:p>
            <w:pPr>
              <w:spacing w:after="0"/>
              <w:rPr>
                <w:sz w:val="15"/>
                <w:szCs w:val="15"/>
                <w:color w:val="auto"/>
              </w:rPr>
            </w:pPr>
          </w:p>
        </w:tc>
        <w:tc>
          <w:tcPr>
            <w:tcW w:w="1960" w:type="dxa"/>
            <w:vAlign w:val="bottom"/>
            <w:gridSpan w:val="7"/>
          </w:tcPr>
          <w:p>
            <w:pPr>
              <w:jc w:val="right"/>
              <w:ind w:right="46"/>
              <w:spacing w:after="0"/>
              <w:rPr>
                <w:sz w:val="20"/>
                <w:szCs w:val="20"/>
                <w:color w:val="auto"/>
              </w:rPr>
            </w:pPr>
            <w:r>
              <w:rPr>
                <w:rFonts w:ascii="Arial" w:cs="Arial" w:eastAsia="Arial" w:hAnsi="Arial"/>
                <w:sz w:val="14"/>
                <w:szCs w:val="14"/>
                <w:b w:val="1"/>
                <w:bCs w:val="1"/>
                <w:color w:val="auto"/>
              </w:rPr>
              <w:t>12 Consecutive Months or</w:t>
            </w:r>
          </w:p>
        </w:tc>
        <w:tc>
          <w:tcPr>
            <w:tcW w:w="100" w:type="dxa"/>
            <w:vAlign w:val="bottom"/>
          </w:tcPr>
          <w:p>
            <w:pPr>
              <w:spacing w:after="0"/>
              <w:rPr>
                <w:sz w:val="15"/>
                <w:szCs w:val="15"/>
                <w:color w:val="auto"/>
              </w:rPr>
            </w:pPr>
          </w:p>
        </w:tc>
        <w:tc>
          <w:tcPr>
            <w:tcW w:w="1920" w:type="dxa"/>
            <w:vAlign w:val="bottom"/>
            <w:gridSpan w:val="7"/>
          </w:tcPr>
          <w:p>
            <w:pPr>
              <w:jc w:val="right"/>
              <w:ind w:right="25"/>
              <w:spacing w:after="0"/>
              <w:rPr>
                <w:sz w:val="20"/>
                <w:szCs w:val="20"/>
                <w:color w:val="auto"/>
              </w:rPr>
            </w:pPr>
            <w:r>
              <w:rPr>
                <w:rFonts w:ascii="Arial" w:cs="Arial" w:eastAsia="Arial" w:hAnsi="Arial"/>
                <w:sz w:val="14"/>
                <w:szCs w:val="14"/>
                <w:b w:val="1"/>
                <w:bCs w:val="1"/>
                <w:color w:val="auto"/>
              </w:rPr>
              <w:t>Less Than 12 Consecutive</w:t>
            </w:r>
          </w:p>
        </w:tc>
        <w:tc>
          <w:tcPr>
            <w:tcW w:w="120" w:type="dxa"/>
            <w:vAlign w:val="bottom"/>
          </w:tcPr>
          <w:p>
            <w:pPr>
              <w:spacing w:after="0"/>
              <w:rPr>
                <w:sz w:val="15"/>
                <w:szCs w:val="15"/>
                <w:color w:val="auto"/>
              </w:rPr>
            </w:pPr>
          </w:p>
        </w:tc>
        <w:tc>
          <w:tcPr>
            <w:tcW w:w="1920" w:type="dxa"/>
            <w:vAlign w:val="bottom"/>
            <w:gridSpan w:val="7"/>
          </w:tcPr>
          <w:p>
            <w:pPr>
              <w:jc w:val="right"/>
              <w:ind w:right="23"/>
              <w:spacing w:after="0"/>
              <w:rPr>
                <w:sz w:val="20"/>
                <w:szCs w:val="20"/>
                <w:color w:val="auto"/>
              </w:rPr>
            </w:pPr>
            <w:r>
              <w:rPr>
                <w:rFonts w:ascii="Arial" w:cs="Arial" w:eastAsia="Arial" w:hAnsi="Arial"/>
                <w:sz w:val="14"/>
                <w:szCs w:val="14"/>
                <w:b w:val="1"/>
                <w:bCs w:val="1"/>
                <w:color w:val="auto"/>
              </w:rPr>
              <w:t>12 Consecutive Months or</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4"/>
          </w:tcPr>
          <w:p>
            <w:pPr>
              <w:ind w:left="440"/>
              <w:spacing w:after="0"/>
              <w:rPr>
                <w:sz w:val="20"/>
                <w:szCs w:val="20"/>
                <w:color w:val="auto"/>
              </w:rPr>
            </w:pPr>
            <w:r>
              <w:rPr>
                <w:rFonts w:ascii="Arial" w:cs="Arial" w:eastAsia="Arial" w:hAnsi="Arial"/>
                <w:sz w:val="14"/>
                <w:szCs w:val="14"/>
                <w:b w:val="1"/>
                <w:bCs w:val="1"/>
                <w:color w:val="auto"/>
              </w:rPr>
              <w:t>Months</w:t>
            </w:r>
          </w:p>
        </w:tc>
        <w:tc>
          <w:tcPr>
            <w:tcW w:w="5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4"/>
          </w:tcPr>
          <w:p>
            <w:pPr>
              <w:jc w:val="right"/>
              <w:ind w:right="26"/>
              <w:spacing w:after="0"/>
              <w:rPr>
                <w:sz w:val="20"/>
                <w:szCs w:val="20"/>
                <w:color w:val="auto"/>
              </w:rPr>
            </w:pPr>
            <w:r>
              <w:rPr>
                <w:rFonts w:ascii="Arial" w:cs="Arial" w:eastAsia="Arial" w:hAnsi="Arial"/>
                <w:sz w:val="14"/>
                <w:szCs w:val="14"/>
                <w:b w:val="1"/>
                <w:bCs w:val="1"/>
                <w:color w:val="auto"/>
              </w:rPr>
              <w:t>Longer</w:t>
            </w:r>
          </w:p>
        </w:tc>
        <w:tc>
          <w:tcPr>
            <w:tcW w:w="6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4"/>
          </w:tcPr>
          <w:p>
            <w:pPr>
              <w:ind w:left="440"/>
              <w:spacing w:after="0"/>
              <w:rPr>
                <w:sz w:val="20"/>
                <w:szCs w:val="20"/>
                <w:color w:val="auto"/>
              </w:rPr>
            </w:pPr>
            <w:r>
              <w:rPr>
                <w:rFonts w:ascii="Arial" w:cs="Arial" w:eastAsia="Arial" w:hAnsi="Arial"/>
                <w:sz w:val="14"/>
                <w:szCs w:val="14"/>
                <w:b w:val="1"/>
                <w:bCs w:val="1"/>
                <w:color w:val="auto"/>
              </w:rPr>
              <w:t>Months</w:t>
            </w:r>
          </w:p>
        </w:tc>
        <w:tc>
          <w:tcPr>
            <w:tcW w:w="62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gridSpan w:val="4"/>
          </w:tcPr>
          <w:p>
            <w:pPr>
              <w:jc w:val="right"/>
              <w:ind w:right="146"/>
              <w:spacing w:after="0"/>
              <w:rPr>
                <w:sz w:val="20"/>
                <w:szCs w:val="20"/>
                <w:color w:val="auto"/>
              </w:rPr>
            </w:pPr>
            <w:r>
              <w:rPr>
                <w:rFonts w:ascii="Arial" w:cs="Arial" w:eastAsia="Arial" w:hAnsi="Arial"/>
                <w:sz w:val="14"/>
                <w:szCs w:val="14"/>
                <w:b w:val="1"/>
                <w:bCs w:val="1"/>
                <w:color w:val="auto"/>
              </w:rPr>
              <w:t>Longer</w:t>
            </w:r>
          </w:p>
        </w:tc>
        <w:tc>
          <w:tcPr>
            <w:tcW w:w="5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Gross</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780" w:type="dxa"/>
            <w:vAlign w:val="bottom"/>
            <w:gridSpan w:val="2"/>
            <w:vMerge w:val="restart"/>
          </w:tcPr>
          <w:p>
            <w:pPr>
              <w:jc w:val="right"/>
              <w:ind w:right="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jc w:val="center"/>
              <w:ind w:right="240"/>
              <w:spacing w:after="0" w:line="130" w:lineRule="exact"/>
              <w:rPr>
                <w:sz w:val="20"/>
                <w:szCs w:val="20"/>
                <w:color w:val="auto"/>
              </w:rPr>
            </w:pPr>
            <w:r>
              <w:rPr>
                <w:rFonts w:ascii="Arial" w:cs="Arial" w:eastAsia="Arial" w:hAnsi="Arial"/>
                <w:sz w:val="14"/>
                <w:szCs w:val="14"/>
                <w:b w:val="1"/>
                <w:bCs w:val="1"/>
                <w:color w:val="auto"/>
                <w:w w:val="98"/>
              </w:rPr>
              <w:t>Unrealized</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100" w:type="dxa"/>
            <w:vAlign w:val="bottom"/>
          </w:tcPr>
          <w:p>
            <w:pPr>
              <w:spacing w:after="0"/>
              <w:rPr>
                <w:sz w:val="16"/>
                <w:szCs w:val="16"/>
                <w:color w:val="auto"/>
              </w:rPr>
            </w:pPr>
          </w:p>
        </w:tc>
        <w:tc>
          <w:tcPr>
            <w:tcW w:w="780" w:type="dxa"/>
            <w:vAlign w:val="bottom"/>
            <w:tcBorders>
              <w:bottom w:val="single" w:sz="8" w:color="2C6937"/>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6"/>
              </w:rPr>
              <w:t>Losses in AOCI</w:t>
            </w:r>
          </w:p>
        </w:tc>
        <w:tc>
          <w:tcPr>
            <w:tcW w:w="100" w:type="dxa"/>
            <w:vAlign w:val="bottom"/>
          </w:tcPr>
          <w:p>
            <w:pPr>
              <w:spacing w:after="0"/>
              <w:rPr>
                <w:sz w:val="16"/>
                <w:szCs w:val="16"/>
                <w:color w:val="auto"/>
              </w:rPr>
            </w:pPr>
          </w:p>
        </w:tc>
        <w:tc>
          <w:tcPr>
            <w:tcW w:w="780" w:type="dxa"/>
            <w:vAlign w:val="bottom"/>
            <w:tcBorders>
              <w:bottom w:val="single" w:sz="8" w:color="2C6937"/>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100" w:type="dxa"/>
            <w:vAlign w:val="bottom"/>
          </w:tcPr>
          <w:p>
            <w:pPr>
              <w:spacing w:after="0"/>
              <w:rPr>
                <w:sz w:val="16"/>
                <w:szCs w:val="16"/>
                <w:color w:val="auto"/>
              </w:rPr>
            </w:pPr>
          </w:p>
        </w:tc>
        <w:tc>
          <w:tcPr>
            <w:tcW w:w="760" w:type="dxa"/>
            <w:vAlign w:val="bottom"/>
            <w:tcBorders>
              <w:bottom w:val="single" w:sz="8" w:color="2C6937"/>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100" w:type="dxa"/>
            <w:vAlign w:val="bottom"/>
          </w:tcPr>
          <w:p>
            <w:pPr>
              <w:spacing w:after="0"/>
              <w:rPr>
                <w:sz w:val="16"/>
                <w:szCs w:val="16"/>
                <w:color w:val="auto"/>
              </w:rPr>
            </w:pPr>
          </w:p>
        </w:tc>
        <w:tc>
          <w:tcPr>
            <w:tcW w:w="760" w:type="dxa"/>
            <w:vAlign w:val="bottom"/>
            <w:tcBorders>
              <w:bottom w:val="single" w:sz="8" w:color="2C6937"/>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6"/>
              </w:rPr>
              <w:t>(Dollars in millions)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5"/>
                <w:szCs w:val="15"/>
                <w:color w:val="auto"/>
              </w:rPr>
              <w:t>Agency securities</w:t>
            </w:r>
          </w:p>
        </w:tc>
        <w:tc>
          <w:tcPr>
            <w:tcW w:w="28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70</w:t>
            </w:r>
          </w:p>
        </w:tc>
        <w:tc>
          <w:tcPr>
            <w:tcW w:w="4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center"/>
              <w:ind w:left="226"/>
              <w:spacing w:after="0"/>
              <w:rPr>
                <w:sz w:val="20"/>
                <w:szCs w:val="20"/>
                <w:color w:val="auto"/>
              </w:rPr>
            </w:pPr>
            <w:r>
              <w:rPr>
                <w:rFonts w:ascii="Arial" w:cs="Arial" w:eastAsia="Arial" w:hAnsi="Arial"/>
                <w:sz w:val="15"/>
                <w:szCs w:val="15"/>
                <w:b w:val="1"/>
                <w:bCs w:val="1"/>
                <w:color w:val="auto"/>
                <w:w w:val="97"/>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232</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ind w:left="42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center"/>
              <w:ind w:left="246"/>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8"/>
        </w:trPr>
        <w:tc>
          <w:tcPr>
            <w:tcW w:w="3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ind w:left="420"/>
              <w:spacing w:after="0"/>
              <w:rPr>
                <w:sz w:val="20"/>
                <w:szCs w:val="20"/>
                <w:color w:val="auto"/>
              </w:rPr>
            </w:pPr>
            <w:r>
              <w:rPr>
                <w:rFonts w:ascii="Arial" w:cs="Arial" w:eastAsia="Arial" w:hAnsi="Arial"/>
                <w:sz w:val="15"/>
                <w:szCs w:val="15"/>
                <w:b w:val="1"/>
                <w:bCs w:val="1"/>
                <w:color w:val="auto"/>
              </w:rPr>
              <w:t>—</w:t>
            </w:r>
          </w:p>
        </w:tc>
        <w:tc>
          <w:tcPr>
            <w:tcW w:w="240" w:type="dxa"/>
            <w:vAlign w:val="bottom"/>
            <w:gridSpan w:val="2"/>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center"/>
              <w:ind w:left="246"/>
              <w:spacing w:after="0"/>
              <w:rPr>
                <w:sz w:val="20"/>
                <w:szCs w:val="20"/>
                <w:color w:val="auto"/>
              </w:rPr>
            </w:pPr>
            <w:r>
              <w:rPr>
                <w:rFonts w:ascii="Arial" w:cs="Arial" w:eastAsia="Arial" w:hAnsi="Arial"/>
                <w:sz w:val="15"/>
                <w:szCs w:val="15"/>
                <w:b w:val="1"/>
                <w:bCs w:val="1"/>
                <w:color w:val="auto"/>
              </w:rPr>
              <w:t>—</w:t>
            </w:r>
          </w:p>
        </w:tc>
        <w:tc>
          <w:tcPr>
            <w:tcW w:w="240" w:type="dxa"/>
            <w:vAlign w:val="bottom"/>
            <w:gridSpan w:val="2"/>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ind w:left="420"/>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center"/>
              <w:ind w:left="286"/>
              <w:spacing w:after="0"/>
              <w:rPr>
                <w:sz w:val="20"/>
                <w:szCs w:val="20"/>
                <w:color w:val="auto"/>
              </w:rPr>
            </w:pPr>
            <w:r>
              <w:rPr>
                <w:rFonts w:ascii="Arial" w:cs="Arial" w:eastAsia="Arial" w:hAnsi="Arial"/>
                <w:sz w:val="15"/>
                <w:szCs w:val="15"/>
                <w:color w:val="auto"/>
              </w:rPr>
              <w:t>—</w:t>
            </w:r>
          </w:p>
        </w:tc>
        <w:tc>
          <w:tcPr>
            <w:tcW w:w="240" w:type="dxa"/>
            <w:vAlign w:val="bottom"/>
            <w:gridSpan w:val="2"/>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180" w:type="dxa"/>
            <w:vAlign w:val="bottom"/>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ind w:left="420"/>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center"/>
              <w:ind w:left="226"/>
              <w:spacing w:after="0"/>
              <w:rPr>
                <w:sz w:val="20"/>
                <w:szCs w:val="20"/>
                <w:color w:val="auto"/>
              </w:rPr>
            </w:pPr>
            <w:r>
              <w:rPr>
                <w:rFonts w:ascii="Arial" w:cs="Arial" w:eastAsia="Arial" w:hAnsi="Arial"/>
                <w:sz w:val="15"/>
                <w:szCs w:val="15"/>
                <w:b w:val="1"/>
                <w:bCs w:val="1"/>
                <w:color w:val="auto"/>
                <w:w w:val="97"/>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232</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ind w:left="42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center"/>
              <w:ind w:left="246"/>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
        </w:trPr>
        <w:tc>
          <w:tcPr>
            <w:tcW w:w="3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There were no sales of AFS securities in the first quarter of 2024 or the first quarter of 2023. As a result, no gross realized gains (losses) or proceeds from sales were recognized in either 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held no securities classified as held-to-maturity as of March 31, 2024 or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5" w:name="page86"/>
    <w:bookmarkEnd w:id="85"/>
    <w:p>
      <w:pPr>
        <w:ind w:left="6300"/>
        <w:spacing w:after="0"/>
        <w:rPr>
          <w:sz w:val="20"/>
          <w:szCs w:val="20"/>
          <w:color w:val="auto"/>
        </w:rPr>
      </w:pPr>
      <w:r>
        <w:rPr>
          <w:rFonts w:ascii="Arial" w:cs="Arial" w:eastAsia="Arial" w:hAnsi="Arial"/>
          <w:sz w:val="14"/>
          <w:szCs w:val="14"/>
          <w:color w:val="05314D"/>
        </w:rPr>
        <w:t>Notes to Condensed Consolidated Financial Statements | Financial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$212.2 billion and $215.6 billion as of March 31, 2024 and December 31, 2023, respectively.</w:t>
      </w:r>
    </w:p>
    <w:p>
      <w:pPr>
        <w:spacing w:after="0" w:line="4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2023</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Maximum</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Exposure</w:t>
            </w: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2,724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2,661</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2,778</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2,713</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9,102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62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1,959</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9,154</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1,967</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11,826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4,620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11,932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4,680</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line="218" w:lineRule="auto"/>
        <w:tabs>
          <w:tab w:leader="none" w:pos="233"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11, Concentrations of Credit Risk.”</w:t>
      </w:r>
    </w:p>
    <w:p>
      <w:pPr>
        <w:ind w:left="220" w:hanging="217"/>
        <w:spacing w:after="0"/>
        <w:tabs>
          <w:tab w:leader="none" w:pos="22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6" w:name="page87"/>
    <w:bookmarkEnd w:id="86"/>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6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84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2023</w:t>
            </w:r>
          </w:p>
        </w:tc>
      </w:tr>
      <w:tr>
        <w:trPr>
          <w:trHeight w:val="165"/>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5"/>
        </w:trPr>
        <w:tc>
          <w:tcPr>
            <w:tcW w:w="48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Borders>
              <w:bottom w:val="single" w:sz="8" w:color="2C6937"/>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6"/>
                <w:szCs w:val="16"/>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88"/>
              <w:spacing w:after="0"/>
              <w:rPr>
                <w:sz w:val="20"/>
                <w:szCs w:val="20"/>
                <w:color w:val="auto"/>
              </w:rPr>
            </w:pPr>
            <w:r>
              <w:rPr>
                <w:rFonts w:ascii="Arial" w:cs="Arial" w:eastAsia="Arial" w:hAnsi="Arial"/>
                <w:sz w:val="15"/>
                <w:szCs w:val="15"/>
                <w:b w:val="1"/>
                <w:bCs w:val="1"/>
                <w:color w:val="auto"/>
              </w:rPr>
              <w:t>14,285</w:t>
            </w:r>
          </w:p>
        </w:tc>
        <w:tc>
          <w:tcPr>
            <w:tcW w:w="19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5.18 %  </w:t>
            </w:r>
            <w:r>
              <w:rPr>
                <w:rFonts w:ascii="Arial" w:cs="Arial" w:eastAsia="Arial" w:hAnsi="Arial"/>
                <w:sz w:val="15"/>
                <w:szCs w:val="15"/>
                <w:color w:val="auto"/>
              </w:rPr>
              <w:t>$</w:t>
            </w:r>
          </w:p>
        </w:tc>
        <w:tc>
          <w:tcPr>
            <w:tcW w:w="1320" w:type="dxa"/>
            <w:vAlign w:val="bottom"/>
          </w:tcPr>
          <w:p>
            <w:pPr>
              <w:jc w:val="right"/>
              <w:ind w:right="108"/>
              <w:spacing w:after="0"/>
              <w:rPr>
                <w:sz w:val="20"/>
                <w:szCs w:val="20"/>
                <w:color w:val="auto"/>
              </w:rPr>
            </w:pPr>
            <w:r>
              <w:rPr>
                <w:rFonts w:ascii="Arial" w:cs="Arial" w:eastAsia="Arial" w:hAnsi="Arial"/>
                <w:sz w:val="15"/>
                <w:szCs w:val="15"/>
                <w:color w:val="auto"/>
              </w:rPr>
              <w:t>17,314</w:t>
            </w:r>
          </w:p>
        </w:tc>
        <w:tc>
          <w:tcPr>
            <w:tcW w:w="1560" w:type="dxa"/>
            <w:vAlign w:val="bottom"/>
          </w:tcPr>
          <w:p>
            <w:pPr>
              <w:jc w:val="right"/>
              <w:spacing w:after="0"/>
              <w:rPr>
                <w:sz w:val="20"/>
                <w:szCs w:val="20"/>
                <w:color w:val="auto"/>
              </w:rPr>
            </w:pPr>
            <w:r>
              <w:rPr>
                <w:rFonts w:ascii="Arial" w:cs="Arial" w:eastAsia="Arial" w:hAnsi="Arial"/>
                <w:sz w:val="15"/>
                <w:szCs w:val="15"/>
                <w:color w:val="auto"/>
              </w:rPr>
              <w:t>5.13 %</w:t>
            </w:r>
          </w:p>
        </w:tc>
      </w:tr>
    </w:tbl>
    <w:p>
      <w:pPr>
        <w:spacing w:after="0" w:line="102" w:lineRule="exact"/>
        <w:rPr>
          <w:sz w:val="20"/>
          <w:szCs w:val="20"/>
          <w:color w:val="auto"/>
        </w:rPr>
      </w:pPr>
    </w:p>
    <w:p>
      <w:pPr>
        <w:ind w:left="220" w:hanging="217"/>
        <w:spacing w:after="0"/>
        <w:tabs>
          <w:tab w:leader="none" w:pos="220" w:val="left"/>
        </w:tabs>
        <w:numPr>
          <w:ilvl w:val="0"/>
          <w:numId w:val="85"/>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86"/>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w w:val="98"/>
              </w:rPr>
              <w:t>March 31, 2024</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1220" w:type="dxa"/>
            <w:vAlign w:val="bottom"/>
            <w:tcBorders>
              <w:bottom w:val="single" w:sz="8" w:color="2C6937"/>
            </w:tcBorders>
          </w:tcPr>
          <w:p>
            <w:pPr>
              <w:spacing w:after="0"/>
              <w:rPr>
                <w:sz w:val="16"/>
                <w:szCs w:val="16"/>
                <w:color w:val="auto"/>
              </w:rPr>
            </w:pPr>
          </w:p>
        </w:tc>
      </w:tr>
      <w:tr>
        <w:trPr>
          <w:trHeight w:val="165"/>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5"/>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5"/>
              <w:spacing w:after="0"/>
              <w:rPr>
                <w:sz w:val="20"/>
                <w:szCs w:val="20"/>
                <w:color w:val="auto"/>
              </w:rPr>
            </w:pPr>
            <w:r>
              <w:rPr>
                <w:rFonts w:ascii="Arial" w:cs="Arial" w:eastAsia="Arial" w:hAnsi="Arial"/>
                <w:sz w:val="14"/>
                <w:szCs w:val="14"/>
                <w:b w:val="1"/>
                <w:bCs w:val="1"/>
                <w:color w:val="auto"/>
                <w:w w:val="98"/>
              </w:rPr>
              <w:t>Average Interest</w:t>
            </w:r>
          </w:p>
        </w:tc>
      </w:tr>
      <w:tr>
        <w:trPr>
          <w:trHeight w:val="203"/>
        </w:trPr>
        <w:tc>
          <w:tcPr>
            <w:tcW w:w="3500" w:type="dxa"/>
            <w:vAlign w:val="bottom"/>
          </w:tcPr>
          <w:p>
            <w:pPr>
              <w:spacing w:after="0"/>
              <w:rPr>
                <w:sz w:val="17"/>
                <w:szCs w:val="17"/>
                <w:color w:val="auto"/>
              </w:rPr>
            </w:pPr>
          </w:p>
        </w:tc>
        <w:tc>
          <w:tcPr>
            <w:tcW w:w="126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4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jc w:val="right"/>
              <w:ind w:right="144"/>
              <w:spacing w:after="0"/>
              <w:rPr>
                <w:sz w:val="20"/>
                <w:szCs w:val="20"/>
                <w:color w:val="auto"/>
              </w:rPr>
            </w:pPr>
            <w:r>
              <w:rPr>
                <w:rFonts w:ascii="Arial" w:cs="Arial" w:eastAsia="Arial" w:hAnsi="Arial"/>
                <w:sz w:val="14"/>
                <w:szCs w:val="14"/>
                <w:b w:val="1"/>
                <w:bCs w:val="1"/>
                <w:color w:val="auto"/>
                <w:w w:val="99"/>
              </w:rPr>
              <w:t>Outstanding</w:t>
            </w:r>
            <w:r>
              <w:rPr>
                <w:rFonts w:ascii="Arial" w:cs="Arial" w:eastAsia="Arial" w:hAnsi="Arial"/>
                <w:sz w:val="17"/>
                <w:szCs w:val="17"/>
                <w:b w:val="1"/>
                <w:bCs w:val="1"/>
                <w:color w:val="auto"/>
                <w:w w:val="99"/>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ind w:left="12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52,544</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2.90 %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54,727</w:t>
            </w:r>
          </w:p>
        </w:tc>
        <w:tc>
          <w:tcPr>
            <w:tcW w:w="1220" w:type="dxa"/>
            <w:vAlign w:val="bottom"/>
          </w:tcPr>
          <w:p>
            <w:pPr>
              <w:jc w:val="right"/>
              <w:spacing w:after="0"/>
              <w:rPr>
                <w:sz w:val="20"/>
                <w:szCs w:val="20"/>
                <w:color w:val="auto"/>
              </w:rPr>
            </w:pPr>
            <w:r>
              <w:rPr>
                <w:rFonts w:ascii="Arial" w:cs="Arial" w:eastAsia="Arial" w:hAnsi="Arial"/>
                <w:sz w:val="15"/>
                <w:szCs w:val="15"/>
                <w:color w:val="auto"/>
              </w:rPr>
              <w:t>2.79 %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2024 - 2034</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41,950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42,217</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1.58</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2024 - 2038</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6,756</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2024 - 2038</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6,787</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3.98</w:t>
            </w:r>
          </w:p>
        </w:tc>
      </w:tr>
      <w:tr>
        <w:trPr>
          <w:trHeight w:val="200"/>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101,250</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103,731</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2.40</w:t>
            </w:r>
          </w:p>
        </w:tc>
      </w:tr>
      <w:tr>
        <w:trPr>
          <w:trHeight w:val="195"/>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2024 - 2031</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2,593</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2,752</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11.12</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2037</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273</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8.79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268</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8.79</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6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2,866</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10.90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3,020</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10.92</w:t>
            </w:r>
          </w:p>
        </w:tc>
      </w:tr>
      <w:tr>
        <w:trPr>
          <w:trHeight w:val="198"/>
        </w:trPr>
        <w:tc>
          <w:tcPr>
            <w:tcW w:w="3500" w:type="dxa"/>
            <w:vAlign w:val="bottom"/>
          </w:tcPr>
          <w:p>
            <w:pPr>
              <w:ind w:left="20"/>
              <w:spacing w:after="0" w:line="198"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104,116</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106,751</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2.63</w:t>
            </w:r>
          </w:p>
        </w:tc>
      </w:tr>
      <w:tr>
        <w:trPr>
          <w:trHeight w:val="20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2024 - 2063</w:t>
            </w:r>
          </w:p>
        </w:tc>
        <w:tc>
          <w:tcPr>
            <w:tcW w:w="14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4,098,173</w:t>
            </w:r>
          </w:p>
        </w:tc>
        <w:tc>
          <w:tcPr>
            <w:tcW w:w="1220" w:type="dxa"/>
            <w:vAlign w:val="bottom"/>
          </w:tcPr>
          <w:p>
            <w:pPr>
              <w:jc w:val="right"/>
              <w:ind w:right="126"/>
              <w:spacing w:after="0"/>
              <w:rPr>
                <w:sz w:val="20"/>
                <w:szCs w:val="20"/>
                <w:color w:val="auto"/>
              </w:rPr>
            </w:pPr>
            <w:r>
              <w:rPr>
                <w:rFonts w:ascii="Arial" w:cs="Arial" w:eastAsia="Arial" w:hAnsi="Arial"/>
                <w:sz w:val="15"/>
                <w:szCs w:val="15"/>
                <w:b w:val="1"/>
                <w:bCs w:val="1"/>
                <w:color w:val="auto"/>
              </w:rPr>
              <w:t>2.82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2024 - 2062</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4,098,653</w:t>
            </w:r>
          </w:p>
        </w:tc>
        <w:tc>
          <w:tcPr>
            <w:tcW w:w="1220" w:type="dxa"/>
            <w:vAlign w:val="bottom"/>
          </w:tcPr>
          <w:p>
            <w:pPr>
              <w:jc w:val="right"/>
              <w:ind w:right="125"/>
              <w:spacing w:after="0"/>
              <w:rPr>
                <w:sz w:val="20"/>
                <w:szCs w:val="20"/>
                <w:color w:val="auto"/>
              </w:rPr>
            </w:pPr>
            <w:r>
              <w:rPr>
                <w:rFonts w:ascii="Arial" w:cs="Arial" w:eastAsia="Arial" w:hAnsi="Arial"/>
                <w:sz w:val="15"/>
                <w:szCs w:val="15"/>
                <w:color w:val="auto"/>
              </w:rPr>
              <w:t>2.56</w:t>
            </w:r>
          </w:p>
        </w:tc>
      </w:tr>
      <w:tr>
        <w:trPr>
          <w:trHeight w:val="199"/>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60" w:type="dxa"/>
            <w:vAlign w:val="bottom"/>
          </w:tcPr>
          <w:p>
            <w:pPr>
              <w:spacing w:after="0"/>
              <w:rPr>
                <w:sz w:val="17"/>
                <w:szCs w:val="17"/>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4,202,289</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2.81 %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4,205,404</w:t>
            </w:r>
          </w:p>
        </w:tc>
        <w:tc>
          <w:tcPr>
            <w:tcW w:w="1220" w:type="dxa"/>
            <w:vAlign w:val="bottom"/>
          </w:tcPr>
          <w:p>
            <w:pPr>
              <w:jc w:val="right"/>
              <w:spacing w:after="0"/>
              <w:rPr>
                <w:sz w:val="20"/>
                <w:szCs w:val="20"/>
                <w:color w:val="auto"/>
              </w:rPr>
            </w:pPr>
            <w:r>
              <w:rPr>
                <w:rFonts w:ascii="Arial" w:cs="Arial" w:eastAsia="Arial" w:hAnsi="Arial"/>
                <w:sz w:val="15"/>
                <w:szCs w:val="15"/>
                <w:color w:val="auto"/>
              </w:rPr>
              <w:t>2.57 %</w:t>
            </w: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9" w:lineRule="exact"/>
        <w:rPr>
          <w:sz w:val="20"/>
          <w:szCs w:val="20"/>
          <w:color w:val="auto"/>
        </w:rPr>
      </w:pPr>
    </w:p>
    <w:p>
      <w:pPr>
        <w:ind w:left="240" w:right="660" w:hanging="237"/>
        <w:spacing w:after="0" w:line="275" w:lineRule="auto"/>
        <w:tabs>
          <w:tab w:leader="none" w:pos="233" w:val="left"/>
        </w:tabs>
        <w:numPr>
          <w:ilvl w:val="0"/>
          <w:numId w:val="86"/>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20" w:hanging="217"/>
        <w:spacing w:after="0"/>
        <w:tabs>
          <w:tab w:leader="none" w:pos="2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Consists of CAS debt issued prior to November 2018, a portion of which is reported at fair value.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6"/>
        </w:numPr>
        <w:rPr>
          <w:rFonts w:ascii="Arial" w:cs="Arial" w:eastAsia="Arial" w:hAnsi="Arial"/>
          <w:sz w:val="9"/>
          <w:szCs w:val="9"/>
          <w:color w:val="auto"/>
        </w:rPr>
      </w:pPr>
      <w:r>
        <w:rPr>
          <w:rFonts w:ascii="Arial" w:cs="Arial" w:eastAsia="Arial" w:hAnsi="Arial"/>
          <w:sz w:val="14"/>
          <w:szCs w:val="14"/>
          <w:color w:val="auto"/>
        </w:rPr>
        <w:t>Consists of structured debt instruments that are reported at fair value.</w:t>
      </w:r>
    </w:p>
    <w:p>
      <w:pPr>
        <w:spacing w:after="0" w:line="33" w:lineRule="exact"/>
        <w:rPr>
          <w:rFonts w:ascii="Arial" w:cs="Arial" w:eastAsia="Arial" w:hAnsi="Arial"/>
          <w:sz w:val="9"/>
          <w:szCs w:val="9"/>
          <w:color w:val="auto"/>
        </w:rPr>
      </w:pPr>
    </w:p>
    <w:p>
      <w:pPr>
        <w:ind w:left="240" w:right="320" w:hanging="237"/>
        <w:spacing w:after="0" w:line="226" w:lineRule="auto"/>
        <w:tabs>
          <w:tab w:leader="none" w:pos="233"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$4.2 billion and $4.0 billion as of March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7" w:name="page88"/>
    <w:bookmarkEnd w:id="87"/>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9, Derivative Instruments” in our 2023 Form 10-K for additional information on interest-rate risk management.</w:t>
      </w:r>
    </w:p>
    <w:p>
      <w:pPr>
        <w:spacing w:after="0" w:line="4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Fair value amounts, which are (1) netted to the extent a legal right of offset exists and is enforceable by law at the counterparty level and (2) inclusive of the right or obligation associated with the cash collateral posted or received, are recorded in “Other assets” or “Other liabilities” in our condensed consolidated balance sheets. See “Note 13, Fair Value” for additional information on derivatives recorded at fair value. We present cash flows from derivatives as operating activities in our condensed consolidated statements of cash flows.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Hedge Accounting</w:t>
      </w:r>
    </w:p>
    <w:p>
      <w:pPr>
        <w:spacing w:after="0" w:line="8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The objective of our fair value hedges is to reduce GAAP earnings volatility related to changes in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88" w:name="page89"/>
    <w:bookmarkEnd w:id="88"/>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6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gridSpan w:val="6"/>
          </w:tcPr>
          <w:p>
            <w:pPr>
              <w:jc w:val="center"/>
              <w:ind w:right="80"/>
              <w:spacing w:after="0"/>
              <w:rPr>
                <w:sz w:val="20"/>
                <w:szCs w:val="20"/>
                <w:color w:val="auto"/>
              </w:rPr>
            </w:pPr>
            <w:r>
              <w:rPr>
                <w:rFonts w:ascii="Arial" w:cs="Arial" w:eastAsia="Arial" w:hAnsi="Arial"/>
                <w:sz w:val="14"/>
                <w:szCs w:val="14"/>
                <w:b w:val="1"/>
                <w:bCs w:val="1"/>
                <w:color w:val="auto"/>
                <w:w w:val="98"/>
              </w:rPr>
              <w:t>As of March 31, 2024</w:t>
            </w: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2023</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28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71"/>
              <w:spacing w:after="0"/>
              <w:rPr>
                <w:sz w:val="20"/>
                <w:szCs w:val="20"/>
                <w:color w:val="auto"/>
              </w:rPr>
            </w:pPr>
            <w:r>
              <w:rPr>
                <w:rFonts w:ascii="Arial" w:cs="Arial" w:eastAsia="Arial" w:hAnsi="Arial"/>
                <w:sz w:val="14"/>
                <w:szCs w:val="14"/>
                <w:b w:val="1"/>
                <w:bCs w:val="1"/>
                <w:color w:val="auto"/>
              </w:rPr>
              <w:t>Notional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Asset</w:t>
            </w: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Liability</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Asset</w:t>
            </w: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3"/>
          </w:tcPr>
          <w:p>
            <w:pPr>
              <w:jc w:val="center"/>
              <w:ind w:right="380"/>
              <w:spacing w:after="0"/>
              <w:rPr>
                <w:sz w:val="20"/>
                <w:szCs w:val="20"/>
                <w:color w:val="auto"/>
              </w:rPr>
            </w:pPr>
            <w:r>
              <w:rPr>
                <w:rFonts w:ascii="Arial" w:cs="Arial" w:eastAsia="Arial" w:hAnsi="Arial"/>
                <w:sz w:val="14"/>
                <w:szCs w:val="14"/>
                <w:b w:val="1"/>
                <w:bCs w:val="1"/>
                <w:color w:val="auto"/>
                <w:w w:val="98"/>
              </w:rPr>
              <w:t>Derivatives</w:t>
            </w:r>
          </w:p>
        </w:tc>
        <w:tc>
          <w:tcPr>
            <w:tcW w:w="1280" w:type="dxa"/>
            <w:vAlign w:val="bottom"/>
            <w:tcBorders>
              <w:bottom w:val="single" w:sz="8" w:color="2C6937"/>
            </w:tcBorders>
            <w:gridSpan w:val="3"/>
          </w:tcPr>
          <w:p>
            <w:pPr>
              <w:jc w:val="center"/>
              <w:ind w:right="420"/>
              <w:spacing w:after="0"/>
              <w:rPr>
                <w:sz w:val="20"/>
                <w:szCs w:val="20"/>
                <w:color w:val="auto"/>
              </w:rPr>
            </w:pPr>
            <w:r>
              <w:rPr>
                <w:rFonts w:ascii="Arial" w:cs="Arial" w:eastAsia="Arial" w:hAnsi="Arial"/>
                <w:sz w:val="14"/>
                <w:szCs w:val="14"/>
                <w:b w:val="1"/>
                <w:bCs w:val="1"/>
                <w:color w:val="auto"/>
                <w:w w:val="98"/>
              </w:rPr>
              <w:t>Derivatives</w:t>
            </w: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3"/>
          </w:tcPr>
          <w:p>
            <w:pPr>
              <w:jc w:val="center"/>
              <w:ind w:right="420"/>
              <w:spacing w:after="0"/>
              <w:rPr>
                <w:sz w:val="20"/>
                <w:szCs w:val="20"/>
                <w:color w:val="auto"/>
              </w:rPr>
            </w:pPr>
            <w:r>
              <w:rPr>
                <w:rFonts w:ascii="Arial" w:cs="Arial" w:eastAsia="Arial" w:hAnsi="Arial"/>
                <w:sz w:val="14"/>
                <w:szCs w:val="14"/>
                <w:b w:val="1"/>
                <w:bCs w:val="1"/>
                <w:color w:val="auto"/>
                <w:w w:val="96"/>
              </w:rPr>
              <w:t>Derivatives</w:t>
            </w:r>
          </w:p>
        </w:tc>
        <w:tc>
          <w:tcPr>
            <w:tcW w:w="9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9,836</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ind w:left="800"/>
              <w:spacing w:after="0"/>
              <w:rPr>
                <w:sz w:val="20"/>
                <w:szCs w:val="20"/>
                <w:color w:val="auto"/>
              </w:rPr>
            </w:pPr>
            <w:r>
              <w:rPr>
                <w:rFonts w:ascii="Arial" w:cs="Arial" w:eastAsia="Arial" w:hAnsi="Arial"/>
                <w:sz w:val="14"/>
                <w:szCs w:val="14"/>
                <w:b w:val="1"/>
                <w:bCs w:val="1"/>
                <w:color w:val="auto"/>
              </w:rPr>
              <w:t>—   $</w:t>
            </w:r>
          </w:p>
        </w:tc>
        <w:tc>
          <w:tcPr>
            <w:tcW w:w="1280" w:type="dxa"/>
            <w:vAlign w:val="bottom"/>
            <w:gridSpan w:val="3"/>
          </w:tcPr>
          <w:p>
            <w:pPr>
              <w:ind w:left="8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9,954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24,752</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28,587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34,588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38,541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2C6937"/>
            </w:tcBorders>
            <w:vMerge w:val="continue"/>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vMerge w:val="continue"/>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vMerge w:val="continue"/>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148,866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136,648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132,426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115,288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5,816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2,666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84</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290,421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(3,280)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261,016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00" w:type="dxa"/>
            <w:vAlign w:val="bottom"/>
            <w:tcBorders>
              <w:bottom w:val="single" w:sz="8" w:color="2C6937"/>
            </w:tcBorders>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(333)</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3,266</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325,009</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299,557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248" w:right="339" w:bottom="1440" w:gutter="0" w:footer="0" w:header="0"/>
        </w:sectPr>
      </w:pPr>
    </w:p>
    <w:tbl>
      <w:tblPr>
        <w:tblLayout w:type="fixed"/>
        <w:tblInd w:w="0" w:type="dxa"/>
        <w:tblCellMar>
          <w:top w:w="0" w:type="dxa"/>
          <w:left w:w="0" w:type="dxa"/>
          <w:bottom w:w="0" w:type="dxa"/>
          <w:right w:w="0" w:type="dxa"/>
        </w:tblCellMar>
      </w:tblPr>
      <w:tr>
        <w:trPr>
          <w:trHeight w:val="19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17,361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9"/>
                <w:szCs w:val="19"/>
                <w:color w:val="auto"/>
              </w:rPr>
            </w:pP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40,431</w:t>
            </w:r>
          </w:p>
        </w:tc>
        <w:tc>
          <w:tcPr>
            <w:tcW w:w="100" w:type="dxa"/>
            <w:vAlign w:val="bottom"/>
          </w:tcPr>
          <w:p>
            <w:pPr>
              <w:spacing w:after="0"/>
              <w:rPr>
                <w:sz w:val="19"/>
                <w:szCs w:val="19"/>
                <w:color w:val="auto"/>
              </w:rPr>
            </w:pPr>
          </w:p>
        </w:tc>
        <w:tc>
          <w:tcPr>
            <w:tcW w:w="460" w:type="dxa"/>
            <w:vAlign w:val="bottom"/>
            <w:tcBorders>
              <w:bottom w:val="single" w:sz="8" w:color="2C6937"/>
            </w:tcBorders>
          </w:tcPr>
          <w:p>
            <w:pPr>
              <w:spacing w:after="0"/>
              <w:rPr>
                <w:sz w:val="19"/>
                <w:szCs w:val="19"/>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9"/>
                <w:szCs w:val="19"/>
                <w:color w:val="auto"/>
              </w:rPr>
            </w:pPr>
          </w:p>
        </w:tc>
      </w:tr>
      <w:tr>
        <w:trPr>
          <w:trHeight w:val="212"/>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61,097</w:t>
            </w:r>
          </w:p>
        </w:tc>
        <w:tc>
          <w:tcPr>
            <w:tcW w:w="10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18"/>
                <w:szCs w:val="18"/>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28,686</w:t>
            </w:r>
          </w:p>
        </w:tc>
        <w:tc>
          <w:tcPr>
            <w:tcW w:w="100" w:type="dxa"/>
            <w:vAlign w:val="bottom"/>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w:t>
            </w:r>
          </w:p>
        </w:tc>
        <w:tc>
          <w:tcPr>
            <w:tcW w:w="200" w:type="dxa"/>
            <w:vAlign w:val="bottom"/>
          </w:tcPr>
          <w:p>
            <w:pPr>
              <w:spacing w:after="0"/>
              <w:rPr>
                <w:sz w:val="16"/>
                <w:szCs w:val="16"/>
                <w:color w:val="auto"/>
              </w:rPr>
            </w:pPr>
          </w:p>
        </w:tc>
      </w:tr>
      <w:tr>
        <w:trPr>
          <w:trHeight w:val="18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320" w:type="dxa"/>
            <w:vAlign w:val="bottom"/>
          </w:tcPr>
          <w:p>
            <w:pPr>
              <w:jc w:val="right"/>
              <w:ind w:right="171"/>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414,792</w:t>
            </w:r>
          </w:p>
        </w:tc>
        <w:tc>
          <w:tcPr>
            <w:tcW w:w="100" w:type="dxa"/>
            <w:vAlign w:val="bottom"/>
          </w:tcPr>
          <w:p>
            <w:pPr>
              <w:spacing w:after="0"/>
              <w:rPr>
                <w:sz w:val="16"/>
                <w:szCs w:val="16"/>
                <w:color w:val="auto"/>
              </w:rPr>
            </w:pPr>
          </w:p>
        </w:tc>
        <w:tc>
          <w:tcPr>
            <w:tcW w:w="46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87"/>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Pr>
          <w:p>
            <w:pPr>
              <w:jc w:val="right"/>
              <w:ind w:right="71"/>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80" w:type="dxa"/>
            <w:vAlign w:val="bottom"/>
          </w:tcPr>
          <w:p>
            <w:pPr>
              <w:jc w:val="right"/>
              <w:ind w:right="71"/>
              <w:spacing w:after="0"/>
              <w:rPr>
                <w:sz w:val="20"/>
                <w:szCs w:val="20"/>
                <w:color w:val="auto"/>
              </w:rPr>
            </w:pPr>
            <w:r>
              <w:rPr>
                <w:rFonts w:ascii="Arial" w:cs="Arial" w:eastAsia="Arial" w:hAnsi="Arial"/>
                <w:sz w:val="14"/>
                <w:szCs w:val="14"/>
                <w:b w:val="1"/>
                <w:bCs w:val="1"/>
                <w:color w:val="auto"/>
                <w:w w:val="88"/>
              </w:rPr>
              <w:t>(11)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380" w:type="dxa"/>
            <w:vAlign w:val="bottom"/>
          </w:tcPr>
          <w:p>
            <w:pPr>
              <w:jc w:val="right"/>
              <w:ind w:right="71"/>
              <w:spacing w:after="0"/>
              <w:rPr>
                <w:sz w:val="20"/>
                <w:szCs w:val="20"/>
                <w:color w:val="auto"/>
              </w:rPr>
            </w:pPr>
            <w:r>
              <w:rPr>
                <w:rFonts w:ascii="Arial" w:cs="Arial" w:eastAsia="Arial" w:hAnsi="Arial"/>
                <w:sz w:val="14"/>
                <w:szCs w:val="14"/>
                <w:b w:val="1"/>
                <w:bCs w:val="1"/>
                <w:color w:val="auto"/>
                <w:w w:val="88"/>
              </w:rPr>
              <w:t>(39)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43,942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12"/>
        </w:trPr>
        <w:tc>
          <w:tcPr>
            <w:tcW w:w="380" w:type="dxa"/>
            <w:vAlign w:val="bottom"/>
          </w:tcPr>
          <w:p>
            <w:pPr>
              <w:jc w:val="right"/>
              <w:ind w:right="71"/>
              <w:spacing w:after="0"/>
              <w:rPr>
                <w:sz w:val="20"/>
                <w:szCs w:val="20"/>
                <w:color w:val="auto"/>
              </w:rPr>
            </w:pPr>
            <w:r>
              <w:rPr>
                <w:rFonts w:ascii="Arial" w:cs="Arial" w:eastAsia="Arial" w:hAnsi="Arial"/>
                <w:sz w:val="14"/>
                <w:szCs w:val="14"/>
                <w:b w:val="1"/>
                <w:bCs w:val="1"/>
                <w:color w:val="auto"/>
                <w:w w:val="88"/>
              </w:rPr>
              <w:t>(51)</w:t>
            </w:r>
          </w:p>
        </w:tc>
        <w:tc>
          <w:tcPr>
            <w:tcW w:w="3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60,940</w:t>
            </w:r>
          </w:p>
        </w:tc>
        <w:tc>
          <w:tcPr>
            <w:tcW w:w="120" w:type="dxa"/>
            <w:vAlign w:val="bottom"/>
          </w:tcPr>
          <w:p>
            <w:pPr>
              <w:spacing w:after="0"/>
              <w:rPr>
                <w:sz w:val="18"/>
                <w:szCs w:val="18"/>
                <w:color w:val="auto"/>
              </w:rPr>
            </w:pPr>
          </w:p>
        </w:tc>
        <w:tc>
          <w:tcPr>
            <w:tcW w:w="460" w:type="dxa"/>
            <w:vAlign w:val="bottom"/>
            <w:tcBorders>
              <w:top w:val="single" w:sz="8" w:color="2C6937"/>
              <w:bottom w:val="single" w:sz="8" w:color="2C6937"/>
            </w:tcBorders>
          </w:tcPr>
          <w:p>
            <w:pPr>
              <w:spacing w:after="0"/>
              <w:rPr>
                <w:sz w:val="18"/>
                <w:szCs w:val="18"/>
                <w:color w:val="auto"/>
              </w:rPr>
            </w:pP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440" w:type="dxa"/>
            <w:vAlign w:val="bottom"/>
            <w:tcBorders>
              <w:top w:val="single" w:sz="8" w:color="2C6937"/>
              <w:bottom w:val="single" w:sz="8" w:color="2C6937"/>
            </w:tcBorders>
          </w:tcPr>
          <w:p>
            <w:pPr>
              <w:spacing w:after="0"/>
              <w:rPr>
                <w:sz w:val="18"/>
                <w:szCs w:val="18"/>
                <w:color w:val="auto"/>
              </w:rPr>
            </w:pP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(104)</w:t>
            </w:r>
          </w:p>
        </w:tc>
      </w:tr>
      <w:tr>
        <w:trPr>
          <w:trHeight w:val="186"/>
        </w:trPr>
        <w:tc>
          <w:tcPr>
            <w:tcW w:w="380" w:type="dxa"/>
            <w:vAlign w:val="bottom"/>
          </w:tcPr>
          <w:p>
            <w:pPr>
              <w:jc w:val="right"/>
              <w:ind w:right="71"/>
              <w:spacing w:after="0"/>
              <w:rPr>
                <w:sz w:val="20"/>
                <w:szCs w:val="20"/>
                <w:color w:val="auto"/>
              </w:rPr>
            </w:pPr>
            <w:r>
              <w:rPr>
                <w:rFonts w:ascii="Arial" w:cs="Arial" w:eastAsia="Arial" w:hAnsi="Arial"/>
                <w:sz w:val="14"/>
                <w:szCs w:val="14"/>
                <w:b w:val="1"/>
                <w:bCs w:val="1"/>
                <w:color w:val="auto"/>
                <w:w w:val="88"/>
              </w:rPr>
              <w:t>(13)</w:t>
            </w:r>
          </w:p>
        </w:tc>
        <w:tc>
          <w:tcPr>
            <w:tcW w:w="3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27,624</w:t>
            </w:r>
          </w:p>
        </w:tc>
        <w:tc>
          <w:tcPr>
            <w:tcW w:w="120" w:type="dxa"/>
            <w:vAlign w:val="bottom"/>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r>
      <w:tr>
        <w:trPr>
          <w:trHeight w:val="187"/>
        </w:trPr>
        <w:tc>
          <w:tcPr>
            <w:tcW w:w="380" w:type="dxa"/>
            <w:vAlign w:val="bottom"/>
          </w:tcPr>
          <w:p>
            <w:pPr>
              <w:jc w:val="right"/>
              <w:ind w:right="71"/>
              <w:spacing w:after="0"/>
              <w:rPr>
                <w:sz w:val="20"/>
                <w:szCs w:val="20"/>
                <w:color w:val="auto"/>
              </w:rPr>
            </w:pPr>
            <w:r>
              <w:rPr>
                <w:rFonts w:ascii="Arial" w:cs="Arial" w:eastAsia="Arial" w:hAnsi="Arial"/>
                <w:sz w:val="14"/>
                <w:szCs w:val="14"/>
                <w:b w:val="1"/>
                <w:bCs w:val="1"/>
                <w:color w:val="auto"/>
                <w:w w:val="88"/>
              </w:rPr>
              <w:t>(78)</w:t>
            </w:r>
          </w:p>
        </w:tc>
        <w:tc>
          <w:tcPr>
            <w:tcW w:w="32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388,121</w:t>
            </w:r>
          </w:p>
        </w:tc>
        <w:tc>
          <w:tcPr>
            <w:tcW w:w="120" w:type="dxa"/>
            <w:vAlign w:val="bottom"/>
          </w:tcPr>
          <w:p>
            <w:pPr>
              <w:spacing w:after="0"/>
              <w:rPr>
                <w:sz w:val="16"/>
                <w:szCs w:val="16"/>
                <w:color w:val="auto"/>
              </w:rPr>
            </w:pPr>
          </w:p>
        </w:tc>
        <w:tc>
          <w:tcPr>
            <w:tcW w:w="460" w:type="dxa"/>
            <w:vAlign w:val="bottom"/>
            <w:tcBorders>
              <w:bottom w:val="single" w:sz="8" w:color="2C6937"/>
            </w:tcBorders>
          </w:tcPr>
          <w:p>
            <w:pPr>
              <w:jc w:val="right"/>
              <w:ind w:right="31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6"/>
                <w:szCs w:val="16"/>
                <w:color w:val="auto"/>
              </w:rPr>
            </w:pPr>
          </w:p>
        </w:tc>
        <w:tc>
          <w:tcPr>
            <w:tcW w:w="440" w:type="dxa"/>
            <w:vAlign w:val="bottom"/>
            <w:tcBorders>
              <w:bottom w:val="single" w:sz="8" w:color="2C6937"/>
            </w:tcBorders>
          </w:tcPr>
          <w:p>
            <w:pPr>
              <w:jc w:val="right"/>
              <w:ind w:right="29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(140)</w:t>
            </w:r>
          </w:p>
        </w:tc>
      </w:tr>
      <w:tr>
        <w:trPr>
          <w:trHeight w:val="20"/>
        </w:trPr>
        <w:tc>
          <w:tcPr>
            <w:tcW w:w="38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-32385</wp:posOffset>
            </wp:positionV>
            <wp:extent cx="7200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-7620</wp:posOffset>
            </wp:positionV>
            <wp:extent cx="7200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-163195</wp:posOffset>
            </wp:positionV>
            <wp:extent cx="7200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-294005</wp:posOffset>
            </wp:positionV>
            <wp:extent cx="7200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-441325</wp:posOffset>
            </wp:positionV>
            <wp:extent cx="7200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6540" w:space="720"/>
            <w:col w:w="3980"/>
          </w:cols>
          <w:pgMar w:left="320" w:top="248" w:right="339" w:bottom="1440" w:gutter="0" w:footer="0" w:header="0"/>
          <w:type w:val="continuous"/>
        </w:sectPr>
      </w:pPr>
    </w:p>
    <w:p>
      <w:pPr>
        <w:ind w:left="240" w:right="120" w:hanging="237"/>
        <w:spacing w:after="0" w:line="264" w:lineRule="auto"/>
        <w:tabs>
          <w:tab w:leader="none" w:pos="233" w:val="left"/>
        </w:tabs>
        <w:numPr>
          <w:ilvl w:val="0"/>
          <w:numId w:val="88"/>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$2.9 billion as of March 31, 2024 and December 31, 2023. Cash collateral received was $4 million and $5 million as of March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9" w:name="page90"/>
    <w:bookmarkEnd w:id="89"/>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We record all gains and losses, including accrued interest, on derivatives while they are not in a qualifying designated hedging relationship in “Fair value gains, net” in our condensed consolidated statements of operations and comprehensive income. The following table displays, by type of derivative instrument, the fair value gains and losses, net on our derivatives.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tcBorders>
              <w:bottom w:val="single" w:sz="8" w:color="2C6937"/>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2C6937"/>
            </w:tcBorders>
          </w:tcPr>
          <w:p>
            <w:pPr>
              <w:spacing w:after="0"/>
              <w:rPr>
                <w:sz w:val="16"/>
                <w:szCs w:val="16"/>
                <w:color w:val="auto"/>
              </w:rPr>
            </w:pPr>
          </w:p>
        </w:tc>
      </w:tr>
      <w:tr>
        <w:trPr>
          <w:trHeight w:val="186"/>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2C6937"/>
            </w:tcBorders>
          </w:tcPr>
          <w:p>
            <w:pPr>
              <w:jc w:val="right"/>
              <w:ind w:right="27"/>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240" w:type="dxa"/>
            <w:vAlign w:val="bottom"/>
            <w:tcBorders>
              <w:bottom w:val="single" w:sz="8" w:color="2C6937"/>
            </w:tcBorders>
          </w:tcPr>
          <w:p>
            <w:pPr>
              <w:jc w:val="right"/>
              <w:ind w:right="106"/>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2C6937"/>
            </w:tcBorders>
          </w:tcPr>
          <w:p>
            <w:pPr>
              <w:spacing w:after="0"/>
              <w:rPr>
                <w:sz w:val="16"/>
                <w:szCs w:val="16"/>
                <w:color w:val="auto"/>
              </w:rPr>
            </w:pPr>
          </w:p>
        </w:tc>
      </w:tr>
      <w:tr>
        <w:trPr>
          <w:trHeight w:val="185"/>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3"/>
          </w:tcPr>
          <w:p>
            <w:pPr>
              <w:jc w:val="right"/>
              <w:ind w:right="606"/>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6"/>
                <w:szCs w:val="16"/>
                <w:color w:val="auto"/>
              </w:rPr>
            </w:pP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6"/>
        </w:trPr>
        <w:tc>
          <w:tcPr>
            <w:tcW w:w="746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746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160" w:type="dxa"/>
            <w:vAlign w:val="bottom"/>
          </w:tcPr>
          <w:p>
            <w:pPr>
              <w:jc w:val="right"/>
              <w:ind w:right="967"/>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1,362</w:t>
            </w:r>
          </w:p>
        </w:tc>
        <w:tc>
          <w:tcPr>
            <w:tcW w:w="160" w:type="dxa"/>
            <w:vAlign w:val="bottom"/>
          </w:tcPr>
          <w:p>
            <w:pPr>
              <w:spacing w:after="0"/>
              <w:rPr>
                <w:sz w:val="17"/>
                <w:szCs w:val="17"/>
                <w:color w:val="auto"/>
              </w:rPr>
            </w:pPr>
          </w:p>
        </w:tc>
        <w:tc>
          <w:tcPr>
            <w:tcW w:w="1240" w:type="dxa"/>
            <w:vAlign w:val="bottom"/>
          </w:tcPr>
          <w:p>
            <w:pPr>
              <w:jc w:val="right"/>
              <w:ind w:right="1066"/>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(1,590)</w:t>
            </w:r>
          </w:p>
        </w:tc>
      </w:tr>
      <w:tr>
        <w:trPr>
          <w:trHeight w:val="206"/>
        </w:trPr>
        <w:tc>
          <w:tcPr>
            <w:tcW w:w="746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(696)</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1,572</w:t>
            </w:r>
          </w:p>
        </w:tc>
      </w:tr>
      <w:tr>
        <w:trPr>
          <w:trHeight w:val="206"/>
        </w:trPr>
        <w:tc>
          <w:tcPr>
            <w:tcW w:w="746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16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8"/>
        </w:trPr>
        <w:tc>
          <w:tcPr>
            <w:tcW w:w="746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4"/>
        </w:trPr>
        <w:tc>
          <w:tcPr>
            <w:tcW w:w="746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7"/>
        </w:trPr>
        <w:tc>
          <w:tcPr>
            <w:tcW w:w="746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16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23</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746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6"/>
        </w:trPr>
        <w:tc>
          <w:tcPr>
            <w:tcW w:w="746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16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7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expense on interest-rate swaps</w:t>
            </w:r>
          </w:p>
        </w:tc>
        <w:tc>
          <w:tcPr>
            <w:tcW w:w="160" w:type="dxa"/>
            <w:vAlign w:val="bottom"/>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(199)</w:t>
            </w:r>
          </w:p>
        </w:tc>
        <w:tc>
          <w:tcPr>
            <w:tcW w:w="16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(178)</w:t>
            </w:r>
          </w:p>
        </w:tc>
      </w:tr>
      <w:tr>
        <w:trPr>
          <w:trHeight w:val="198"/>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116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480</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(209)</w:t>
            </w:r>
          </w:p>
        </w:tc>
      </w:tr>
      <w:tr>
        <w:trPr>
          <w:trHeight w:val="206"/>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116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207</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08"/>
        </w:trPr>
        <w:tc>
          <w:tcPr>
            <w:tcW w:w="73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losses, net</w:t>
            </w:r>
          </w:p>
        </w:tc>
        <w:tc>
          <w:tcPr>
            <w:tcW w:w="160" w:type="dxa"/>
            <w:vAlign w:val="bottom"/>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w:t>
            </w:r>
          </w:p>
        </w:tc>
        <w:tc>
          <w:tcPr>
            <w:tcW w:w="160" w:type="dxa"/>
            <w:vAlign w:val="bottom"/>
          </w:tcPr>
          <w:p>
            <w:pPr>
              <w:spacing w:after="0"/>
              <w:rPr>
                <w:sz w:val="18"/>
                <w:szCs w:val="18"/>
                <w:color w:val="auto"/>
              </w:rPr>
            </w:pPr>
          </w:p>
        </w:tc>
        <w:tc>
          <w:tcPr>
            <w:tcW w:w="12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r>
      <w:tr>
        <w:trPr>
          <w:trHeight w:val="199"/>
        </w:trPr>
        <w:tc>
          <w:tcPr>
            <w:tcW w:w="746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1160" w:type="dxa"/>
            <w:vAlign w:val="bottom"/>
          </w:tcPr>
          <w:p>
            <w:pPr>
              <w:jc w:val="right"/>
              <w:ind w:right="967"/>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672</w:t>
            </w:r>
          </w:p>
        </w:tc>
        <w:tc>
          <w:tcPr>
            <w:tcW w:w="160" w:type="dxa"/>
            <w:vAlign w:val="bottom"/>
          </w:tcPr>
          <w:p>
            <w:pPr>
              <w:spacing w:after="0"/>
              <w:rPr>
                <w:sz w:val="17"/>
                <w:szCs w:val="17"/>
                <w:color w:val="auto"/>
              </w:rPr>
            </w:pPr>
          </w:p>
        </w:tc>
        <w:tc>
          <w:tcPr>
            <w:tcW w:w="1240" w:type="dxa"/>
            <w:vAlign w:val="bottom"/>
          </w:tcPr>
          <w:p>
            <w:pPr>
              <w:jc w:val="right"/>
              <w:ind w:right="1066"/>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(338)</w:t>
            </w:r>
          </w:p>
        </w:tc>
      </w:tr>
      <w:tr>
        <w:trPr>
          <w:trHeight w:val="20"/>
        </w:trPr>
        <w:tc>
          <w:tcPr>
            <w:tcW w:w="730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8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7"/>
          </w:tcPr>
          <w:p>
            <w:pPr>
              <w:jc w:val="center"/>
              <w:spacing w:after="0"/>
              <w:rPr>
                <w:sz w:val="20"/>
                <w:szCs w:val="20"/>
                <w:color w:val="auto"/>
              </w:rPr>
            </w:pPr>
            <w:r>
              <w:rPr>
                <w:rFonts w:ascii="Arial" w:cs="Arial" w:eastAsia="Arial" w:hAnsi="Arial"/>
                <w:sz w:val="14"/>
                <w:szCs w:val="14"/>
                <w:b w:val="1"/>
                <w:bCs w:val="1"/>
                <w:color w:val="auto"/>
                <w:w w:val="98"/>
              </w:rPr>
              <w:t>For the Three Months Ended March 31,</w:t>
            </w:r>
          </w:p>
        </w:tc>
        <w:tc>
          <w:tcPr>
            <w:tcW w:w="3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r>
      <w:tr>
        <w:trPr>
          <w:trHeight w:val="186"/>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gridSpan w:val="3"/>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2C6937"/>
            </w:tcBorders>
          </w:tcPr>
          <w:p>
            <w:pPr>
              <w:spacing w:after="0"/>
              <w:rPr>
                <w:sz w:val="16"/>
                <w:szCs w:val="16"/>
                <w:color w:val="auto"/>
              </w:rPr>
            </w:pPr>
          </w:p>
        </w:tc>
      </w:tr>
      <w:tr>
        <w:trPr>
          <w:trHeight w:val="178"/>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gridSpan w:val="11"/>
          </w:tcPr>
          <w:p>
            <w:pPr>
              <w:jc w:val="center"/>
              <w:spacing w:after="0"/>
              <w:rPr>
                <w:sz w:val="20"/>
                <w:szCs w:val="20"/>
                <w:color w:val="auto"/>
              </w:rPr>
            </w:pPr>
            <w:r>
              <w:rPr>
                <w:rFonts w:ascii="Arial" w:cs="Arial" w:eastAsia="Arial" w:hAnsi="Arial"/>
                <w:sz w:val="14"/>
                <w:szCs w:val="14"/>
                <w:b w:val="1"/>
                <w:bCs w:val="1"/>
                <w:color w:val="auto"/>
              </w:rPr>
              <w:t>Interest Income:  Interest Expense:  Interest Income:  Interest Expense:</w:t>
            </w:r>
          </w:p>
        </w:tc>
      </w:tr>
      <w:tr>
        <w:trPr>
          <w:trHeight w:val="196"/>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Mortgage Loans</w:t>
            </w: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Long-Term Debt</w:t>
            </w:r>
          </w:p>
        </w:tc>
        <w:tc>
          <w:tcPr>
            <w:tcW w:w="128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Mortgage Loans</w:t>
            </w:r>
          </w:p>
        </w:tc>
        <w:tc>
          <w:tcPr>
            <w:tcW w:w="120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14"/>
                <w:szCs w:val="14"/>
                <w:b w:val="1"/>
                <w:bCs w:val="1"/>
                <w:color w:val="auto"/>
              </w:rPr>
              <w:t>Long-Term Debt</w:t>
            </w:r>
          </w:p>
        </w:tc>
      </w:tr>
      <w:tr>
        <w:trPr>
          <w:trHeight w:val="192"/>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8"/>
              </w:rPr>
              <w:t>(Dollars in millions)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4"/>
        </w:trPr>
        <w:tc>
          <w:tcPr>
            <w:tcW w:w="62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amounts presented in our condensed consolidated statements of operations</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3"/>
        </w:trPr>
        <w:tc>
          <w:tcPr>
            <w:tcW w:w="6100" w:type="dxa"/>
            <w:vAlign w:val="bottom"/>
            <w:tcBorders>
              <w:bottom w:val="single" w:sz="8" w:color="2C6937"/>
            </w:tcBorders>
          </w:tcPr>
          <w:p>
            <w:pPr>
              <w:ind w:left="160"/>
              <w:spacing w:after="0"/>
              <w:rPr>
                <w:sz w:val="20"/>
                <w:szCs w:val="20"/>
                <w:color w:val="auto"/>
              </w:rPr>
            </w:pPr>
            <w:r>
              <w:rPr>
                <w:rFonts w:ascii="Arial" w:cs="Arial" w:eastAsia="Arial" w:hAnsi="Arial"/>
                <w:sz w:val="15"/>
                <w:szCs w:val="15"/>
                <w:b w:val="1"/>
                <w:bCs w:val="1"/>
                <w:color w:val="auto"/>
              </w:rPr>
              <w:t>and comprehensive income</w:t>
            </w:r>
          </w:p>
        </w:tc>
        <w:tc>
          <w:tcPr>
            <w:tcW w:w="100" w:type="dxa"/>
            <w:vAlign w:val="bottom"/>
          </w:tcPr>
          <w:p>
            <w:pPr>
              <w:spacing w:after="0"/>
              <w:rPr>
                <w:sz w:val="20"/>
                <w:szCs w:val="20"/>
                <w:color w:val="auto"/>
              </w:rPr>
            </w:pPr>
          </w:p>
        </w:tc>
        <w:tc>
          <w:tcPr>
            <w:tcW w:w="400" w:type="dxa"/>
            <w:vAlign w:val="bottom"/>
            <w:tcBorders>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35,216</w:t>
            </w:r>
          </w:p>
        </w:tc>
        <w:tc>
          <w:tcPr>
            <w:tcW w:w="100" w:type="dxa"/>
            <w:vAlign w:val="bottom"/>
          </w:tcPr>
          <w:p>
            <w:pPr>
              <w:spacing w:after="0"/>
              <w:rPr>
                <w:sz w:val="20"/>
                <w:szCs w:val="20"/>
                <w:color w:val="auto"/>
              </w:rPr>
            </w:pPr>
          </w:p>
        </w:tc>
        <w:tc>
          <w:tcPr>
            <w:tcW w:w="340" w:type="dxa"/>
            <w:vAlign w:val="bottom"/>
            <w:tcBorders>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(29,580)</w:t>
            </w:r>
          </w:p>
        </w:tc>
        <w:tc>
          <w:tcPr>
            <w:tcW w:w="80" w:type="dxa"/>
            <w:vAlign w:val="bottom"/>
          </w:tcPr>
          <w:p>
            <w:pPr>
              <w:spacing w:after="0"/>
              <w:rPr>
                <w:sz w:val="20"/>
                <w:szCs w:val="20"/>
                <w:color w:val="auto"/>
              </w:rPr>
            </w:pPr>
          </w:p>
        </w:tc>
        <w:tc>
          <w:tcPr>
            <w:tcW w:w="660" w:type="dxa"/>
            <w:vAlign w:val="bottom"/>
            <w:tcBorders>
              <w:bottom w:val="single" w:sz="8" w:color="2C6937"/>
            </w:tcBorders>
          </w:tcPr>
          <w:p>
            <w:pPr>
              <w:jc w:val="right"/>
              <w:ind w:right="49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32,137</w:t>
            </w:r>
          </w:p>
        </w:tc>
        <w:tc>
          <w:tcPr>
            <w:tcW w:w="80" w:type="dxa"/>
            <w:vAlign w:val="bottom"/>
          </w:tcPr>
          <w:p>
            <w:pPr>
              <w:spacing w:after="0"/>
              <w:rPr>
                <w:sz w:val="20"/>
                <w:szCs w:val="20"/>
                <w:color w:val="auto"/>
              </w:rPr>
            </w:pPr>
          </w:p>
        </w:tc>
        <w:tc>
          <w:tcPr>
            <w:tcW w:w="3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(26,665)</w:t>
            </w:r>
          </w:p>
        </w:tc>
      </w:tr>
      <w:tr>
        <w:trPr>
          <w:trHeight w:val="348"/>
        </w:trPr>
        <w:tc>
          <w:tcPr>
            <w:tcW w:w="6200" w:type="dxa"/>
            <w:vAlign w:val="bottom"/>
            <w:gridSpan w:val="2"/>
          </w:tcPr>
          <w:p>
            <w:pPr>
              <w:ind w:left="20"/>
              <w:spacing w:after="0"/>
              <w:rPr>
                <w:sz w:val="20"/>
                <w:szCs w:val="20"/>
                <w:color w:val="auto"/>
              </w:rPr>
            </w:pPr>
            <w:r>
              <w:rPr>
                <w:rFonts w:ascii="Arial" w:cs="Arial" w:eastAsia="Arial" w:hAnsi="Arial"/>
                <w:sz w:val="15"/>
                <w:szCs w:val="15"/>
                <w:b w:val="1"/>
                <w:bCs w:val="1"/>
                <w:color w:val="auto"/>
              </w:rPr>
              <w:t>Gains (losses) from fair value hedging relationships: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4"/>
        </w:trPr>
        <w:tc>
          <w:tcPr>
            <w:tcW w:w="6200" w:type="dxa"/>
            <w:vAlign w:val="bottom"/>
            <w:gridSpan w:val="2"/>
          </w:tcPr>
          <w:p>
            <w:pPr>
              <w:ind w:left="120"/>
              <w:spacing w:after="0"/>
              <w:rPr>
                <w:sz w:val="20"/>
                <w:szCs w:val="20"/>
                <w:color w:val="auto"/>
              </w:rPr>
            </w:pPr>
            <w:r>
              <w:rPr>
                <w:rFonts w:ascii="Arial" w:cs="Arial" w:eastAsia="Arial" w:hAnsi="Arial"/>
                <w:sz w:val="15"/>
                <w:szCs w:val="15"/>
                <w:color w:val="auto"/>
              </w:rPr>
              <w:t>Mortgage loans HFI and related interest-rate contracts: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620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4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440" w:type="dxa"/>
            <w:vAlign w:val="bottom"/>
            <w:gridSpan w:val="2"/>
          </w:tcPr>
          <w:p>
            <w:pPr>
              <w:jc w:val="right"/>
              <w:ind w:right="191"/>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9"/>
                <w:szCs w:val="19"/>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2"/>
        </w:trPr>
        <w:tc>
          <w:tcPr>
            <w:tcW w:w="6200" w:type="dxa"/>
            <w:vAlign w:val="bottom"/>
            <w:gridSpan w:val="2"/>
          </w:tcPr>
          <w:p>
            <w:pPr>
              <w:ind w:left="320"/>
              <w:spacing w:after="0"/>
              <w:rPr>
                <w:sz w:val="20"/>
                <w:szCs w:val="20"/>
                <w:color w:val="auto"/>
              </w:rPr>
            </w:pPr>
            <w:r>
              <w:rPr>
                <w:rFonts w:ascii="Arial" w:cs="Arial" w:eastAsia="Arial" w:hAnsi="Arial"/>
                <w:sz w:val="15"/>
                <w:szCs w:val="15"/>
                <w:color w:val="auto"/>
              </w:rPr>
              <w:t>Discontinued hedge related basis adjustment amortization</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2"/>
        </w:trPr>
        <w:tc>
          <w:tcPr>
            <w:tcW w:w="620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 instruments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32"/>
        </w:trPr>
        <w:tc>
          <w:tcPr>
            <w:tcW w:w="6200" w:type="dxa"/>
            <w:vAlign w:val="bottom"/>
            <w:gridSpan w:val="2"/>
          </w:tcPr>
          <w:p>
            <w:pPr>
              <w:ind w:left="320"/>
              <w:spacing w:after="0"/>
              <w:rPr>
                <w:sz w:val="20"/>
                <w:szCs w:val="20"/>
                <w:color w:val="auto"/>
              </w:rPr>
            </w:pPr>
            <w:r>
              <w:rPr>
                <w:rFonts w:ascii="Arial" w:cs="Arial" w:eastAsia="Arial" w:hAnsi="Arial"/>
                <w:sz w:val="15"/>
                <w:szCs w:val="15"/>
                <w:color w:val="auto"/>
              </w:rPr>
              <w:t>Interest accruals on hedging instruments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19"/>
        </w:trPr>
        <w:tc>
          <w:tcPr>
            <w:tcW w:w="6200" w:type="dxa"/>
            <w:vAlign w:val="bottom"/>
            <w:gridSpan w:val="2"/>
          </w:tcPr>
          <w:p>
            <w:pPr>
              <w:ind w:left="120"/>
              <w:spacing w:after="0"/>
              <w:rPr>
                <w:sz w:val="20"/>
                <w:szCs w:val="20"/>
                <w:color w:val="auto"/>
              </w:rPr>
            </w:pPr>
            <w:r>
              <w:rPr>
                <w:rFonts w:ascii="Arial" w:cs="Arial" w:eastAsia="Arial" w:hAnsi="Arial"/>
                <w:sz w:val="15"/>
                <w:szCs w:val="15"/>
                <w:color w:val="auto"/>
              </w:rPr>
              <w:t>Debt of Fannie Mae and related interest-rate contracts:</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620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428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32"/>
        </w:trPr>
        <w:tc>
          <w:tcPr>
            <w:tcW w:w="620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 adjustment amortization</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32"/>
        </w:trPr>
        <w:tc>
          <w:tcPr>
            <w:tcW w:w="620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 instruments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432</w:t>
            </w:r>
          </w:p>
        </w:tc>
      </w:tr>
      <w:tr>
        <w:trPr>
          <w:trHeight w:val="233"/>
        </w:trPr>
        <w:tc>
          <w:tcPr>
            <w:tcW w:w="61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Interest accruals on derivative hedging instruments</w:t>
            </w:r>
          </w:p>
        </w:tc>
        <w:tc>
          <w:tcPr>
            <w:tcW w:w="100" w:type="dxa"/>
            <w:vAlign w:val="bottom"/>
          </w:tcPr>
          <w:p>
            <w:pPr>
              <w:spacing w:after="0"/>
              <w:rPr>
                <w:sz w:val="20"/>
                <w:szCs w:val="20"/>
                <w:color w:val="auto"/>
              </w:rPr>
            </w:pPr>
          </w:p>
        </w:tc>
        <w:tc>
          <w:tcPr>
            <w:tcW w:w="40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(167)</w:t>
            </w:r>
          </w:p>
        </w:tc>
        <w:tc>
          <w:tcPr>
            <w:tcW w:w="80" w:type="dxa"/>
            <w:vAlign w:val="bottom"/>
          </w:tcPr>
          <w:p>
            <w:pPr>
              <w:spacing w:after="0"/>
              <w:rPr>
                <w:sz w:val="20"/>
                <w:szCs w:val="20"/>
                <w:color w:val="auto"/>
              </w:rPr>
            </w:pPr>
          </w:p>
        </w:tc>
        <w:tc>
          <w:tcPr>
            <w:tcW w:w="66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(229)</w:t>
            </w:r>
          </w:p>
        </w:tc>
      </w:tr>
      <w:tr>
        <w:trPr>
          <w:trHeight w:val="225"/>
        </w:trPr>
        <w:tc>
          <w:tcPr>
            <w:tcW w:w="6200" w:type="dxa"/>
            <w:vAlign w:val="bottom"/>
            <w:gridSpan w:val="2"/>
          </w:tcPr>
          <w:p>
            <w:pPr>
              <w:ind w:left="20"/>
              <w:spacing w:after="0"/>
              <w:rPr>
                <w:sz w:val="20"/>
                <w:szCs w:val="20"/>
                <w:color w:val="auto"/>
              </w:rPr>
            </w:pPr>
            <w:r>
              <w:rPr>
                <w:rFonts w:ascii="Arial" w:cs="Arial" w:eastAsia="Arial" w:hAnsi="Arial"/>
                <w:sz w:val="15"/>
                <w:szCs w:val="15"/>
                <w:color w:val="auto"/>
              </w:rPr>
              <w:t>Total effect of fair value hedges</w:t>
            </w:r>
          </w:p>
        </w:tc>
        <w:tc>
          <w:tcPr>
            <w:tcW w:w="4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440" w:type="dxa"/>
            <w:vAlign w:val="bottom"/>
            <w:gridSpan w:val="2"/>
          </w:tcPr>
          <w:p>
            <w:pPr>
              <w:jc w:val="right"/>
              <w:ind w:right="191"/>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80" w:type="dxa"/>
            <w:vAlign w:val="bottom"/>
          </w:tcPr>
          <w:p>
            <w:pPr>
              <w:spacing w:after="0"/>
              <w:rPr>
                <w:sz w:val="19"/>
                <w:szCs w:val="19"/>
                <w:color w:val="auto"/>
              </w:rPr>
            </w:pPr>
          </w:p>
        </w:tc>
        <w:tc>
          <w:tcPr>
            <w:tcW w:w="660" w:type="dxa"/>
            <w:vAlign w:val="bottom"/>
          </w:tcPr>
          <w:p>
            <w:pPr>
              <w:jc w:val="right"/>
              <w:ind w:right="491"/>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20"/>
        </w:trPr>
        <w:tc>
          <w:tcPr>
            <w:tcW w:w="61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0" w:name="page91"/>
    <w:bookmarkEnd w:id="90"/>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March 31, 2024 and December 31, 2023.</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8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As of March 31, 2024</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8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gridSpan w:val="2"/>
          </w:tcPr>
          <w:p>
            <w:pPr>
              <w:jc w:val="center"/>
              <w:ind w:right="10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4"/>
              </w:rPr>
              <w:t>Adjustments</w:t>
            </w:r>
            <w:r>
              <w:rPr>
                <w:rFonts w:ascii="Arial" w:cs="Arial" w:eastAsia="Arial" w:hAnsi="Arial"/>
                <w:sz w:val="17"/>
                <w:szCs w:val="17"/>
                <w:b w:val="1"/>
                <w:bCs w:val="1"/>
                <w:color w:val="auto"/>
                <w:w w:val="94"/>
                <w:vertAlign w:val="superscript"/>
              </w:rPr>
              <w:t>(1)(2)</w:t>
            </w:r>
          </w:p>
        </w:tc>
        <w:tc>
          <w:tcPr>
            <w:tcW w:w="22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687,058</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8"/>
              <w:spacing w:after="0"/>
              <w:rPr>
                <w:sz w:val="20"/>
                <w:szCs w:val="20"/>
                <w:color w:val="auto"/>
              </w:rPr>
            </w:pPr>
            <w:r>
              <w:rPr>
                <w:rFonts w:ascii="Arial" w:cs="Arial" w:eastAsia="Arial" w:hAnsi="Arial"/>
                <w:sz w:val="15"/>
                <w:szCs w:val="15"/>
                <w:color w:val="auto"/>
              </w:rPr>
              <w:t>(500)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(500)</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454,310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9,482</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86"/>
              <w:spacing w:after="0"/>
              <w:rPr>
                <w:sz w:val="20"/>
                <w:szCs w:val="20"/>
                <w:color w:val="auto"/>
              </w:rPr>
            </w:pPr>
            <w:r>
              <w:rPr>
                <w:rFonts w:ascii="Arial" w:cs="Arial" w:eastAsia="Arial" w:hAnsi="Arial"/>
                <w:sz w:val="15"/>
                <w:szCs w:val="15"/>
                <w:color w:val="auto"/>
              </w:rPr>
              <w:t>(56,930)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3,973</w:t>
            </w:r>
          </w:p>
        </w:tc>
        <w:tc>
          <w:tcPr>
            <w:tcW w:w="220" w:type="dxa"/>
            <w:vAlign w:val="bottom"/>
          </w:tcPr>
          <w:p>
            <w:pPr>
              <w:spacing w:after="0"/>
              <w:rPr>
                <w:sz w:val="20"/>
                <w:szCs w:val="20"/>
                <w:color w:val="auto"/>
              </w:rPr>
            </w:pPr>
          </w:p>
        </w:tc>
        <w:tc>
          <w:tcPr>
            <w:tcW w:w="1700" w:type="dxa"/>
            <w:vAlign w:val="bottom"/>
          </w:tcPr>
          <w:p>
            <w:pPr>
              <w:jc w:val="right"/>
              <w:ind w:right="8"/>
              <w:spacing w:after="0"/>
              <w:rPr>
                <w:sz w:val="20"/>
                <w:szCs w:val="20"/>
                <w:color w:val="auto"/>
              </w:rPr>
            </w:pPr>
            <w:r>
              <w:rPr>
                <w:rFonts w:ascii="Arial" w:cs="Arial" w:eastAsia="Arial" w:hAnsi="Arial"/>
                <w:sz w:val="15"/>
                <w:szCs w:val="15"/>
                <w:color w:val="auto"/>
              </w:rPr>
              <w:t>3,973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88"/>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4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As of December 31, 2023</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4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16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2"/>
              </w:rPr>
              <w:t>Adjustments</w:t>
            </w:r>
            <w:r>
              <w:rPr>
                <w:rFonts w:ascii="Arial" w:cs="Arial" w:eastAsia="Arial" w:hAnsi="Arial"/>
                <w:sz w:val="17"/>
                <w:szCs w:val="17"/>
                <w:b w:val="1"/>
                <w:bCs w:val="1"/>
                <w:color w:val="auto"/>
                <w:w w:val="92"/>
                <w:vertAlign w:val="superscript"/>
              </w:rPr>
              <w:t>(1)(2)</w:t>
            </w:r>
          </w:p>
        </w:tc>
        <w:tc>
          <w:tcPr>
            <w:tcW w:w="220" w:type="dxa"/>
            <w:vAlign w:val="bottom"/>
            <w:tcBorders>
              <w:bottom w:val="single" w:sz="8" w:color="2C6937"/>
            </w:tcBorders>
          </w:tcPr>
          <w:p>
            <w:pPr>
              <w:spacing w:after="0"/>
              <w:rPr>
                <w:sz w:val="17"/>
                <w:szCs w:val="17"/>
                <w:color w:val="auto"/>
              </w:rPr>
            </w:pPr>
          </w:p>
        </w:tc>
        <w:tc>
          <w:tcPr>
            <w:tcW w:w="184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449,137</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(174)</w:t>
            </w:r>
          </w:p>
        </w:tc>
        <w:tc>
          <w:tcPr>
            <w:tcW w:w="22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(174)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218,419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9,955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66"/>
              <w:spacing w:after="0"/>
              <w:rPr>
                <w:sz w:val="20"/>
                <w:szCs w:val="20"/>
                <w:color w:val="auto"/>
              </w:rPr>
            </w:pPr>
            <w:r>
              <w:rPr>
                <w:rFonts w:ascii="Arial" w:cs="Arial" w:eastAsia="Arial" w:hAnsi="Arial"/>
                <w:sz w:val="15"/>
                <w:szCs w:val="15"/>
                <w:color w:val="auto"/>
              </w:rPr>
              <w:t>(59,462)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3,751</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3,751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9"/>
        </w:numPr>
        <w:rPr>
          <w:rFonts w:ascii="Arial" w:cs="Arial" w:eastAsia="Arial" w:hAnsi="Arial"/>
          <w:sz w:val="9"/>
          <w:szCs w:val="9"/>
          <w:color w:val="auto"/>
        </w:rPr>
      </w:pPr>
      <w:r>
        <w:rPr>
          <w:rFonts w:ascii="Arial" w:cs="Arial" w:eastAsia="Arial" w:hAnsi="Arial"/>
          <w:sz w:val="14"/>
          <w:szCs w:val="14"/>
          <w:color w:val="auto"/>
        </w:rPr>
        <w:t>Based on the unamortized balance of the hedge-related cost basis.</w:t>
      </w:r>
    </w:p>
    <w:p>
      <w:pPr>
        <w:spacing w:after="0" w:line="155"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8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 See “Note 12, Netting Arrangements” for information on our rights to offset assets and liabilities as of March 31, 2024 and December 31, 2023.</w:t>
      </w:r>
    </w:p>
    <w:p>
      <w:pPr>
        <w:spacing w:after="0" w:line="4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For certain OTC derivatives, the amount of collateral we pledge to counterparties related to our derivative instruments is determined after considering our credit ratings. Currently, our long-term senior debt is rated AA+ or above by S&amp;P Global Ratings and Moody's Investors Service.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$1.8 billion, for which we posted collateral of $1.6 billion as of March 31, 2024 and December 31, 2023. If our credit ratings were downgraded to Baa2/BBB or below, the maximum additional collateral we would have been required to post to our counterparties as of March 31, 2024 and December 31, 2023 would have been $870 million and $798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1" w:name="page92"/>
    <w:bookmarkEnd w:id="91"/>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The sum of the results for our two business segments equals our condensed consolidated results of operations. For additional information related to our business segments, including basis of organization and other segment activities, see “Note 11, Segment Reporting” in our 2023 Form 10-K.</w:t>
      </w:r>
    </w:p>
    <w:p>
      <w:pPr>
        <w:spacing w:after="0" w:line="6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majority of our revenues and expenses are directly associated with each respective business segment and are included in determining its operating results. Those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 In addition, the sum of the total assets for the two reportable segments is equal to the total assets of the consolidated entity.</w:t>
      </w:r>
    </w:p>
    <w:p>
      <w:pPr>
        <w:spacing w:after="0" w:line="3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segment results.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4460" w:type="dxa"/>
            <w:vAlign w:val="bottom"/>
            <w:tcBorders>
              <w:bottom w:val="single" w:sz="8" w:color="2C6937"/>
            </w:tcBorders>
            <w:gridSpan w:val="11"/>
          </w:tcPr>
          <w:p>
            <w:pPr>
              <w:jc w:val="center"/>
              <w:ind w:right="300"/>
              <w:spacing w:after="0"/>
              <w:rPr>
                <w:sz w:val="20"/>
                <w:szCs w:val="20"/>
                <w:color w:val="auto"/>
              </w:rPr>
            </w:pPr>
            <w:r>
              <w:rPr>
                <w:rFonts w:ascii="Arial" w:cs="Arial" w:eastAsia="Arial" w:hAnsi="Arial"/>
                <w:sz w:val="15"/>
                <w:szCs w:val="15"/>
                <w:b w:val="1"/>
                <w:bCs w:val="1"/>
                <w:color w:val="auto"/>
                <w:w w:val="96"/>
              </w:rPr>
              <w:t>For the Three Months Ended March 31,</w:t>
            </w:r>
          </w:p>
        </w:tc>
        <w:tc>
          <w:tcPr>
            <w:tcW w:w="20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spacing w:after="0"/>
              <w:rPr>
                <w:sz w:val="17"/>
                <w:szCs w:val="17"/>
                <w:color w:val="auto"/>
              </w:rPr>
            </w:pPr>
          </w:p>
        </w:tc>
      </w:tr>
      <w:tr>
        <w:trPr>
          <w:trHeight w:val="186"/>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r>
      <w:tr>
        <w:trPr>
          <w:trHeight w:val="225"/>
        </w:trPr>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8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2C6937"/>
            </w:tcBorders>
            <w:gridSpan w:val="3"/>
          </w:tcPr>
          <w:p>
            <w:pPr>
              <w:ind w:left="4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0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ind w:right="227"/>
              <w:spacing w:after="0"/>
              <w:rPr>
                <w:sz w:val="20"/>
                <w:szCs w:val="20"/>
                <w:color w:val="auto"/>
              </w:rPr>
            </w:pPr>
            <w:r>
              <w:rPr>
                <w:rFonts w:ascii="Arial" w:cs="Arial" w:eastAsia="Arial" w:hAnsi="Arial"/>
                <w:sz w:val="15"/>
                <w:szCs w:val="15"/>
                <w:b w:val="1"/>
                <w:bCs w:val="1"/>
                <w:color w:val="auto"/>
              </w:rPr>
              <w:t>Total</w:t>
            </w:r>
          </w:p>
        </w:tc>
      </w:tr>
      <w:tr>
        <w:trPr>
          <w:trHeight w:val="193"/>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w w:val="97"/>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32"/>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5,874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1,149</w:t>
            </w:r>
          </w:p>
        </w:tc>
        <w:tc>
          <w:tcPr>
            <w:tcW w:w="120" w:type="dxa"/>
            <w:vAlign w:val="bottom"/>
          </w:tcPr>
          <w:p>
            <w:pPr>
              <w:spacing w:after="0"/>
              <w:rPr>
                <w:sz w:val="24"/>
                <w:szCs w:val="24"/>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7,023</w:t>
            </w:r>
          </w:p>
        </w:tc>
        <w:tc>
          <w:tcPr>
            <w:tcW w:w="100" w:type="dxa"/>
            <w:vAlign w:val="bottom"/>
          </w:tcPr>
          <w:p>
            <w:pPr>
              <w:spacing w:after="0"/>
              <w:rPr>
                <w:sz w:val="24"/>
                <w:szCs w:val="24"/>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5,672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1,114</w:t>
            </w:r>
          </w:p>
        </w:tc>
        <w:tc>
          <w:tcPr>
            <w:tcW w:w="100" w:type="dxa"/>
            <w:vAlign w:val="bottom"/>
          </w:tcPr>
          <w:p>
            <w:pPr>
              <w:spacing w:after="0"/>
              <w:rPr>
                <w:sz w:val="24"/>
                <w:szCs w:val="24"/>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6,786</w:t>
            </w:r>
          </w:p>
        </w:tc>
      </w:tr>
      <w:tr>
        <w:trPr>
          <w:trHeight w:val="280"/>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63</w:t>
            </w:r>
          </w:p>
        </w:tc>
      </w:tr>
      <w:tr>
        <w:trPr>
          <w:trHeight w:val="193"/>
        </w:trPr>
        <w:tc>
          <w:tcPr>
            <w:tcW w:w="452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6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5,929</w:t>
            </w: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1,166</w:t>
            </w:r>
          </w:p>
        </w:tc>
        <w:tc>
          <w:tcPr>
            <w:tcW w:w="12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7,095</w:t>
            </w:r>
          </w:p>
        </w:tc>
        <w:tc>
          <w:tcPr>
            <w:tcW w:w="100" w:type="dxa"/>
            <w:vAlign w:val="bottom"/>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6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5,720</w:t>
            </w:r>
          </w:p>
        </w:tc>
        <w:tc>
          <w:tcPr>
            <w:tcW w:w="12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1,129</w:t>
            </w:r>
          </w:p>
        </w:tc>
        <w:tc>
          <w:tcPr>
            <w:tcW w:w="100" w:type="dxa"/>
            <w:vAlign w:val="bottom"/>
          </w:tcPr>
          <w:p>
            <w:pPr>
              <w:spacing w:after="0"/>
              <w:rPr>
                <w:sz w:val="16"/>
                <w:szCs w:val="16"/>
                <w:color w:val="auto"/>
              </w:rPr>
            </w:pPr>
          </w:p>
        </w:tc>
        <w:tc>
          <w:tcPr>
            <w:tcW w:w="20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6,849</w:t>
            </w:r>
          </w:p>
        </w:tc>
      </w:tr>
      <w:tr>
        <w:trPr>
          <w:trHeight w:val="332"/>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484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480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204</w:t>
            </w:r>
          </w:p>
        </w:tc>
      </w:tr>
      <w:tr>
        <w:trPr>
          <w:trHeight w:val="19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(777)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(868)</w:t>
            </w:r>
          </w:p>
        </w:tc>
      </w:tr>
      <w:tr>
        <w:trPr>
          <w:trHeight w:val="25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180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(132)</w:t>
            </w:r>
          </w:p>
        </w:tc>
      </w:tr>
      <w:tr>
        <w:trPr>
          <w:trHeight w:val="284"/>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(855)</w:t>
            </w:r>
          </w:p>
        </w:tc>
      </w:tr>
      <w:tr>
        <w:trPr>
          <w:trHeight w:val="309"/>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(353)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(341)</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(42)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120</w:t>
            </w:r>
          </w:p>
        </w:tc>
      </w:tr>
      <w:tr>
        <w:trPr>
          <w:trHeight w:val="198"/>
        </w:trPr>
        <w:tc>
          <w:tcPr>
            <w:tcW w:w="4620" w:type="dxa"/>
            <w:vAlign w:val="bottom"/>
            <w:gridSpan w:val="2"/>
          </w:tcPr>
          <w:p>
            <w:pPr>
              <w:ind w:left="20"/>
              <w:spacing w:after="0" w:line="198" w:lineRule="exact"/>
              <w:rPr>
                <w:sz w:val="20"/>
                <w:szCs w:val="20"/>
                <w:color w:val="auto"/>
              </w:rPr>
            </w:pPr>
            <w:r>
              <w:rPr>
                <w:rFonts w:ascii="Arial" w:cs="Arial" w:eastAsia="Arial" w:hAnsi="Arial"/>
                <w:sz w:val="15"/>
                <w:szCs w:val="15"/>
                <w:color w:val="auto"/>
              </w:rPr>
              <w:t>Other expenses, net</w:t>
            </w:r>
            <w:r>
              <w:rPr>
                <w:rFonts w:ascii="Arial" w:cs="Arial" w:eastAsia="Arial" w:hAnsi="Arial"/>
                <w:sz w:val="18"/>
                <w:szCs w:val="18"/>
                <w:color w:val="auto"/>
                <w:vertAlign w:val="superscript"/>
              </w:rPr>
              <w:t>(9)</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(130)</w:t>
            </w:r>
          </w:p>
        </w:tc>
      </w:tr>
      <w:tr>
        <w:trPr>
          <w:trHeight w:val="182"/>
        </w:trPr>
        <w:tc>
          <w:tcPr>
            <w:tcW w:w="4520" w:type="dxa"/>
            <w:vAlign w:val="bottom"/>
            <w:tcBorders>
              <w:top w:val="single" w:sz="8" w:color="2C6937"/>
            </w:tcBorders>
          </w:tcPr>
          <w:p>
            <w:pPr>
              <w:ind w:left="20"/>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6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4,553</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880</w:t>
            </w:r>
          </w:p>
        </w:tc>
        <w:tc>
          <w:tcPr>
            <w:tcW w:w="1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5,433</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6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3,979</w:t>
            </w:r>
          </w:p>
        </w:tc>
        <w:tc>
          <w:tcPr>
            <w:tcW w:w="12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801</w:t>
            </w:r>
          </w:p>
        </w:tc>
        <w:tc>
          <w:tcPr>
            <w:tcW w:w="100" w:type="dxa"/>
            <w:vAlign w:val="bottom"/>
          </w:tcPr>
          <w:p>
            <w:pPr>
              <w:spacing w:after="0"/>
              <w:rPr>
                <w:sz w:val="15"/>
                <w:szCs w:val="15"/>
                <w:color w:val="auto"/>
              </w:rPr>
            </w:pPr>
          </w:p>
        </w:tc>
        <w:tc>
          <w:tcPr>
            <w:tcW w:w="20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4,780</w:t>
            </w:r>
          </w:p>
        </w:tc>
      </w:tr>
      <w:tr>
        <w:trPr>
          <w:trHeight w:val="198"/>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(946)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(1,008)</w:t>
            </w:r>
          </w:p>
        </w:tc>
      </w:tr>
      <w:tr>
        <w:trPr>
          <w:trHeight w:val="186"/>
        </w:trPr>
        <w:tc>
          <w:tcPr>
            <w:tcW w:w="452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3,607</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713</w:t>
            </w:r>
          </w:p>
        </w:tc>
        <w:tc>
          <w:tcPr>
            <w:tcW w:w="120" w:type="dxa"/>
            <w:vAlign w:val="bottom"/>
          </w:tcPr>
          <w:p>
            <w:pPr>
              <w:spacing w:after="0"/>
              <w:rPr>
                <w:sz w:val="16"/>
                <w:szCs w:val="16"/>
                <w:color w:val="auto"/>
              </w:rPr>
            </w:pPr>
          </w:p>
        </w:tc>
        <w:tc>
          <w:tcPr>
            <w:tcW w:w="1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4,320</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jc w:val="right"/>
              <w:ind w:right="167"/>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3,132</w:t>
            </w:r>
          </w:p>
        </w:tc>
        <w:tc>
          <w:tcPr>
            <w:tcW w:w="12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640</w:t>
            </w: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3,772</w:t>
            </w:r>
          </w:p>
        </w:tc>
      </w:tr>
      <w:tr>
        <w:trPr>
          <w:trHeight w:val="20"/>
        </w:trPr>
        <w:tc>
          <w:tcPr>
            <w:tcW w:w="4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0" w:hanging="237"/>
        <w:spacing w:after="0" w:line="236" w:lineRule="auto"/>
        <w:tabs>
          <w:tab w:leader="none" w:pos="233"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TCCA, the incremental revenue from which is paid to Treasury and not retained by us. Also includes yield maintenance revenue we recognized on the prepayment of multifamily loans.</w:t>
      </w:r>
    </w:p>
    <w:p>
      <w:pPr>
        <w:spacing w:after="0" w:line="26" w:lineRule="exact"/>
        <w:rPr>
          <w:rFonts w:ascii="Arial" w:cs="Arial" w:eastAsia="Arial" w:hAnsi="Arial"/>
          <w:sz w:val="18"/>
          <w:szCs w:val="18"/>
          <w:color w:val="auto"/>
          <w:vertAlign w:val="superscript"/>
        </w:rPr>
      </w:pPr>
    </w:p>
    <w:p>
      <w:pPr>
        <w:ind w:left="240" w:right="160" w:hanging="237"/>
        <w:spacing w:after="0" w:line="226" w:lineRule="auto"/>
        <w:tabs>
          <w:tab w:leader="none" w:pos="233"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primarily consists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27" w:lineRule="exact"/>
        <w:rPr>
          <w:rFonts w:ascii="Arial" w:cs="Arial" w:eastAsia="Arial" w:hAnsi="Arial"/>
          <w:sz w:val="18"/>
          <w:szCs w:val="18"/>
          <w:color w:val="auto"/>
          <w:vertAlign w:val="superscript"/>
        </w:rPr>
      </w:pPr>
    </w:p>
    <w:p>
      <w:pPr>
        <w:ind w:left="240" w:hanging="237"/>
        <w:spacing w:after="0" w:line="226" w:lineRule="auto"/>
        <w:tabs>
          <w:tab w:leader="none" w:pos="233"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Single-family investment gains and losses primarily consist of gains and losses on the sale of mortgage assets. Multifamily investment gains and losses primarily consist of gains and losses on resecuritization activity.</w:t>
      </w:r>
    </w:p>
    <w:p>
      <w:pPr>
        <w:spacing w:after="0" w:line="14" w:lineRule="exact"/>
        <w:rPr>
          <w:rFonts w:ascii="Arial" w:cs="Arial" w:eastAsia="Arial" w:hAnsi="Arial"/>
          <w:sz w:val="18"/>
          <w:szCs w:val="18"/>
          <w:color w:val="auto"/>
          <w:vertAlign w:val="superscript"/>
        </w:rPr>
      </w:pPr>
    </w:p>
    <w:p>
      <w:pPr>
        <w:ind w:left="240" w:right="200" w:hanging="237"/>
        <w:spacing w:after="0" w:line="264" w:lineRule="auto"/>
        <w:tabs>
          <w:tab w:leader="none" w:pos="233" w:val="left"/>
        </w:tabs>
        <w:numPr>
          <w:ilvl w:val="0"/>
          <w:numId w:val="90"/>
        </w:numPr>
        <w:rPr>
          <w:rFonts w:ascii="Arial" w:cs="Arial" w:eastAsia="Arial" w:hAnsi="Arial"/>
          <w:sz w:val="9"/>
          <w:szCs w:val="9"/>
          <w:color w:val="auto"/>
        </w:rPr>
      </w:pPr>
      <w:r>
        <w:rPr>
          <w:rFonts w:ascii="Arial" w:cs="Arial" w:eastAsia="Arial" w:hAnsi="Arial"/>
          <w:sz w:val="14"/>
          <w:szCs w:val="14"/>
          <w:color w:val="auto"/>
        </w:rPr>
        <w:t>Single-family fair value gains and losses primarily consist of fair value gains and losses on risk management and mortgage commitment derivatives, trading securities, fair value option debt, and other financial instruments associated with our single-family guaranty book of business. Multifamily fair value gains and losses primarily consist of fair value gains and losses on MBS commitment derivatives, trading securities and other financial instruments associated with our multifamily guaranty book of business.</w:t>
      </w:r>
    </w:p>
    <w:p>
      <w:pPr>
        <w:ind w:left="220" w:hanging="217"/>
        <w:spacing w:after="0"/>
        <w:tabs>
          <w:tab w:leader="none" w:pos="22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Benefit (provision) for credit losses is based on loans underlying the segment’s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2" w:name="page93"/>
    <w:bookmarkEnd w:id="92"/>
    <w:p>
      <w:pPr>
        <w:ind w:left="6420"/>
        <w:spacing w:after="0"/>
        <w:rPr>
          <w:sz w:val="20"/>
          <w:szCs w:val="20"/>
          <w:color w:val="auto"/>
        </w:rPr>
      </w:pPr>
      <w:r>
        <w:rPr>
          <w:rFonts w:ascii="Arial" w:cs="Arial" w:eastAsia="Arial" w:hAnsi="Arial"/>
          <w:sz w:val="13"/>
          <w:szCs w:val="13"/>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hanging="217"/>
        <w:spacing w:after="0"/>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the portion of our single-family guaranty fees that is paid to Treasury pursuant to the TCCA.</w:t>
      </w:r>
    </w:p>
    <w:p>
      <w:pPr>
        <w:spacing w:after="0" w:line="37" w:lineRule="exact"/>
        <w:rPr>
          <w:rFonts w:ascii="Arial" w:cs="Arial" w:eastAsia="Arial" w:hAnsi="Arial"/>
          <w:sz w:val="18"/>
          <w:szCs w:val="18"/>
          <w:color w:val="auto"/>
          <w:vertAlign w:val="superscript"/>
        </w:rPr>
      </w:pPr>
    </w:p>
    <w:p>
      <w:pPr>
        <w:ind w:left="240" w:right="40" w:hanging="237"/>
        <w:spacing w:after="0" w:line="218"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programs. Multifamily credit enhancement expense primarily consists of costs associated with our Multifamily CIRT</w:t>
      </w:r>
      <w:r>
        <w:rPr>
          <w:rFonts w:ascii="Arial" w:cs="Arial" w:eastAsia="Arial" w:hAnsi="Arial"/>
          <w:sz w:val="8"/>
          <w:szCs w:val="8"/>
          <w:color w:val="auto"/>
        </w:rPr>
        <w:t>TM</w:t>
      </w:r>
      <w:r>
        <w:rPr>
          <w:rFonts w:ascii="Arial" w:cs="Arial" w:eastAsia="Arial" w:hAnsi="Arial"/>
          <w:sz w:val="14"/>
          <w:szCs w:val="14"/>
          <w:color w:val="auto"/>
        </w:rPr>
        <w:t xml:space="preserve"> (“MCIRT</w:t>
      </w:r>
      <w:r>
        <w:rPr>
          <w:rFonts w:ascii="Arial" w:cs="Arial" w:eastAsia="Arial" w:hAnsi="Arial"/>
          <w:sz w:val="8"/>
          <w:szCs w:val="8"/>
          <w:color w:val="auto"/>
        </w:rPr>
        <w:t>TM</w:t>
      </w:r>
      <w:r>
        <w:rPr>
          <w:rFonts w:ascii="Arial" w:cs="Arial" w:eastAsia="Arial" w:hAnsi="Arial"/>
          <w:sz w:val="14"/>
          <w:szCs w:val="14"/>
          <w:color w:val="auto"/>
        </w:rPr>
        <w:t>”) and Multifamily CAS (“MCAS</w:t>
      </w:r>
      <w:r>
        <w:rPr>
          <w:rFonts w:ascii="Arial" w:cs="Arial" w:eastAsia="Arial" w:hAnsi="Arial"/>
          <w:sz w:val="8"/>
          <w:szCs w:val="8"/>
          <w:color w:val="auto"/>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6" w:lineRule="exact"/>
        <w:rPr>
          <w:rFonts w:ascii="Arial" w:cs="Arial" w:eastAsia="Arial" w:hAnsi="Arial"/>
          <w:sz w:val="18"/>
          <w:szCs w:val="18"/>
          <w:color w:val="auto"/>
          <w:vertAlign w:val="superscript"/>
        </w:rPr>
      </w:pPr>
    </w:p>
    <w:p>
      <w:pPr>
        <w:ind w:left="240" w:right="800" w:hanging="237"/>
        <w:spacing w:after="0" w:line="230"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ind w:left="240" w:right="240" w:hanging="237"/>
        <w:spacing w:after="0" w:line="219"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1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8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pricing and our eligibility and underwriting criteria. Management also uses this data together with other credit risk measures to identify key trends that guide the development of our loss mitigation strategies.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54"/>
        <w:spacing w:after="0" w:line="295"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1" w:lineRule="exact"/>
        <w:rPr>
          <w:sz w:val="20"/>
          <w:szCs w:val="20"/>
          <w:color w:val="auto"/>
        </w:rPr>
      </w:pPr>
    </w:p>
    <w:p>
      <w:pPr>
        <w:ind w:left="180" w:right="220" w:hanging="154"/>
        <w:spacing w:after="0" w:line="312"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487108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87108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March 31, 2024</w:t>
            </w:r>
          </w:p>
        </w:tc>
        <w:tc>
          <w:tcPr>
            <w:tcW w:w="126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2023</w:t>
            </w:r>
          </w:p>
        </w:tc>
        <w:tc>
          <w:tcPr>
            <w:tcW w:w="1280" w:type="dxa"/>
            <w:vAlign w:val="bottom"/>
            <w:tcBorders>
              <w:bottom w:val="single" w:sz="8" w:color="2C6937"/>
            </w:tcBorders>
          </w:tcPr>
          <w:p>
            <w:pPr>
              <w:spacing w:after="0"/>
              <w:rPr>
                <w:sz w:val="17"/>
                <w:szCs w:val="17"/>
                <w:color w:val="auto"/>
              </w:rPr>
            </w:pPr>
          </w:p>
        </w:tc>
      </w:tr>
      <w:tr>
        <w:trPr>
          <w:trHeight w:val="184"/>
        </w:trPr>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Seriously</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196"/>
        </w:trPr>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Delinquent</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Delinquent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Delinquent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Delinquent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r>
      <w:tr>
        <w:trPr>
          <w:trHeight w:val="419"/>
        </w:trPr>
        <w:tc>
          <w:tcPr>
            <w:tcW w:w="1140" w:type="dxa"/>
            <w:vAlign w:val="bottom"/>
            <w:tcBorders>
              <w:top w:val="single" w:sz="8" w:color="2C6937"/>
            </w:tcBorders>
          </w:tcPr>
          <w:p>
            <w:pPr>
              <w:ind w:left="640"/>
              <w:spacing w:after="0"/>
              <w:rPr>
                <w:sz w:val="20"/>
                <w:szCs w:val="20"/>
                <w:color w:val="auto"/>
              </w:rPr>
            </w:pPr>
            <w:r>
              <w:rPr>
                <w:rFonts w:ascii="Arial" w:cs="Arial" w:eastAsia="Arial" w:hAnsi="Arial"/>
                <w:sz w:val="15"/>
                <w:szCs w:val="15"/>
                <w:b w:val="1"/>
                <w:bCs w:val="1"/>
                <w:color w:val="auto"/>
              </w:rPr>
              <w:t>0.87 %</w:t>
            </w:r>
          </w:p>
        </w:tc>
        <w:tc>
          <w:tcPr>
            <w:tcW w:w="100" w:type="dxa"/>
            <w:vAlign w:val="bottom"/>
          </w:tcPr>
          <w:p>
            <w:pPr>
              <w:spacing w:after="0"/>
              <w:rPr>
                <w:sz w:val="24"/>
                <w:szCs w:val="24"/>
                <w:color w:val="auto"/>
              </w:rPr>
            </w:pPr>
          </w:p>
        </w:tc>
        <w:tc>
          <w:tcPr>
            <w:tcW w:w="1160" w:type="dxa"/>
            <w:vAlign w:val="bottom"/>
            <w:tcBorders>
              <w:top w:val="single" w:sz="8" w:color="2C6937"/>
            </w:tcBorders>
          </w:tcPr>
          <w:p>
            <w:pPr>
              <w:ind w:left="660"/>
              <w:spacing w:after="0"/>
              <w:rPr>
                <w:sz w:val="20"/>
                <w:szCs w:val="20"/>
                <w:color w:val="auto"/>
              </w:rPr>
            </w:pPr>
            <w:r>
              <w:rPr>
                <w:rFonts w:ascii="Arial" w:cs="Arial" w:eastAsia="Arial" w:hAnsi="Arial"/>
                <w:sz w:val="15"/>
                <w:szCs w:val="15"/>
                <w:b w:val="1"/>
                <w:bCs w:val="1"/>
                <w:color w:val="auto"/>
              </w:rPr>
              <w:t>0.21 %</w:t>
            </w:r>
          </w:p>
        </w:tc>
        <w:tc>
          <w:tcPr>
            <w:tcW w:w="100" w:type="dxa"/>
            <w:vAlign w:val="bottom"/>
          </w:tcPr>
          <w:p>
            <w:pPr>
              <w:spacing w:after="0"/>
              <w:rPr>
                <w:sz w:val="24"/>
                <w:szCs w:val="24"/>
                <w:color w:val="auto"/>
              </w:rPr>
            </w:pPr>
          </w:p>
        </w:tc>
        <w:tc>
          <w:tcPr>
            <w:tcW w:w="1260" w:type="dxa"/>
            <w:vAlign w:val="bottom"/>
            <w:tcBorders>
              <w:top w:val="single" w:sz="8" w:color="2C6937"/>
            </w:tcBorders>
          </w:tcPr>
          <w:p>
            <w:pPr>
              <w:ind w:left="760"/>
              <w:spacing w:after="0"/>
              <w:rPr>
                <w:sz w:val="20"/>
                <w:szCs w:val="20"/>
                <w:color w:val="auto"/>
              </w:rPr>
            </w:pPr>
            <w:r>
              <w:rPr>
                <w:rFonts w:ascii="Arial" w:cs="Arial" w:eastAsia="Arial" w:hAnsi="Arial"/>
                <w:sz w:val="15"/>
                <w:szCs w:val="15"/>
                <w:b w:val="1"/>
                <w:bCs w:val="1"/>
                <w:color w:val="auto"/>
              </w:rPr>
              <w:t>0.52 %</w:t>
            </w:r>
          </w:p>
        </w:tc>
        <w:tc>
          <w:tcPr>
            <w:tcW w:w="100" w:type="dxa"/>
            <w:vAlign w:val="bottom"/>
          </w:tcPr>
          <w:p>
            <w:pPr>
              <w:spacing w:after="0"/>
              <w:rPr>
                <w:sz w:val="24"/>
                <w:szCs w:val="24"/>
                <w:color w:val="auto"/>
              </w:rPr>
            </w:pPr>
          </w:p>
        </w:tc>
        <w:tc>
          <w:tcPr>
            <w:tcW w:w="1160" w:type="dxa"/>
            <w:vAlign w:val="bottom"/>
            <w:tcBorders>
              <w:top w:val="single" w:sz="8" w:color="2C6937"/>
            </w:tcBorders>
          </w:tcPr>
          <w:p>
            <w:pPr>
              <w:ind w:left="660"/>
              <w:spacing w:after="0"/>
              <w:rPr>
                <w:sz w:val="20"/>
                <w:szCs w:val="20"/>
                <w:color w:val="auto"/>
              </w:rPr>
            </w:pPr>
            <w:r>
              <w:rPr>
                <w:rFonts w:ascii="Arial" w:cs="Arial" w:eastAsia="Arial" w:hAnsi="Arial"/>
                <w:sz w:val="15"/>
                <w:szCs w:val="15"/>
                <w:color w:val="auto"/>
              </w:rPr>
              <w:t>0.98 %</w:t>
            </w:r>
          </w:p>
        </w:tc>
        <w:tc>
          <w:tcPr>
            <w:tcW w:w="100" w:type="dxa"/>
            <w:vAlign w:val="bottom"/>
          </w:tcPr>
          <w:p>
            <w:pPr>
              <w:spacing w:after="0"/>
              <w:rPr>
                <w:sz w:val="24"/>
                <w:szCs w:val="24"/>
                <w:color w:val="auto"/>
              </w:rPr>
            </w:pPr>
          </w:p>
        </w:tc>
        <w:tc>
          <w:tcPr>
            <w:tcW w:w="1160" w:type="dxa"/>
            <w:vAlign w:val="bottom"/>
            <w:tcBorders>
              <w:top w:val="single" w:sz="8" w:color="2C6937"/>
            </w:tcBorders>
          </w:tcPr>
          <w:p>
            <w:pPr>
              <w:ind w:left="660"/>
              <w:spacing w:after="0"/>
              <w:rPr>
                <w:sz w:val="20"/>
                <w:szCs w:val="20"/>
                <w:color w:val="auto"/>
              </w:rPr>
            </w:pPr>
            <w:r>
              <w:rPr>
                <w:rFonts w:ascii="Arial" w:cs="Arial" w:eastAsia="Arial" w:hAnsi="Arial"/>
                <w:sz w:val="15"/>
                <w:szCs w:val="15"/>
                <w:color w:val="auto"/>
              </w:rPr>
              <w:t>0.24 %</w:t>
            </w:r>
          </w:p>
        </w:tc>
        <w:tc>
          <w:tcPr>
            <w:tcW w:w="100" w:type="dxa"/>
            <w:vAlign w:val="bottom"/>
          </w:tcPr>
          <w:p>
            <w:pPr>
              <w:spacing w:after="0"/>
              <w:rPr>
                <w:sz w:val="24"/>
                <w:szCs w:val="24"/>
                <w:color w:val="auto"/>
              </w:rPr>
            </w:pPr>
          </w:p>
        </w:tc>
        <w:tc>
          <w:tcPr>
            <w:tcW w:w="1280" w:type="dxa"/>
            <w:vAlign w:val="bottom"/>
            <w:tcBorders>
              <w:top w:val="single" w:sz="8" w:color="2C6937"/>
            </w:tcBorders>
          </w:tcPr>
          <w:p>
            <w:pPr>
              <w:ind w:left="780"/>
              <w:spacing w:after="0"/>
              <w:rPr>
                <w:sz w:val="20"/>
                <w:szCs w:val="20"/>
                <w:color w:val="auto"/>
              </w:rPr>
            </w:pPr>
            <w:r>
              <w:rPr>
                <w:rFonts w:ascii="Arial" w:cs="Arial" w:eastAsia="Arial" w:hAnsi="Arial"/>
                <w:sz w:val="15"/>
                <w:szCs w:val="15"/>
                <w:color w:val="auto"/>
              </w:rPr>
              <w:t>0.56 %</w:t>
            </w:r>
          </w:p>
        </w:tc>
      </w:tr>
      <w:tr>
        <w:trPr>
          <w:trHeight w:val="425"/>
        </w:trPr>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0.94</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b w:val="1"/>
                <w:bCs w:val="1"/>
                <w:color w:val="auto"/>
              </w:rPr>
              <w:t>0.23</w:t>
            </w:r>
          </w:p>
        </w:tc>
        <w:tc>
          <w:tcPr>
            <w:tcW w:w="100" w:type="dxa"/>
            <w:vAlign w:val="bottom"/>
          </w:tcPr>
          <w:p>
            <w:pPr>
              <w:spacing w:after="0"/>
              <w:rPr>
                <w:sz w:val="24"/>
                <w:szCs w:val="24"/>
                <w:color w:val="auto"/>
              </w:rPr>
            </w:pPr>
          </w:p>
        </w:tc>
        <w:tc>
          <w:tcPr>
            <w:tcW w:w="1260" w:type="dxa"/>
            <w:vAlign w:val="bottom"/>
          </w:tcPr>
          <w:p>
            <w:pPr>
              <w:ind w:left="760"/>
              <w:spacing w:after="0"/>
              <w:rPr>
                <w:sz w:val="20"/>
                <w:szCs w:val="20"/>
                <w:color w:val="auto"/>
              </w:rPr>
            </w:pPr>
            <w:r>
              <w:rPr>
                <w:rFonts w:ascii="Arial" w:cs="Arial" w:eastAsia="Arial" w:hAnsi="Arial"/>
                <w:sz w:val="15"/>
                <w:szCs w:val="15"/>
                <w:b w:val="1"/>
                <w:bCs w:val="1"/>
                <w:color w:val="auto"/>
              </w:rPr>
              <w:t>0.51</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0.26</w:t>
            </w:r>
          </w:p>
        </w:tc>
        <w:tc>
          <w:tcPr>
            <w:tcW w:w="10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5"/>
                <w:szCs w:val="15"/>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421640</wp:posOffset>
            </wp:positionV>
            <wp:extent cx="68059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3440" w:space="100"/>
            <w:col w:w="7660"/>
          </w:cols>
          <w:pgMar w:left="320" w:top="248" w:right="37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93" w:name="page94"/>
    <w:bookmarkEnd w:id="93"/>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26670</wp:posOffset>
            </wp:positionV>
            <wp:extent cx="450278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580" w:type="dxa"/>
            <w:vAlign w:val="bottom"/>
            <w:gridSpan w:val="4"/>
          </w:tcPr>
          <w:p>
            <w:pPr>
              <w:ind w:left="1240"/>
              <w:spacing w:after="0"/>
              <w:rPr>
                <w:sz w:val="20"/>
                <w:szCs w:val="20"/>
                <w:color w:val="auto"/>
              </w:rPr>
            </w:pPr>
            <w:r>
              <w:rPr>
                <w:rFonts w:ascii="Arial" w:cs="Arial" w:eastAsia="Arial" w:hAnsi="Arial"/>
                <w:sz w:val="14"/>
                <w:szCs w:val="14"/>
                <w:b w:val="1"/>
                <w:bCs w:val="1"/>
                <w:color w:val="auto"/>
              </w:rPr>
              <w:t>March 31, 2024</w:t>
            </w:r>
          </w:p>
        </w:tc>
        <w:tc>
          <w:tcPr>
            <w:tcW w:w="3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4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w:t>
            </w:r>
          </w:p>
        </w:tc>
        <w:tc>
          <w:tcPr>
            <w:tcW w:w="154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Percentage of</w:t>
            </w:r>
          </w:p>
        </w:tc>
        <w:tc>
          <w:tcPr>
            <w:tcW w:w="15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Serious Delinquency</w:t>
            </w:r>
          </w:p>
        </w:tc>
        <w:tc>
          <w:tcPr>
            <w:tcW w:w="1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Serious Delinquency</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8"/>
              </w:rPr>
              <w:t>Guaranty Book of Business</w:t>
            </w:r>
          </w:p>
        </w:tc>
        <w:tc>
          <w:tcPr>
            <w:tcW w:w="164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8"/>
              </w:rPr>
              <w:t>Guaranty Book of Business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640" w:type="dxa"/>
            <w:vAlign w:val="bottom"/>
            <w:gridSpan w:val="2"/>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Based on UPB</w:t>
            </w:r>
          </w:p>
        </w:tc>
        <w:tc>
          <w:tcPr>
            <w:tcW w:w="1540" w:type="dxa"/>
            <w:vAlign w:val="bottom"/>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8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6 %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0.79 %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5 %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0.81 %</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0.62</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8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2.10</w:t>
            </w:r>
          </w:p>
        </w:tc>
        <w:tc>
          <w:tcPr>
            <w:tcW w:w="100" w:type="dxa"/>
            <w:vAlign w:val="bottom"/>
          </w:tcPr>
          <w:p>
            <w:pPr>
              <w:spacing w:after="0"/>
              <w:rPr>
                <w:sz w:val="20"/>
                <w:szCs w:val="20"/>
                <w:color w:val="auto"/>
              </w:rPr>
            </w:pPr>
          </w:p>
        </w:tc>
        <w:tc>
          <w:tcPr>
            <w:tcW w:w="18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0.39</w:t>
            </w:r>
          </w:p>
        </w:tc>
        <w:tc>
          <w:tcPr>
            <w:tcW w:w="100" w:type="dxa"/>
            <w:vAlign w:val="bottom"/>
          </w:tcPr>
          <w:p>
            <w:pPr>
              <w:spacing w:after="0"/>
              <w:rPr>
                <w:sz w:val="21"/>
                <w:szCs w:val="21"/>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Florida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0.68</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0.70</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0.85</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0.92</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Texas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0.59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0.64</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60</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0.48</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Vintages: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40" w:type="dxa"/>
            <w:vAlign w:val="bottom"/>
          </w:tcPr>
          <w:p>
            <w:pPr>
              <w:ind w:left="160"/>
              <w:spacing w:after="0"/>
              <w:rPr>
                <w:sz w:val="20"/>
                <w:szCs w:val="20"/>
                <w:color w:val="auto"/>
              </w:rPr>
            </w:pPr>
            <w:r>
              <w:rPr>
                <w:rFonts w:ascii="Arial" w:cs="Arial" w:eastAsia="Arial" w:hAnsi="Arial"/>
                <w:sz w:val="15"/>
                <w:szCs w:val="15"/>
                <w:color w:val="auto"/>
              </w:rPr>
              <w:t>2008 and prior</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1.91</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4"/>
        </w:trPr>
        <w:tc>
          <w:tcPr>
            <w:tcW w:w="4140" w:type="dxa"/>
            <w:vAlign w:val="bottom"/>
          </w:tcPr>
          <w:p>
            <w:pPr>
              <w:ind w:left="160"/>
              <w:spacing w:after="0"/>
              <w:rPr>
                <w:sz w:val="20"/>
                <w:szCs w:val="20"/>
                <w:color w:val="auto"/>
              </w:rPr>
            </w:pPr>
            <w:r>
              <w:rPr>
                <w:rFonts w:ascii="Arial" w:cs="Arial" w:eastAsia="Arial" w:hAnsi="Arial"/>
                <w:sz w:val="15"/>
                <w:szCs w:val="15"/>
                <w:color w:val="auto"/>
              </w:rPr>
              <w:t>2009-2024</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0.45</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9" w:lineRule="exact"/>
        <w:rPr>
          <w:sz w:val="20"/>
          <w:szCs w:val="20"/>
          <w:color w:val="auto"/>
        </w:rPr>
      </w:pPr>
    </w:p>
    <w:p>
      <w:pPr>
        <w:ind w:left="220" w:hanging="217"/>
        <w:spacing w:after="0"/>
        <w:tabs>
          <w:tab w:leader="none" w:pos="22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Based on loan count, consists of single-family conventional loans that were 90 days or more past due or in the foreclosure process as of March 31, 2024 or December 31, 2023.</w:t>
      </w:r>
    </w:p>
    <w:p>
      <w:pPr>
        <w:spacing w:after="0" w:line="9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ratios greater than 80%. We stratify multifamily loans into different internal risk categories based on the credit risk inherent in each individual loan.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60" w:type="dxa"/>
            <w:vAlign w:val="bottom"/>
            <w:tcBorders>
              <w:top w:val="single" w:sz="8" w:color="2C6937"/>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2024</w:t>
            </w:r>
            <w:r>
              <w:rPr>
                <w:rFonts w:ascii="Arial" w:cs="Arial" w:eastAsia="Arial" w:hAnsi="Arial"/>
                <w:sz w:val="17"/>
                <w:szCs w:val="17"/>
                <w:b w:val="1"/>
                <w:bCs w:val="1"/>
                <w:color w:val="auto"/>
                <w:w w:val="96"/>
                <w:vertAlign w:val="superscript"/>
              </w:rPr>
              <w:t>(1)</w:t>
            </w:r>
          </w:p>
        </w:tc>
        <w:tc>
          <w:tcPr>
            <w:tcW w:w="8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2023</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0.06 %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b w:val="1"/>
                <w:bCs w:val="1"/>
                <w:color w:val="auto"/>
              </w:rPr>
              <w:t>0.44 %</w:t>
            </w:r>
          </w:p>
        </w:tc>
        <w:tc>
          <w:tcPr>
            <w:tcW w:w="20" w:type="dxa"/>
            <w:vAlign w:val="bottom"/>
            <w:tcBorders>
              <w:top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0.46 %</w:t>
            </w:r>
          </w:p>
        </w:tc>
        <w:tc>
          <w:tcPr>
            <w:tcW w:w="0" w:type="dxa"/>
            <w:vAlign w:val="bottom"/>
          </w:tcPr>
          <w:p>
            <w:pPr>
              <w:spacing w:after="0"/>
              <w:rPr>
                <w:sz w:val="1"/>
                <w:szCs w:val="1"/>
                <w:color w:val="auto"/>
              </w:rPr>
            </w:pPr>
          </w:p>
        </w:tc>
      </w:tr>
      <w:tr>
        <w:trPr>
          <w:trHeight w:val="386"/>
        </w:trPr>
        <w:tc>
          <w:tcPr>
            <w:tcW w:w="15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5"/>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March 31, 2024</w:t>
            </w:r>
          </w:p>
        </w:tc>
        <w:tc>
          <w:tcPr>
            <w:tcW w:w="100" w:type="dxa"/>
            <w:vAlign w:val="bottom"/>
            <w:gridSpan w:val="2"/>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2023</w:t>
            </w:r>
          </w:p>
        </w:tc>
        <w:tc>
          <w:tcPr>
            <w:tcW w:w="0" w:type="dxa"/>
            <w:vAlign w:val="bottom"/>
          </w:tcPr>
          <w:p>
            <w:pPr>
              <w:spacing w:after="0"/>
              <w:rPr>
                <w:sz w:val="1"/>
                <w:szCs w:val="1"/>
                <w:color w:val="auto"/>
              </w:rPr>
            </w:pPr>
          </w:p>
        </w:tc>
      </w:tr>
      <w:tr>
        <w:trPr>
          <w:trHeight w:val="178"/>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5"/>
        </w:trPr>
        <w:tc>
          <w:tcPr>
            <w:tcW w:w="168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3"/>
            <w:vMerge w:val="continue"/>
          </w:tcPr>
          <w:p>
            <w:pPr>
              <w:spacing w:after="0"/>
              <w:rPr>
                <w:sz w:val="13"/>
                <w:szCs w:val="13"/>
                <w:color w:val="auto"/>
              </w:rPr>
            </w:pPr>
          </w:p>
        </w:tc>
        <w:tc>
          <w:tcPr>
            <w:tcW w:w="16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0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jc w:val="center"/>
              <w:spacing w:after="0" w:line="203"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00" w:type="dxa"/>
            <w:vAlign w:val="bottom"/>
            <w:gridSpan w:val="2"/>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line="203"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451"/>
        </w:trPr>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ind w:left="1200"/>
              <w:spacing w:after="0"/>
              <w:rPr>
                <w:sz w:val="20"/>
                <w:szCs w:val="20"/>
                <w:color w:val="auto"/>
              </w:rPr>
            </w:pPr>
            <w:r>
              <w:rPr>
                <w:rFonts w:ascii="Arial" w:cs="Arial" w:eastAsia="Arial" w:hAnsi="Arial"/>
                <w:sz w:val="15"/>
                <w:szCs w:val="15"/>
                <w:b w:val="1"/>
                <w:bCs w:val="1"/>
                <w:color w:val="auto"/>
              </w:rPr>
              <w:t>— %</w:t>
            </w:r>
          </w:p>
        </w:tc>
        <w:tc>
          <w:tcPr>
            <w:tcW w:w="1560" w:type="dxa"/>
            <w:vAlign w:val="bottom"/>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4"/>
                <w:szCs w:val="24"/>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0.13 %</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0.45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6.06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2">
            <w:col w:w="3940" w:space="720"/>
            <w:col w:w="6580"/>
          </w:cols>
          <w:pgMar w:left="320" w:top="248" w:right="339" w:bottom="1440" w:gutter="0" w:footer="0" w:header="0"/>
          <w:type w:val="continuous"/>
        </w:sectPr>
      </w:pPr>
    </w:p>
    <w:p>
      <w:pPr>
        <w:ind w:left="240" w:right="400" w:hanging="237"/>
        <w:spacing w:after="0" w:line="226" w:lineRule="auto"/>
        <w:tabs>
          <w:tab w:leader="none" w:pos="233"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4" w:name="page95"/>
    <w:bookmarkEnd w:id="94"/>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40" w:hanging="237"/>
        <w:spacing w:after="0" w:line="226"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27" w:lineRule="exact"/>
        <w:rPr>
          <w:rFonts w:ascii="Arial" w:cs="Arial" w:eastAsia="Arial" w:hAnsi="Arial"/>
          <w:sz w:val="18"/>
          <w:szCs w:val="18"/>
          <w:color w:val="auto"/>
          <w:vertAlign w:val="superscript"/>
        </w:rPr>
      </w:pPr>
    </w:p>
    <w:p>
      <w:pPr>
        <w:ind w:left="240" w:right="560" w:hanging="237"/>
        <w:spacing w:after="0" w:line="218"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covering a 12 month period, from quarterly and annual statements for these properties including the related debt service.</w:t>
      </w:r>
    </w:p>
    <w:p>
      <w:pPr>
        <w:spacing w:after="0" w:line="9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81" w:lineRule="exact"/>
        <w:rPr>
          <w:sz w:val="20"/>
          <w:szCs w:val="20"/>
          <w:color w:val="auto"/>
        </w:rPr>
      </w:pPr>
    </w:p>
    <w:p>
      <w:pPr>
        <w:jc w:val="both"/>
        <w:ind w:right="280"/>
        <w:spacing w:after="0" w:line="293" w:lineRule="auto"/>
        <w:rPr>
          <w:sz w:val="20"/>
          <w:szCs w:val="20"/>
          <w:color w:val="auto"/>
        </w:rPr>
      </w:pPr>
      <w:r>
        <w:rPr>
          <w:rFonts w:ascii="Arial" w:cs="Arial" w:eastAsia="Arial" w:hAnsi="Arial"/>
          <w:sz w:val="16"/>
          <w:szCs w:val="16"/>
          <w:i w:val="1"/>
          <w:iCs w:val="1"/>
          <w:color w:val="auto"/>
        </w:rPr>
        <w:t xml:space="preserve">Mortgage Insurers. </w:t>
      </w:r>
      <w:r>
        <w:rPr>
          <w:rFonts w:ascii="Arial" w:cs="Arial" w:eastAsia="Arial" w:hAnsi="Arial"/>
          <w:sz w:val="16"/>
          <w:szCs w:val="16"/>
          <w:color w:val="auto"/>
        </w:rPr>
        <w:t>Mortgage insurance “risk in force” refers to our maximum potential loss recovery under the applicable mortgage insurance policies in</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is generally based on the loan-level insurance coverage percentage and, if applicable, any aggregate pool loss limit, as specified in the policy.</w:t>
      </w:r>
    </w:p>
    <w:p>
      <w:pPr>
        <w:spacing w:after="0" w:line="1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following table displays our total mortgage insurance risk in force by primary and pool insurance, as well as the total risk-in-force mortgage insurance coverage as a percentage of the single-family conventional guaranty book of business.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2"/>
          </w:tcPr>
          <w:p>
            <w:pPr>
              <w:ind w:left="76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68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8"/>
              </w:rPr>
              <w:t>Single-Family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6"/>
              </w:rPr>
              <w:t>Single-Family</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6"/>
              </w:rPr>
              <w:t>Conventional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Conventional</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Guaranty Book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400" w:type="dxa"/>
            <w:vAlign w:val="bottom"/>
            <w:tcBorders>
              <w:bottom w:val="single" w:sz="8" w:color="2C6937"/>
            </w:tcBorders>
          </w:tcPr>
          <w:p>
            <w:pPr>
              <w:jc w:val="center"/>
              <w:ind w:left="150"/>
              <w:spacing w:after="0"/>
              <w:rPr>
                <w:sz w:val="20"/>
                <w:szCs w:val="20"/>
                <w:color w:val="auto"/>
              </w:rPr>
            </w:pPr>
            <w:r>
              <w:rPr>
                <w:rFonts w:ascii="Arial" w:cs="Arial" w:eastAsia="Arial" w:hAnsi="Arial"/>
                <w:sz w:val="14"/>
                <w:szCs w:val="14"/>
                <w:b w:val="1"/>
                <w:bCs w:val="1"/>
                <w:color w:val="auto"/>
                <w:w w:val="99"/>
              </w:rPr>
              <w:t>Business</w:t>
            </w: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520" w:type="dxa"/>
            <w:vAlign w:val="bottom"/>
            <w:tcBorders>
              <w:bottom w:val="single" w:sz="8" w:color="2C6937"/>
            </w:tcBorders>
          </w:tcPr>
          <w:p>
            <w:pPr>
              <w:jc w:val="center"/>
              <w:ind w:left="10"/>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5"/>
          </w:tcPr>
          <w:p>
            <w:pPr>
              <w:jc w:val="right"/>
              <w:ind w:right="686"/>
              <w:spacing w:after="0"/>
              <w:rPr>
                <w:sz w:val="20"/>
                <w:szCs w:val="20"/>
                <w:color w:val="auto"/>
              </w:rPr>
            </w:pPr>
            <w:r>
              <w:rPr>
                <w:rFonts w:ascii="Arial" w:cs="Arial" w:eastAsia="Arial" w:hAnsi="Arial"/>
                <w:sz w:val="14"/>
                <w:szCs w:val="14"/>
                <w:b w:val="1"/>
                <w:bCs w:val="1"/>
                <w:color w:val="auto"/>
              </w:rPr>
              <w:t>(Dollars in millions)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20" w:type="dxa"/>
            <w:vAlign w:val="bottom"/>
            <w:gridSpan w:val="2"/>
          </w:tcPr>
          <w:p>
            <w:pPr>
              <w:ind w:left="20"/>
              <w:spacing w:after="0"/>
              <w:rPr>
                <w:sz w:val="20"/>
                <w:szCs w:val="20"/>
                <w:color w:val="auto"/>
              </w:rPr>
            </w:pPr>
            <w:r>
              <w:rPr>
                <w:rFonts w:ascii="Arial" w:cs="Arial" w:eastAsia="Arial" w:hAnsi="Arial"/>
                <w:sz w:val="15"/>
                <w:szCs w:val="15"/>
                <w:color w:val="auto"/>
              </w:rPr>
              <w:t>Mortgage insurance risk in force: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20" w:type="dxa"/>
            <w:vAlign w:val="bottom"/>
            <w:gridSpan w:val="2"/>
          </w:tcPr>
          <w:p>
            <w:pPr>
              <w:ind w:left="160"/>
              <w:spacing w:after="0"/>
              <w:rPr>
                <w:sz w:val="20"/>
                <w:szCs w:val="20"/>
                <w:color w:val="auto"/>
              </w:rPr>
            </w:pPr>
            <w:r>
              <w:rPr>
                <w:rFonts w:ascii="Arial" w:cs="Arial" w:eastAsia="Arial" w:hAnsi="Arial"/>
                <w:sz w:val="15"/>
                <w:szCs w:val="15"/>
                <w:color w:val="auto"/>
              </w:rPr>
              <w:t>Primary mortgage insurance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200,019</w:t>
            </w:r>
          </w:p>
        </w:tc>
        <w:tc>
          <w:tcPr>
            <w:tcW w:w="140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200,023</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300" w:type="dxa"/>
            <w:vAlign w:val="bottom"/>
            <w:tcBorders>
              <w:bottom w:val="single" w:sz="8" w:color="2C6937"/>
            </w:tcBorders>
          </w:tcPr>
          <w:p>
            <w:pPr>
              <w:ind w:left="160"/>
              <w:spacing w:after="0"/>
              <w:rPr>
                <w:sz w:val="20"/>
                <w:szCs w:val="20"/>
                <w:color w:val="auto"/>
              </w:rPr>
            </w:pPr>
            <w:r>
              <w:rPr>
                <w:rFonts w:ascii="Arial" w:cs="Arial" w:eastAsia="Arial" w:hAnsi="Arial"/>
                <w:sz w:val="15"/>
                <w:szCs w:val="15"/>
                <w:color w:val="auto"/>
              </w:rPr>
              <w:t>Pool mortgage insurance</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96</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98</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320"/>
              <w:spacing w:after="0"/>
              <w:rPr>
                <w:sz w:val="20"/>
                <w:szCs w:val="20"/>
                <w:color w:val="auto"/>
              </w:rPr>
            </w:pPr>
            <w:r>
              <w:rPr>
                <w:rFonts w:ascii="Arial" w:cs="Arial" w:eastAsia="Arial" w:hAnsi="Arial"/>
                <w:sz w:val="15"/>
                <w:szCs w:val="15"/>
                <w:color w:val="auto"/>
              </w:rPr>
              <w:t>Total mortgage insurance risk in force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200,115</w:t>
            </w:r>
          </w:p>
        </w:tc>
        <w:tc>
          <w:tcPr>
            <w:tcW w:w="1400" w:type="dxa"/>
            <w:vAlign w:val="bottom"/>
          </w:tcPr>
          <w:p>
            <w:pPr>
              <w:jc w:val="center"/>
              <w:ind w:left="150"/>
              <w:spacing w:after="0"/>
              <w:rPr>
                <w:sz w:val="20"/>
                <w:szCs w:val="20"/>
                <w:color w:val="auto"/>
              </w:rPr>
            </w:pPr>
            <w:r>
              <w:rPr>
                <w:rFonts w:ascii="Arial" w:cs="Arial" w:eastAsia="Arial" w:hAnsi="Arial"/>
                <w:sz w:val="15"/>
                <w:szCs w:val="15"/>
                <w:b w:val="1"/>
                <w:bCs w:val="1"/>
                <w:color w:val="auto"/>
              </w:rPr>
              <w:t>6%</w:t>
            </w: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200,121</w:t>
            </w:r>
          </w:p>
        </w:tc>
        <w:tc>
          <w:tcPr>
            <w:tcW w:w="1520" w:type="dxa"/>
            <w:vAlign w:val="bottom"/>
          </w:tcPr>
          <w:p>
            <w:pPr>
              <w:jc w:val="center"/>
              <w:ind w:left="3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53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Mortgage insurance only covers losses that are realized after the borrower defaults and title to the property is subsequently transferred, such as after a foreclosure, short-sale, or a deed-in-lieu of foreclosure. Also, mortgage insurance does not protect us from all losses on covered loans. For example, mortgage insurance is not intended to cover property damage from hazards, including natural disasters; and the mortgage insurance policy permits the exclusion of any material loss directly related to property damage.</w:t>
      </w:r>
    </w:p>
    <w:p>
      <w:pPr>
        <w:spacing w:after="0" w:line="3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general, we require single-family and multifamily borrowers to obtain and maintain property insurance to cover the risk of damage to their homes or properties resulting from hazards such as fire, wind and, for properties located in Federal Emergency Management Agency-designated Special Flood Hazard Areas, flooding. Since we generally require borrowers to select and obtain hazard insurance policies, our requirements for hazard insurance coverage are verified by the lender or servicer, as applicable. For single-family loans, we require a minimum financial strength rating for non-governmental hazard insurers that must be provided by S&amp;P Global, Demotech, AM Best or KBRA. For multifamily loans, we require a minimum financial strength rating for non-governmental hazard insurers that must be provided by Demotech or AM Best. We do not independently verify the financial condition of these hazard insurers and rely on these rating agencies for their assessment of the financial condition of these 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059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5" w:name="page96"/>
    <w:bookmarkEnd w:id="95"/>
    <w:p>
      <w:pPr>
        <w:jc w:val="right"/>
        <w:ind w:right="8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table below displays our mortgage insurer counterparties that provided 10% or more of the risk in force mortgage insurance coverage on mortgage loans in our single-family conventional guaranty book of business.</w:t>
      </w:r>
    </w:p>
    <w:p>
      <w:pPr>
        <w:spacing w:after="0" w:line="105"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Percentage of Risk in Force</w:t>
      </w:r>
    </w:p>
    <w:p>
      <w:pPr>
        <w:spacing w:after="0" w:line="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Coverage by Mortgage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1270</wp:posOffset>
            </wp:positionV>
            <wp:extent cx="25869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1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26670</wp:posOffset>
            </wp:positionV>
            <wp:extent cx="25869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38" w:lineRule="exact"/>
        <w:rPr>
          <w:sz w:val="20"/>
          <w:szCs w:val="20"/>
          <w:color w:val="auto"/>
        </w:rPr>
      </w:pPr>
    </w:p>
    <w:p>
      <w:pPr>
        <w:ind w:left="7640"/>
        <w:spacing w:after="0"/>
        <w:tabs>
          <w:tab w:leader="none" w:pos="9580" w:val="left"/>
        </w:tabs>
        <w:rPr>
          <w:sz w:val="20"/>
          <w:szCs w:val="20"/>
          <w:color w:val="auto"/>
        </w:rPr>
      </w:pPr>
      <w:r>
        <w:rPr>
          <w:rFonts w:ascii="Arial" w:cs="Arial" w:eastAsia="Arial" w:hAnsi="Arial"/>
          <w:sz w:val="14"/>
          <w:szCs w:val="14"/>
          <w:b w:val="1"/>
          <w:bCs w:val="1"/>
          <w:color w:val="auto"/>
        </w:rPr>
        <w:t>March 31,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18415</wp:posOffset>
            </wp:positionV>
            <wp:extent cx="25869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Counterparty:</w:t>
      </w:r>
      <w:r>
        <w:rPr>
          <w:rFonts w:ascii="Arial" w:cs="Arial" w:eastAsia="Arial" w:hAnsi="Arial"/>
          <w:sz w:val="20"/>
          <w:szCs w:val="20"/>
          <w:color w:val="auto"/>
          <w:vertAlign w:val="superscript"/>
        </w:rPr>
        <w:t>(1)</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Mortgage Guaranty Insurance Corp.</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Radian Guaranty, Inc.</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Arch Capital Group Ltd.</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Enact Mortgage Insurance Corp.</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Essent Guaranty, Inc.</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National Mortgage Insurance Corp.</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44615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461510" cy="8255"/>
                    </a:xfrm>
                    <a:prstGeom prst="rect">
                      <a:avLst/>
                    </a:prstGeom>
                    <a:noFill/>
                  </pic:spPr>
                </pic:pic>
              </a:graphicData>
            </a:graphic>
          </wp:anchor>
        </w:drawing>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44615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461510" cy="82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53975</wp:posOffset>
            </wp:positionV>
            <wp:extent cx="44615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461510" cy="8255"/>
                    </a:xfrm>
                    <a:prstGeom prst="rect">
                      <a:avLst/>
                    </a:prstGeom>
                    <a:noFill/>
                  </pic:spPr>
                </pic:pic>
              </a:graphicData>
            </a:graphic>
          </wp:anchor>
        </w:drawing>
      </w:r>
    </w:p>
    <w:p>
      <w:pPr>
        <w:spacing w:after="0" w:line="199" w:lineRule="exact"/>
        <w:rPr>
          <w:sz w:val="20"/>
          <w:szCs w:val="20"/>
          <w:color w:val="auto"/>
        </w:rPr>
      </w:pPr>
    </w:p>
    <w:p>
      <w:pPr>
        <w:ind w:left="200" w:hanging="197"/>
        <w:spacing w:after="0"/>
        <w:tabs>
          <w:tab w:leader="none" w:pos="2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less than 0.5% of the risk in force mortgage insurance coverage.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00" w:hanging="205"/>
        <w:spacing w:after="0"/>
        <w:tabs>
          <w:tab w:leader="none" w:pos="30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98"/>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99"/>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0"/>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1"/>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2"/>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22225</wp:posOffset>
            </wp:positionV>
            <wp:extent cx="12522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22225</wp:posOffset>
            </wp:positionV>
            <wp:extent cx="12522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52220" cy="8255"/>
                    </a:xfrm>
                    <a:prstGeom prst="rect">
                      <a:avLst/>
                    </a:prstGeom>
                    <a:noFill/>
                  </pic:spPr>
                </pic:pic>
              </a:graphicData>
            </a:graphic>
          </wp:anchor>
        </w:drawing>
        <w:drawing>
          <wp:anchor simplePos="0" relativeHeight="251657728" behindDoc="1" locked="0" layoutInCell="0" allowOverlap="1">
            <wp:simplePos x="0" y="0"/>
            <wp:positionH relativeFrom="column">
              <wp:posOffset>-953135</wp:posOffset>
            </wp:positionH>
            <wp:positionV relativeFrom="paragraph">
              <wp:posOffset>46990</wp:posOffset>
            </wp:positionV>
            <wp:extent cx="12522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320" w:hanging="224"/>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04"/>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5"/>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6"/>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7"/>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8"/>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20955</wp:posOffset>
            </wp:positionV>
            <wp:extent cx="12687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20955</wp:posOffset>
            </wp:positionV>
            <wp:extent cx="126873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45720</wp:posOffset>
            </wp:positionV>
            <wp:extent cx="12687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3">
            <w:col w:w="7940" w:space="720"/>
            <w:col w:w="1380" w:space="720"/>
            <w:col w:w="460"/>
          </w:cols>
          <w:pgMar w:left="320" w:top="248" w:right="359" w:bottom="1440" w:gutter="0" w:footer="0" w:header="0"/>
          <w:type w:val="continuous"/>
        </w:sectPr>
      </w:pPr>
    </w:p>
    <w:p>
      <w:pPr>
        <w:ind w:left="220" w:hanging="217"/>
        <w:spacing w:after="0"/>
        <w:tabs>
          <w:tab w:leader="none" w:pos="22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5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have counterparty credit risk relating to the potential insolvency of, or non-performance by, monoline mortgage insurers that insure single-family loans we purchase or guarantee. There is risk that these counterparties may fail to fulfill their obligations to pay our claims under insurance policies. On at least a quarterly basis, we assess our mortgage insurer counterparties’ respective abilities to fulfill their obligations to us. Our assessment includes financial reviews and analyses of the insurers’ portfolios and capital adequacy. If we determine that it is probable that we will not collect all of our claims from one or more of our mortgage insurer counterparties, it could increase our loss reserves, which could adversely affect our results of operations, liquidity, financial condition and net worth.</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When we estimate the credit losses that are inherent in our mortgage loans and under the terms of our guaranty obligations, we also consider the recoveries that we expect to receive from primary mortgage insurance, as mortgage insurance recoveries reduce the severity of the loss associated with defaulted loans if the borrower defaults and title to the property is subsequently transferred. Mortgage insurance does not cover credit losses that result from a reduction in mortgage interest paid by the borrower in connection with a loan modification, forbearance of principal, or forbearance of scheduled loan payments. We evaluate the financial condition of our mortgage insurer counterparties and adjust the contractually due recovery amounts to ensure that expected credit losses as of the balance sheet date are included in our loss reserve estimate. As a result, if our assessment of one or more of our mortgage insurer counterparties’ ability to fulfill their respective obligations to us worsens, it could increase our loss reserves. As of March 31, 2024 and December 31, 2023, our estimated benefit from mortgage insurance, which is based on estimated credit losses as of period end, reduced our loss reserves by $1.1 billion and $1.2 billion, respectively.</w:t>
      </w:r>
    </w:p>
    <w:p>
      <w:pPr>
        <w:spacing w:after="0" w:line="57"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As of March 31, 2024 and December 31, 2023, we had outstanding receivables of $470 million and $471 million, respectively, recorded in “Other assets” in our condensed consolidated balance sheets related to amounts claimed on insured, defaulted loans excluding government-insured loans. As of March 31, 2024 and December 31, 2023, we assessed these outstanding receivables for collectability, and established a valuation allowance of $417 million.</w:t>
      </w:r>
    </w:p>
    <w:p>
      <w:pPr>
        <w:spacing w:after="0" w:line="3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Mortgage Servicers and Sellers. </w:t>
      </w:r>
      <w:r>
        <w:rPr>
          <w:rFonts w:ascii="Arial" w:cs="Arial" w:eastAsia="Arial" w:hAnsi="Arial"/>
          <w:sz w:val="16"/>
          <w:szCs w:val="16"/>
          <w:color w:val="auto"/>
        </w:rPr>
        <w:t>Mortgage servicers collect mortgage and escrow payments from borrowers, pay taxes and insurance costs from escrow</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monitor and report delinquencies, and perform other required activities, including loss mitigation, on our behalf. Our mortgage servicers and sellers may also be obligated to repurchase loans or foreclosed properties, reimburse us for losses or provide other remedies under certain circumstances, such as if it is determined that the mortgage loan did not meet our underwriting or eligibility requirements, if certain loan representations and warranties are violated or if mortgage insurers rescind coverage. Our representation and warranty framework does not require repurchase for loans that have breaches of certain selling representations and warranties if they have met specified criteria for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type w:val="continuous"/>
        </w:sectPr>
      </w:pPr>
    </w:p>
    <w:bookmarkStart w:id="96" w:name="page97"/>
    <w:bookmarkEnd w:id="96"/>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business with mortgage servicers is concentrated. The table below displays the percentage of our single-family conventional guaranty book of business serviced by our top five depository single-family mortgage servicers and top five non-depository single-family mortgage servicers (i.e., servicers that are not insured depository institutions) based on unpaid principal balance. There were no servicers that serviced 10% or more of our single-family guaranty book of business as of March 31, 2024 or December 31, 2023.</w:t>
      </w:r>
    </w:p>
    <w:p>
      <w:pPr>
        <w:spacing w:after="0" w:line="123"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Percentage of Single-Family</w:t>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Conventional</w:t>
      </w:r>
    </w:p>
    <w:p>
      <w:pPr>
        <w:jc w:val="center"/>
        <w:ind w:left="730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17780</wp:posOffset>
            </wp:positionV>
            <wp:extent cx="24968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26670</wp:posOffset>
            </wp:positionV>
            <wp:extent cx="24968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8" w:lineRule="exact"/>
        <w:rPr>
          <w:sz w:val="20"/>
          <w:szCs w:val="20"/>
          <w:color w:val="auto"/>
        </w:rPr>
      </w:pPr>
    </w:p>
    <w:p>
      <w:pPr>
        <w:ind w:left="7780"/>
        <w:spacing w:after="0"/>
        <w:tabs>
          <w:tab w:leader="none" w:pos="9640" w:val="left"/>
        </w:tabs>
        <w:rPr>
          <w:sz w:val="20"/>
          <w:szCs w:val="20"/>
          <w:color w:val="auto"/>
        </w:rPr>
      </w:pPr>
      <w:r>
        <w:rPr>
          <w:rFonts w:ascii="Arial" w:cs="Arial" w:eastAsia="Arial" w:hAnsi="Arial"/>
          <w:sz w:val="14"/>
          <w:szCs w:val="14"/>
          <w:b w:val="1"/>
          <w:bCs w:val="1"/>
          <w:color w:val="auto"/>
        </w:rPr>
        <w:t>March 31,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18415</wp:posOffset>
            </wp:positionV>
            <wp:extent cx="24968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7644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11"/>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22225</wp:posOffset>
            </wp:positionV>
            <wp:extent cx="1211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46990</wp:posOffset>
            </wp:positionV>
            <wp:extent cx="1211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-132715</wp:posOffset>
            </wp:positionV>
            <wp:extent cx="1211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14"/>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15"/>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1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As of March 31, 2024, 43% of our single-family conventional guaranty book of business was serviced by depository servicers, and 57% of our single-family conventional guaranty book of business was serviced by non-depository servicers. As of December 31, 2023, 44% of our single-family conventional guaranty book of business was serviced by depository servicers, and 56% of our single-family conventional guaranty book of business was serviced by non-depository servicers.</w:t>
      </w:r>
    </w:p>
    <w:p>
      <w:pPr>
        <w:spacing w:after="0" w:line="2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table below displays the percentage of our multifamily guaranty book of business serviced by our top five depository multifamily mortgage servicers and top five non-depository multifamily mortgage servicers. As of March 31, 2024, two servicers serviced 10% or more of our multifamily guaranty book of business, Walker &amp; Dunlop, Inc. and Wells Fargo Bank, N.A. (together with its affiliates). As of March 31, 2024 and December 31, 2023, Walker &amp; Dunlop, Inc. and Wells Fargo Bank, N.A. (together with its affiliates) serviced 13% and 10%, respectively, of our multifamily guaranty book of business based on unpaid principal balance. Walker &amp; Dunlop, Inc. is a non-depository servicer and Wells Fargo Bank, N.A. is a depository servicer.</w:t>
      </w:r>
    </w:p>
    <w:p>
      <w:pPr>
        <w:spacing w:after="0" w:line="2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Percentage of Multifamily</w:t>
      </w:r>
    </w:p>
    <w:p>
      <w:pPr>
        <w:spacing w:after="0" w:line="2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17780</wp:posOffset>
            </wp:positionV>
            <wp:extent cx="24968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26670</wp:posOffset>
            </wp:positionV>
            <wp:extent cx="24968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8" w:lineRule="exact"/>
        <w:rPr>
          <w:sz w:val="20"/>
          <w:szCs w:val="20"/>
          <w:color w:val="auto"/>
        </w:rPr>
      </w:pPr>
    </w:p>
    <w:p>
      <w:pPr>
        <w:ind w:left="7780"/>
        <w:spacing w:after="0"/>
        <w:tabs>
          <w:tab w:leader="none" w:pos="9640" w:val="left"/>
        </w:tabs>
        <w:rPr>
          <w:sz w:val="20"/>
          <w:szCs w:val="20"/>
          <w:color w:val="auto"/>
        </w:rPr>
      </w:pPr>
      <w:r>
        <w:rPr>
          <w:rFonts w:ascii="Arial" w:cs="Arial" w:eastAsia="Arial" w:hAnsi="Arial"/>
          <w:sz w:val="14"/>
          <w:szCs w:val="14"/>
          <w:b w:val="1"/>
          <w:bCs w:val="1"/>
          <w:color w:val="auto"/>
        </w:rPr>
        <w:t>March 31,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18415</wp:posOffset>
            </wp:positionV>
            <wp:extent cx="24968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764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5764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764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57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17"/>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22225</wp:posOffset>
            </wp:positionV>
            <wp:extent cx="1211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46990</wp:posOffset>
            </wp:positionV>
            <wp:extent cx="1211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1158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-132715</wp:posOffset>
            </wp:positionV>
            <wp:extent cx="1211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119"/>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20"/>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21"/>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3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As of March 31, 2024 and December 31, 2023, 31% of our multifamily guaranty book of business was serviced by depository servicers and 69% of our multifamily guaranty book of business was serviced by non-depository servicers.</w:t>
      </w:r>
    </w:p>
    <w:p>
      <w:pPr>
        <w:spacing w:after="0" w:line="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Compared with depository financial institutions, our non-depository servicers pose additional risks because they may not have the same financial strength or operational capacity, or be subject to the same level of regulatory oversight as depository financial institutions.</w:t>
      </w:r>
    </w:p>
    <w:p>
      <w:pPr>
        <w:spacing w:after="0" w:line="1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Derivatives Counterparties. </w:t>
      </w:r>
      <w:r>
        <w:rPr>
          <w:rFonts w:ascii="Arial" w:cs="Arial" w:eastAsia="Arial" w:hAnsi="Arial"/>
          <w:sz w:val="16"/>
          <w:szCs w:val="16"/>
          <w:color w:val="auto"/>
        </w:rPr>
        <w:t>For information on credit risk associated with our derivative transactions and repurchase agreements see “Note 9,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“Note 12,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7" w:name="page98"/>
    <w:bookmarkEnd w:id="97"/>
    <w:p>
      <w:pPr>
        <w:jc w:val="right"/>
        <w:ind w:right="60"/>
        <w:spacing w:after="0"/>
        <w:rPr>
          <w:sz w:val="20"/>
          <w:szCs w:val="20"/>
          <w:color w:val="auto"/>
        </w:rPr>
      </w:pPr>
      <w:r>
        <w:rPr>
          <w:rFonts w:ascii="Arial" w:cs="Arial" w:eastAsia="Arial" w:hAnsi="Arial"/>
          <w:sz w:val="14"/>
          <w:szCs w:val="14"/>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securities purchased under agreements to resell, and securities sold under agreements to repurchase, which are subject to an enforceable master netting arrangement or similar agreement that are either offset or not offset in our condensed consolidated balance sheets.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Assets: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Total derivative assets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29210</wp:posOffset>
            </wp:positionV>
            <wp:extent cx="23247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Liabilities: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Assets: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Total derivative assets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-6985</wp:posOffset>
            </wp:positionV>
            <wp:extent cx="23412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20320</wp:posOffset>
            </wp:positionV>
            <wp:extent cx="23412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45085</wp:posOffset>
            </wp:positionV>
            <wp:extent cx="234124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Liabilities: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45720</wp:posOffset>
            </wp:positionV>
            <wp:extent cx="234124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As of March 31, 2024</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1"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60" w:type="dxa"/>
            <w:vAlign w:val="bottom"/>
            <w:tcBorders>
              <w:top w:val="single" w:sz="8" w:color="2C6937"/>
            </w:tcBorders>
          </w:tcPr>
          <w:p>
            <w:pPr>
              <w:spacing w:after="0"/>
              <w:rPr>
                <w:sz w:val="16"/>
                <w:szCs w:val="16"/>
                <w:color w:val="auto"/>
              </w:rPr>
            </w:pPr>
          </w:p>
        </w:tc>
        <w:tc>
          <w:tcPr>
            <w:tcW w:w="54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351</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(333)</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43</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ind w:left="640"/>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61</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(25)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73,725</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73,725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(73,725)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74,119</w:t>
            </w:r>
          </w:p>
        </w:tc>
        <w:tc>
          <w:tcPr>
            <w:tcW w:w="40" w:type="dxa"/>
            <w:vAlign w:val="bottom"/>
            <w:tcBorders>
              <w:bottom w:val="single" w:sz="8" w:color="2C6937"/>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(333)</w:t>
            </w:r>
          </w:p>
        </w:tc>
        <w:tc>
          <w:tcPr>
            <w:tcW w:w="280" w:type="dxa"/>
            <w:vAlign w:val="bottom"/>
          </w:tcPr>
          <w:p>
            <w:pPr>
              <w:spacing w:after="0"/>
              <w:rPr>
                <w:sz w:val="17"/>
                <w:szCs w:val="17"/>
                <w:color w:val="auto"/>
              </w:rPr>
            </w:pPr>
          </w:p>
        </w:tc>
        <w:tc>
          <w:tcPr>
            <w:tcW w:w="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73,786</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(25)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(73,726)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2C6937"/>
            </w:tcBorders>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(3,280)</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3,266</w:t>
            </w:r>
          </w:p>
        </w:tc>
        <w:tc>
          <w:tcPr>
            <w:tcW w:w="40" w:type="dxa"/>
            <w:vAlign w:val="bottom"/>
          </w:tcPr>
          <w:p>
            <w:pPr>
              <w:spacing w:after="0"/>
              <w:rPr>
                <w:sz w:val="24"/>
                <w:szCs w:val="24"/>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44"/>
              <w:spacing w:after="0"/>
              <w:rPr>
                <w:sz w:val="20"/>
                <w:szCs w:val="20"/>
                <w:color w:val="auto"/>
              </w:rPr>
            </w:pPr>
            <w:r>
              <w:rPr>
                <w:rFonts w:ascii="Arial" w:cs="Arial" w:eastAsia="Arial" w:hAnsi="Arial"/>
                <w:sz w:val="15"/>
                <w:szCs w:val="15"/>
                <w:color w:val="auto"/>
                <w:w w:val="95"/>
              </w:rPr>
              <w:t>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(3,331)</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3,266</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(65)</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44"/>
              <w:spacing w:after="0"/>
              <w:rPr>
                <w:sz w:val="20"/>
                <w:szCs w:val="20"/>
                <w:color w:val="auto"/>
              </w:rPr>
            </w:pPr>
            <w:r>
              <w:rPr>
                <w:rFonts w:ascii="Arial" w:cs="Arial" w:eastAsia="Arial" w:hAnsi="Arial"/>
                <w:sz w:val="15"/>
                <w:szCs w:val="15"/>
                <w:color w:val="auto"/>
                <w:w w:val="95"/>
              </w:rPr>
              <w:t>25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2023</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328</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(294)</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w:t>
            </w:r>
          </w:p>
        </w:tc>
        <w:tc>
          <w:tcPr>
            <w:tcW w:w="20" w:type="dxa"/>
            <w:vAlign w:val="bottom"/>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2C6937"/>
            </w:tcBorders>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720" w:type="dxa"/>
            <w:vAlign w:val="bottom"/>
            <w:tcBorders>
              <w:top w:val="single" w:sz="8" w:color="2C6937"/>
            </w:tcBorders>
          </w:tcPr>
          <w:p>
            <w:pPr>
              <w:jc w:val="right"/>
              <w:ind w:right="4"/>
              <w:spacing w:after="0"/>
              <w:rPr>
                <w:sz w:val="20"/>
                <w:szCs w:val="20"/>
                <w:color w:val="auto"/>
              </w:rPr>
            </w:pPr>
            <w:r>
              <w:rPr>
                <w:rFonts w:ascii="Arial" w:cs="Arial" w:eastAsia="Arial" w:hAnsi="Arial"/>
                <w:sz w:val="15"/>
                <w:szCs w:val="15"/>
                <w:color w:val="auto"/>
              </w:rPr>
              <w:t>440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(283)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2C6937"/>
            </w:tcBorders>
          </w:tcPr>
          <w:p>
            <w:pPr>
              <w:spacing w:after="0"/>
              <w:rPr>
                <w:sz w:val="19"/>
                <w:szCs w:val="19"/>
                <w:color w:val="auto"/>
              </w:rPr>
            </w:pPr>
          </w:p>
        </w:tc>
        <w:tc>
          <w:tcPr>
            <w:tcW w:w="8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157</w:t>
            </w:r>
          </w:p>
        </w:tc>
        <w:tc>
          <w:tcPr>
            <w:tcW w:w="20" w:type="dxa"/>
            <w:vAlign w:val="bottom"/>
            <w:tcBorders>
              <w:top w:val="single" w:sz="8" w:color="2C6937"/>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840" w:type="dxa"/>
            <w:vAlign w:val="bottom"/>
            <w:tcBorders>
              <w:top w:val="single" w:sz="8" w:color="2C6937"/>
            </w:tcBorders>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Borders>
              <w:top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2C6937"/>
            </w:tcBorders>
          </w:tcPr>
          <w:p>
            <w:pPr>
              <w:spacing w:after="0"/>
              <w:rPr>
                <w:sz w:val="19"/>
                <w:szCs w:val="19"/>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4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65,425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65,425</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(65,425)</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14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65,865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(283)</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65,582</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(65,434)</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2C6937"/>
            </w:tcBorders>
            <w:gridSpan w:val="2"/>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gridSpan w:val="2"/>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(3,223)</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3,203</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ind w:left="640"/>
              <w:spacing w:after="0"/>
              <w:rPr>
                <w:sz w:val="20"/>
                <w:szCs w:val="20"/>
                <w:color w:val="auto"/>
              </w:rPr>
            </w:pPr>
            <w:r>
              <w:rPr>
                <w:rFonts w:ascii="Arial" w:cs="Arial" w:eastAsia="Arial" w:hAnsi="Arial"/>
                <w:sz w:val="15"/>
                <w:szCs w:val="15"/>
                <w:color w:val="auto"/>
              </w:rPr>
              <w:t>77</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0"/>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(3,327)</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3,200</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00" w:lineRule="exact"/>
              <w:rPr>
                <w:sz w:val="20"/>
                <w:szCs w:val="20"/>
                <w:color w:val="auto"/>
              </w:rPr>
            </w:pPr>
            <w:r>
              <w:rPr>
                <w:rFonts w:ascii="Arial" w:cs="Arial" w:eastAsia="Arial" w:hAnsi="Arial"/>
                <w:sz w:val="15"/>
                <w:szCs w:val="15"/>
                <w:color w:val="auto"/>
              </w:rPr>
              <w:t xml:space="preserve">(127)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640"/>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
        </w:trPr>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3700" w:space="180"/>
            <w:col w:w="7320"/>
          </w:cols>
          <w:pgMar w:left="320" w:top="248" w:right="379" w:bottom="1440" w:gutter="0" w:footer="0" w:header="0"/>
          <w:type w:val="continuous"/>
        </w:sectPr>
      </w:pPr>
    </w:p>
    <w:p>
      <w:pPr>
        <w:ind w:left="240" w:hanging="237"/>
        <w:spacing w:after="0" w:line="226" w:lineRule="auto"/>
        <w:tabs>
          <w:tab w:leader="none" w:pos="233"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98" w:name="page99"/>
    <w:bookmarkEnd w:id="98"/>
    <w:p>
      <w:pPr>
        <w:ind w:left="6260"/>
        <w:spacing w:after="0"/>
        <w:rPr>
          <w:sz w:val="20"/>
          <w:szCs w:val="20"/>
          <w:color w:val="auto"/>
        </w:rPr>
      </w:pPr>
      <w:r>
        <w:rPr>
          <w:rFonts w:ascii="Arial" w:cs="Arial" w:eastAsia="Arial" w:hAnsi="Arial"/>
          <w:sz w:val="14"/>
          <w:szCs w:val="14"/>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60" w:hanging="237"/>
        <w:spacing w:after="0" w:line="236"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Represents collateral received that has not been recognized and not offset in our condensed consolidated balance sheets, as well as collateral posted which has been recognized but not offset in our condensed consolidated balance sheets. Does not include collateral held or posted in excess of our exposure. The fair value of non-cash collateral we pledged which the counterparty was permitted to sell or repledge was $1.9 billion and $2.2 billion as of March 31, 2024 and December 31, 2023, respectively. The fair value of non-cash collateral received was $73.8 billion and $65.5 billion, of which $57.5 billion and $55.4 billion could be sold or repledged as of March 31, 2024 and December 31, 2023, respectively. None of the underlying collateral was sold or repledged as of March 31, 2024 or December 31, 2023.</w:t>
      </w:r>
    </w:p>
    <w:p>
      <w:pPr>
        <w:spacing w:after="0" w:line="26" w:lineRule="exact"/>
        <w:rPr>
          <w:rFonts w:ascii="Arial" w:cs="Arial" w:eastAsia="Arial" w:hAnsi="Arial"/>
          <w:sz w:val="18"/>
          <w:szCs w:val="18"/>
          <w:color w:val="auto"/>
          <w:vertAlign w:val="superscript"/>
        </w:rPr>
      </w:pPr>
    </w:p>
    <w:p>
      <w:pPr>
        <w:ind w:left="240" w:hanging="237"/>
        <w:spacing w:after="0" w:line="226"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Excludes derivative assets of $41 million and $45 million as of March 31, 2024 and December 31, 2023, respectively, and derivative liabilities of $13 million as of March 31, 2024 and December 31, 2023, recognized in our condensed consolidated balance sheets, that were not subject to enforceable master netting arrangements.</w:t>
      </w:r>
    </w:p>
    <w:p>
      <w:pPr>
        <w:spacing w:after="0" w:line="27" w:lineRule="exact"/>
        <w:rPr>
          <w:rFonts w:ascii="Arial" w:cs="Arial" w:eastAsia="Arial" w:hAnsi="Arial"/>
          <w:sz w:val="18"/>
          <w:szCs w:val="18"/>
          <w:color w:val="auto"/>
          <w:vertAlign w:val="superscript"/>
        </w:rPr>
      </w:pPr>
    </w:p>
    <w:p>
      <w:pPr>
        <w:ind w:left="240" w:right="280" w:hanging="237"/>
        <w:spacing w:after="0" w:line="226"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Includes $21.8 billion and $12.9 billion in securities purchased under agreements to resell classified as “Cash and cash equivalents” and “Restricted cash and cash equivalents,” respectively, in our condensed consolidated balance sheets as of December 31, 2023.</w:t>
      </w:r>
    </w:p>
    <w:p>
      <w:pPr>
        <w:spacing w:after="0" w:line="39"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2023 Form 10-K.</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8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68"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The fair value hierarchy gives the highest priority, Level 1, to measurements based on unadjusted quoted prices in active markets for identical assets or liabilities. The next highest priority, Level 2, is given to measurements of assets and liabilities based on limited observable inputs or observable inputs for similar assets and liabilities. The lowest priority, Level 3, is given to measurements based on unobservable inputs.</w:t>
      </w:r>
    </w:p>
    <w:p>
      <w:pPr>
        <w:spacing w:after="0" w:line="5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2023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9" w:name="page100"/>
    <w:bookmarkEnd w:id="99"/>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5622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622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5622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622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220"/>
        <w:spacing w:after="0"/>
        <w:rPr>
          <w:sz w:val="20"/>
          <w:szCs w:val="20"/>
          <w:color w:val="auto"/>
        </w:rPr>
      </w:pPr>
      <w:r>
        <w:rPr>
          <w:rFonts w:ascii="Arial" w:cs="Arial" w:eastAsia="Arial" w:hAnsi="Arial"/>
          <w:sz w:val="12"/>
          <w:szCs w:val="12"/>
          <w:b w:val="1"/>
          <w:bCs w:val="1"/>
          <w:color w:val="auto"/>
        </w:rPr>
        <w:t>Fair Value Measurements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451040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2"/>
                <w:szCs w:val="12"/>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rPr>
                <w:sz w:val="20"/>
                <w:szCs w:val="20"/>
                <w:color w:val="auto"/>
              </w:rPr>
            </w:pPr>
            <w:r>
              <w:rPr>
                <w:rFonts w:ascii="Arial" w:cs="Arial" w:eastAsia="Arial" w:hAnsi="Arial"/>
                <w:sz w:val="12"/>
                <w:szCs w:val="12"/>
                <w:b w:val="1"/>
                <w:bCs w:val="1"/>
                <w:color w:val="auto"/>
                <w:w w:val="99"/>
              </w:rPr>
              <w:t>Unobservable Inputs</w:t>
            </w:r>
          </w:p>
        </w:tc>
        <w:tc>
          <w:tcPr>
            <w:tcW w:w="146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vMerge w:val="continue"/>
          </w:tcPr>
          <w:p>
            <w:pPr>
              <w:spacing w:after="0"/>
              <w:rPr>
                <w:sz w:val="16"/>
                <w:szCs w:val="16"/>
                <w:color w:val="auto"/>
              </w:rPr>
            </w:pPr>
          </w:p>
        </w:tc>
        <w:tc>
          <w:tcPr>
            <w:tcW w:w="138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1,686</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47,626</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47,647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47,626</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1,707</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49,361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48</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487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2,706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353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(333)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47,626</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4,814</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1,067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53,174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1"/>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381</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273</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13,648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13,762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14,029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387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14,416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17,360</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(3,266)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14,494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2C6937"/>
            </w:tcBorders>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346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2023</w:t>
            </w:r>
          </w:p>
        </w:tc>
        <w:tc>
          <w:tcPr>
            <w:tcW w:w="48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3"/>
                <w:szCs w:val="13"/>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tcPr>
          <w:p>
            <w:pPr>
              <w:ind w:left="12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tcBorders>
              <w:bottom w:val="single" w:sz="8" w:color="2C6937"/>
            </w:tcBorders>
            <w:gridSpan w:val="4"/>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4,744</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4,770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4,762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52,552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2,838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395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8,045</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1,107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56,633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1"/>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493</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268</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14,226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14,343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14,719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385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15,104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18,046</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398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(3,200)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441960</wp:posOffset>
            </wp:positionV>
            <wp:extent cx="68059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720"/>
            <w:col w:w="7100"/>
          </w:cols>
          <w:pgMar w:left="320" w:top="248" w:right="33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0" w:name="page101"/>
    <w:bookmarkEnd w:id="100"/>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700" w:hanging="237"/>
        <w:spacing w:after="0" w:line="226" w:lineRule="auto"/>
        <w:tabs>
          <w:tab w:leader="none" w:pos="233"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Primarily includes U.S. Treasury securities.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and Ginnie Mae.</w:t>
      </w:r>
    </w:p>
    <w:p>
      <w:pPr>
        <w:spacing w:after="0" w:line="6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 The tables also display gains and losses due to changes in fair value, including both realized and unrealized gains and losses, recognized in our condensed consolidated statements of operations and comprehensive income for Level 3 assets and liabilities.</w:t>
      </w:r>
    </w:p>
    <w:p>
      <w:pPr>
        <w:spacing w:after="0" w:line="16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18415</wp:posOffset>
            </wp:positionV>
            <wp:extent cx="62052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29"/>
              <w:spacing w:after="0" w:line="95" w:lineRule="exact"/>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29"/>
              <w:spacing w:after="0"/>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60" w:type="dxa"/>
            <w:vAlign w:val="bottom"/>
          </w:tcPr>
          <w:p>
            <w:pPr>
              <w:spacing w:after="0"/>
              <w:rPr>
                <w:sz w:val="8"/>
                <w:szCs w:val="8"/>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20" w:type="dxa"/>
            <w:vAlign w:val="bottom"/>
            <w:gridSpan w:val="3"/>
          </w:tcPr>
          <w:p>
            <w:pPr>
              <w:jc w:val="right"/>
              <w:ind w:right="420"/>
              <w:spacing w:after="0"/>
              <w:rPr>
                <w:sz w:val="20"/>
                <w:szCs w:val="20"/>
                <w:color w:val="auto"/>
              </w:rPr>
            </w:pPr>
            <w:r>
              <w:rPr>
                <w:rFonts w:ascii="Arial" w:cs="Arial" w:eastAsia="Arial" w:hAnsi="Arial"/>
                <w:sz w:val="9"/>
                <w:szCs w:val="9"/>
                <w:b w:val="1"/>
                <w:bCs w:val="1"/>
                <w:color w:val="auto"/>
              </w:rPr>
              <w:t>Included in</w:t>
            </w: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Transfers out</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920" w:type="dxa"/>
            <w:vAlign w:val="bottom"/>
            <w:gridSpan w:val="3"/>
          </w:tcPr>
          <w:p>
            <w:pPr>
              <w:ind w:left="20"/>
              <w:spacing w:after="0"/>
              <w:rPr>
                <w:sz w:val="20"/>
                <w:szCs w:val="20"/>
                <w:color w:val="auto"/>
              </w:rPr>
            </w:pPr>
            <w:r>
              <w:rPr>
                <w:rFonts w:ascii="Arial" w:cs="Arial" w:eastAsia="Arial" w:hAnsi="Arial"/>
                <w:sz w:val="9"/>
                <w:szCs w:val="9"/>
                <w:b w:val="1"/>
                <w:bCs w:val="1"/>
                <w:color w:val="auto"/>
              </w:rPr>
              <w:t>Balance, March 31,</w:t>
            </w: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 of March 31,</w:t>
            </w:r>
          </w:p>
        </w:tc>
        <w:tc>
          <w:tcPr>
            <w:tcW w:w="880" w:type="dxa"/>
            <w:vAlign w:val="bottom"/>
            <w:gridSpan w:val="2"/>
          </w:tcPr>
          <w:p>
            <w:pPr>
              <w:ind w:left="20"/>
              <w:spacing w:after="0"/>
              <w:rPr>
                <w:sz w:val="20"/>
                <w:szCs w:val="20"/>
                <w:color w:val="auto"/>
              </w:rPr>
            </w:pPr>
            <w:r>
              <w:rPr>
                <w:rFonts w:ascii="Arial" w:cs="Arial" w:eastAsia="Arial" w:hAnsi="Arial"/>
                <w:sz w:val="9"/>
                <w:szCs w:val="9"/>
                <w:b w:val="1"/>
                <w:bCs w:val="1"/>
                <w:color w:val="auto"/>
                <w:w w:val="96"/>
              </w:rPr>
              <w:t>Held as of March 31,</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2023</w:t>
            </w:r>
          </w:p>
        </w:tc>
        <w:tc>
          <w:tcPr>
            <w:tcW w:w="920" w:type="dxa"/>
            <w:vAlign w:val="bottom"/>
            <w:tcBorders>
              <w:bottom w:val="single" w:sz="8" w:color="2C6937"/>
            </w:tcBorders>
            <w:gridSpan w:val="3"/>
          </w:tcPr>
          <w:p>
            <w:pPr>
              <w:jc w:val="right"/>
              <w:ind w:right="400"/>
              <w:spacing w:after="0"/>
              <w:rPr>
                <w:sz w:val="20"/>
                <w:szCs w:val="20"/>
                <w:color w:val="auto"/>
              </w:rPr>
            </w:pPr>
            <w:r>
              <w:rPr>
                <w:rFonts w:ascii="Arial" w:cs="Arial" w:eastAsia="Arial" w:hAnsi="Arial"/>
                <w:sz w:val="9"/>
                <w:szCs w:val="9"/>
                <w:b w:val="1"/>
                <w:bCs w:val="1"/>
                <w:color w:val="auto"/>
              </w:rPr>
              <w:t>Net Income</w:t>
            </w: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1"/>
                <w:szCs w:val="11"/>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of Level 3</w:t>
            </w:r>
          </w:p>
        </w:tc>
        <w:tc>
          <w:tcPr>
            <w:tcW w:w="12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2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tcPr>
          <w:p>
            <w:pPr>
              <w:jc w:val="right"/>
              <w:ind w:right="285"/>
              <w:spacing w:after="0"/>
              <w:rPr>
                <w:sz w:val="20"/>
                <w:szCs w:val="20"/>
                <w:color w:val="auto"/>
              </w:rPr>
            </w:pPr>
            <w:r>
              <w:rPr>
                <w:rFonts w:ascii="Arial" w:cs="Arial" w:eastAsia="Arial" w:hAnsi="Arial"/>
                <w:sz w:val="9"/>
                <w:szCs w:val="9"/>
                <w:b w:val="1"/>
                <w:bCs w:val="1"/>
                <w:color w:val="auto"/>
              </w:rPr>
              <w:t>2024</w:t>
            </w:r>
          </w:p>
        </w:tc>
        <w:tc>
          <w:tcPr>
            <w:tcW w:w="80" w:type="dxa"/>
            <w:vAlign w:val="bottom"/>
            <w:tcBorders>
              <w:bottom w:val="single" w:sz="8" w:color="2C6937"/>
            </w:tcBorders>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2024</w:t>
            </w:r>
            <w:r>
              <w:rPr>
                <w:rFonts w:ascii="Arial" w:cs="Arial" w:eastAsia="Arial" w:hAnsi="Arial"/>
                <w:sz w:val="5"/>
                <w:szCs w:val="5"/>
                <w:b w:val="1"/>
                <w:bCs w:val="1"/>
                <w:color w:val="auto"/>
                <w:w w:val="98"/>
              </w:rPr>
              <w:t>(4)(5)</w:t>
            </w:r>
          </w:p>
        </w:tc>
        <w:tc>
          <w:tcPr>
            <w:tcW w:w="100" w:type="dxa"/>
            <w:vAlign w:val="bottom"/>
            <w:tcBorders>
              <w:bottom w:val="single" w:sz="8" w:color="2C6937"/>
            </w:tcBorders>
          </w:tcPr>
          <w:p>
            <w:pPr>
              <w:spacing w:after="0"/>
              <w:rPr>
                <w:sz w:val="11"/>
                <w:szCs w:val="11"/>
                <w:color w:val="auto"/>
              </w:rPr>
            </w:pPr>
          </w:p>
        </w:tc>
        <w:tc>
          <w:tcPr>
            <w:tcW w:w="6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tcPr>
          <w:p>
            <w:pPr>
              <w:jc w:val="center"/>
              <w:ind w:right="29"/>
              <w:spacing w:after="0"/>
              <w:rPr>
                <w:sz w:val="20"/>
                <w:szCs w:val="20"/>
                <w:color w:val="auto"/>
              </w:rPr>
            </w:pPr>
            <w:r>
              <w:rPr>
                <w:rFonts w:ascii="Arial" w:cs="Arial" w:eastAsia="Arial" w:hAnsi="Arial"/>
                <w:sz w:val="9"/>
                <w:szCs w:val="9"/>
                <w:b w:val="1"/>
                <w:bCs w:val="1"/>
                <w:color w:val="auto"/>
                <w:w w:val="89"/>
              </w:rPr>
              <w:t>2024</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80"/>
              <w:spacing w:after="0"/>
              <w:rPr>
                <w:sz w:val="20"/>
                <w:szCs w:val="20"/>
                <w:color w:val="auto"/>
              </w:rPr>
            </w:pPr>
            <w:r>
              <w:rPr>
                <w:rFonts w:ascii="Arial" w:cs="Arial" w:eastAsia="Arial" w:hAnsi="Arial"/>
                <w:sz w:val="22"/>
                <w:szCs w:val="22"/>
                <w:color w:val="auto"/>
                <w:vertAlign w:val="subscript"/>
              </w:rPr>
              <w:t>(1)</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331</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323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14"/>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514</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2C6937"/>
            </w:tcBorders>
          </w:tcPr>
          <w:p>
            <w:pPr>
              <w:jc w:val="right"/>
              <w:ind w:right="14"/>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487</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477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80"/>
              <w:spacing w:after="0"/>
              <w:rPr>
                <w:sz w:val="20"/>
                <w:szCs w:val="20"/>
                <w:color w:val="auto"/>
              </w:rPr>
            </w:pPr>
            <w:r>
              <w:rPr>
                <w:rFonts w:ascii="Arial" w:cs="Arial" w:eastAsia="Arial" w:hAnsi="Arial"/>
                <w:sz w:val="22"/>
                <w:szCs w:val="22"/>
                <w:color w:val="auto"/>
                <w:vertAlign w:val="subscript"/>
              </w:rPr>
              <w:t>1</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ind w:left="28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470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4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40" w:type="dxa"/>
            <w:vAlign w:val="bottom"/>
          </w:tcPr>
          <w:p>
            <w:pPr>
              <w:spacing w:after="0"/>
              <w:rPr>
                <w:sz w:val="24"/>
                <w:szCs w:val="24"/>
                <w:color w:val="auto"/>
              </w:rPr>
            </w:pP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 xml:space="preserve">(12) </w:t>
            </w:r>
            <w:r>
              <w:rPr>
                <w:rFonts w:ascii="Arial" w:cs="Arial" w:eastAsia="Arial" w:hAnsi="Arial"/>
                <w:sz w:val="13"/>
                <w:szCs w:val="13"/>
                <w:color w:val="auto"/>
                <w:vertAlign w:val="superscript"/>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(268)</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 xml:space="preserve">(5) </w:t>
            </w:r>
            <w:r>
              <w:rPr>
                <w:rFonts w:ascii="Arial" w:cs="Arial" w:eastAsia="Arial" w:hAnsi="Arial"/>
                <w:sz w:val="13"/>
                <w:szCs w:val="13"/>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40" w:type="dxa"/>
            <w:vAlign w:val="bottom"/>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80"/>
              <w:spacing w:after="0" w:line="183" w:lineRule="exact"/>
              <w:rPr>
                <w:sz w:val="20"/>
                <w:szCs w:val="20"/>
                <w:color w:val="auto"/>
              </w:rPr>
            </w:pPr>
            <w:r>
              <w:rPr>
                <w:rFonts w:ascii="Arial" w:cs="Arial" w:eastAsia="Arial" w:hAnsi="Arial"/>
                <w:sz w:val="21"/>
                <w:szCs w:val="21"/>
                <w:color w:val="auto"/>
                <w:vertAlign w:val="subscript"/>
              </w:rPr>
              <w:t>(1)</w:t>
            </w:r>
            <w:r>
              <w:rPr>
                <w:rFonts w:ascii="Arial" w:cs="Arial" w:eastAsia="Arial" w:hAnsi="Arial"/>
                <w:sz w:val="7"/>
                <w:szCs w:val="7"/>
                <w:color w:val="auto"/>
              </w:rPr>
              <w:t xml:space="preserve"> (5)(6)</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13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Total long-term debt</w:t>
            </w:r>
          </w:p>
        </w:tc>
        <w:tc>
          <w:tcPr>
            <w:tcW w:w="100" w:type="dxa"/>
            <w:vAlign w:val="bottom"/>
          </w:tcPr>
          <w:p>
            <w:pPr>
              <w:spacing w:after="0"/>
              <w:rPr>
                <w:sz w:val="14"/>
                <w:szCs w:val="14"/>
                <w:color w:val="auto"/>
              </w:rPr>
            </w:pPr>
          </w:p>
        </w:tc>
        <w:tc>
          <w:tcPr>
            <w:tcW w:w="1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(385)</w:t>
            </w:r>
          </w:p>
        </w:tc>
        <w:tc>
          <w:tcPr>
            <w:tcW w:w="80" w:type="dxa"/>
            <w:vAlign w:val="bottom"/>
          </w:tcPr>
          <w:p>
            <w:pPr>
              <w:spacing w:after="0"/>
              <w:rPr>
                <w:sz w:val="14"/>
                <w:szCs w:val="14"/>
                <w:color w:val="auto"/>
              </w:rPr>
            </w:pPr>
          </w:p>
        </w:tc>
        <w:tc>
          <w:tcPr>
            <w:tcW w:w="20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(6)</w:t>
            </w:r>
          </w:p>
        </w:tc>
        <w:tc>
          <w:tcPr>
            <w:tcW w:w="36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2C6937"/>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2C6937"/>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2C6937"/>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2C6937"/>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(387)</w:t>
            </w:r>
          </w:p>
        </w:tc>
        <w:tc>
          <w:tcPr>
            <w:tcW w:w="8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2C6937"/>
              <w:bottom w:val="single" w:sz="8" w:color="2C6937"/>
            </w:tcBorders>
          </w:tcPr>
          <w:p>
            <w:pPr>
              <w:ind w:left="60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6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2C6937"/>
              <w:bottom w:val="single" w:sz="8" w:color="2C6937"/>
            </w:tcBorders>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728345</wp:posOffset>
            </wp:positionV>
            <wp:extent cx="68059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1" w:name="page102"/>
    <w:bookmarkEnd w:id="101"/>
    <w:p>
      <w:pPr>
        <w:ind w:left="6977"/>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17145</wp:posOffset>
            </wp:positionV>
            <wp:extent cx="70154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18415</wp:posOffset>
            </wp:positionV>
            <wp:extent cx="62052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17"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29"/>
              <w:spacing w:after="0" w:line="95" w:lineRule="exact"/>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29"/>
              <w:spacing w:after="0"/>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60" w:type="dxa"/>
            <w:vAlign w:val="bottom"/>
          </w:tcPr>
          <w:p>
            <w:pPr>
              <w:spacing w:after="0"/>
              <w:rPr>
                <w:sz w:val="8"/>
                <w:szCs w:val="8"/>
                <w:color w:val="auto"/>
              </w:rPr>
            </w:pPr>
          </w:p>
        </w:tc>
        <w:tc>
          <w:tcPr>
            <w:tcW w:w="820" w:type="dxa"/>
            <w:vAlign w:val="bottom"/>
          </w:tcPr>
          <w:p>
            <w:pPr>
              <w:jc w:val="center"/>
              <w:ind w:right="49"/>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20" w:type="dxa"/>
            <w:vAlign w:val="bottom"/>
            <w:gridSpan w:val="3"/>
          </w:tcPr>
          <w:p>
            <w:pPr>
              <w:jc w:val="right"/>
              <w:ind w:right="420"/>
              <w:spacing w:after="0"/>
              <w:rPr>
                <w:sz w:val="20"/>
                <w:szCs w:val="20"/>
                <w:color w:val="auto"/>
              </w:rPr>
            </w:pPr>
            <w:r>
              <w:rPr>
                <w:rFonts w:ascii="Arial" w:cs="Arial" w:eastAsia="Arial" w:hAnsi="Arial"/>
                <w:sz w:val="9"/>
                <w:szCs w:val="9"/>
                <w:b w:val="1"/>
                <w:bCs w:val="1"/>
                <w:color w:val="auto"/>
              </w:rPr>
              <w:t>Included in</w:t>
            </w: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Transfers out</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920" w:type="dxa"/>
            <w:vAlign w:val="bottom"/>
            <w:gridSpan w:val="3"/>
          </w:tcPr>
          <w:p>
            <w:pPr>
              <w:ind w:left="20"/>
              <w:spacing w:after="0"/>
              <w:rPr>
                <w:sz w:val="20"/>
                <w:szCs w:val="20"/>
                <w:color w:val="auto"/>
              </w:rPr>
            </w:pPr>
            <w:r>
              <w:rPr>
                <w:rFonts w:ascii="Arial" w:cs="Arial" w:eastAsia="Arial" w:hAnsi="Arial"/>
                <w:sz w:val="9"/>
                <w:szCs w:val="9"/>
                <w:b w:val="1"/>
                <w:bCs w:val="1"/>
                <w:color w:val="auto"/>
              </w:rPr>
              <w:t>Balance, March 31,</w:t>
            </w: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 of March 31,</w:t>
            </w:r>
          </w:p>
        </w:tc>
        <w:tc>
          <w:tcPr>
            <w:tcW w:w="880" w:type="dxa"/>
            <w:vAlign w:val="bottom"/>
            <w:gridSpan w:val="2"/>
          </w:tcPr>
          <w:p>
            <w:pPr>
              <w:ind w:left="20"/>
              <w:spacing w:after="0"/>
              <w:rPr>
                <w:sz w:val="20"/>
                <w:szCs w:val="20"/>
                <w:color w:val="auto"/>
              </w:rPr>
            </w:pPr>
            <w:r>
              <w:rPr>
                <w:rFonts w:ascii="Arial" w:cs="Arial" w:eastAsia="Arial" w:hAnsi="Arial"/>
                <w:sz w:val="9"/>
                <w:szCs w:val="9"/>
                <w:b w:val="1"/>
                <w:bCs w:val="1"/>
                <w:color w:val="auto"/>
                <w:w w:val="96"/>
              </w:rPr>
              <w:t>Held as of March 31,</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2022</w:t>
            </w:r>
          </w:p>
        </w:tc>
        <w:tc>
          <w:tcPr>
            <w:tcW w:w="920" w:type="dxa"/>
            <w:vAlign w:val="bottom"/>
            <w:tcBorders>
              <w:bottom w:val="single" w:sz="8" w:color="2C6937"/>
            </w:tcBorders>
            <w:gridSpan w:val="3"/>
          </w:tcPr>
          <w:p>
            <w:pPr>
              <w:jc w:val="right"/>
              <w:ind w:right="400"/>
              <w:spacing w:after="0"/>
              <w:rPr>
                <w:sz w:val="20"/>
                <w:szCs w:val="20"/>
                <w:color w:val="auto"/>
              </w:rPr>
            </w:pPr>
            <w:r>
              <w:rPr>
                <w:rFonts w:ascii="Arial" w:cs="Arial" w:eastAsia="Arial" w:hAnsi="Arial"/>
                <w:sz w:val="9"/>
                <w:szCs w:val="9"/>
                <w:b w:val="1"/>
                <w:bCs w:val="1"/>
                <w:color w:val="auto"/>
              </w:rPr>
              <w:t>Net Income</w:t>
            </w: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1"/>
                <w:szCs w:val="11"/>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of Level 3</w:t>
            </w:r>
          </w:p>
        </w:tc>
        <w:tc>
          <w:tcPr>
            <w:tcW w:w="12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2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tcPr>
          <w:p>
            <w:pPr>
              <w:jc w:val="right"/>
              <w:ind w:right="285"/>
              <w:spacing w:after="0"/>
              <w:rPr>
                <w:sz w:val="20"/>
                <w:szCs w:val="20"/>
                <w:color w:val="auto"/>
              </w:rPr>
            </w:pPr>
            <w:r>
              <w:rPr>
                <w:rFonts w:ascii="Arial" w:cs="Arial" w:eastAsia="Arial" w:hAnsi="Arial"/>
                <w:sz w:val="9"/>
                <w:szCs w:val="9"/>
                <w:b w:val="1"/>
                <w:bCs w:val="1"/>
                <w:color w:val="auto"/>
              </w:rPr>
              <w:t>2023</w:t>
            </w:r>
          </w:p>
        </w:tc>
        <w:tc>
          <w:tcPr>
            <w:tcW w:w="80" w:type="dxa"/>
            <w:vAlign w:val="bottom"/>
            <w:tcBorders>
              <w:bottom w:val="single" w:sz="8" w:color="2C6937"/>
            </w:tcBorders>
          </w:tcPr>
          <w:p>
            <w:pPr>
              <w:spacing w:after="0"/>
              <w:rPr>
                <w:sz w:val="11"/>
                <w:szCs w:val="11"/>
                <w:color w:val="auto"/>
              </w:rPr>
            </w:pP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2023</w:t>
            </w:r>
            <w:r>
              <w:rPr>
                <w:rFonts w:ascii="Arial" w:cs="Arial" w:eastAsia="Arial" w:hAnsi="Arial"/>
                <w:sz w:val="5"/>
                <w:szCs w:val="5"/>
                <w:b w:val="1"/>
                <w:bCs w:val="1"/>
                <w:color w:val="auto"/>
                <w:w w:val="98"/>
              </w:rPr>
              <w:t>(4)(5)</w:t>
            </w:r>
          </w:p>
        </w:tc>
        <w:tc>
          <w:tcPr>
            <w:tcW w:w="100" w:type="dxa"/>
            <w:vAlign w:val="bottom"/>
            <w:tcBorders>
              <w:bottom w:val="single" w:sz="8" w:color="2C6937"/>
            </w:tcBorders>
          </w:tcPr>
          <w:p>
            <w:pPr>
              <w:spacing w:after="0"/>
              <w:rPr>
                <w:sz w:val="11"/>
                <w:szCs w:val="11"/>
                <w:color w:val="auto"/>
              </w:rPr>
            </w:pPr>
          </w:p>
        </w:tc>
        <w:tc>
          <w:tcPr>
            <w:tcW w:w="6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tcPr>
          <w:p>
            <w:pPr>
              <w:jc w:val="center"/>
              <w:ind w:right="29"/>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80"/>
              <w:spacing w:after="0"/>
              <w:rPr>
                <w:sz w:val="20"/>
                <w:szCs w:val="20"/>
                <w:color w:val="auto"/>
              </w:rPr>
            </w:pPr>
            <w:r>
              <w:rPr>
                <w:rFonts w:ascii="Arial" w:cs="Arial" w:eastAsia="Arial" w:hAnsi="Arial"/>
                <w:sz w:val="22"/>
                <w:szCs w:val="22"/>
                <w:color w:val="auto"/>
                <w:vertAlign w:val="subscript"/>
              </w:rPr>
              <w:t>(6)</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371</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4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362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263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16"/>
              <w:spacing w:after="0"/>
              <w:rPr>
                <w:sz w:val="20"/>
                <w:szCs w:val="20"/>
                <w:color w:val="auto"/>
              </w:rPr>
            </w:pPr>
            <w:r>
              <w:rPr>
                <w:rFonts w:ascii="Arial" w:cs="Arial" w:eastAsia="Arial" w:hAnsi="Arial"/>
                <w:sz w:val="11"/>
                <w:szCs w:val="11"/>
                <w:color w:val="auto"/>
              </w:rPr>
              <w:t>2</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634</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2C6937"/>
            </w:tcBorders>
          </w:tcPr>
          <w:p>
            <w:pPr>
              <w:jc w:val="right"/>
              <w:ind w:right="16"/>
              <w:spacing w:after="0"/>
              <w:rPr>
                <w:sz w:val="20"/>
                <w:szCs w:val="20"/>
                <w:color w:val="auto"/>
              </w:rPr>
            </w:pPr>
            <w:r>
              <w:rPr>
                <w:rFonts w:ascii="Arial" w:cs="Arial" w:eastAsia="Arial" w:hAnsi="Arial"/>
                <w:sz w:val="11"/>
                <w:szCs w:val="11"/>
                <w:color w:val="auto"/>
              </w:rPr>
              <w:t>2</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622</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ind w:lef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right"/>
              <w:ind w:right="29"/>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80"/>
              <w:spacing w:after="0"/>
              <w:rPr>
                <w:sz w:val="20"/>
                <w:szCs w:val="20"/>
                <w:color w:val="auto"/>
              </w:rPr>
            </w:pPr>
            <w:r>
              <w:rPr>
                <w:rFonts w:ascii="Arial" w:cs="Arial" w:eastAsia="Arial" w:hAnsi="Arial"/>
                <w:sz w:val="22"/>
                <w:szCs w:val="22"/>
                <w:color w:val="auto"/>
                <w:vertAlign w:val="subscript"/>
              </w:rPr>
              <w:t>7</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5"/>
              <w:spacing w:after="0"/>
              <w:rPr>
                <w:sz w:val="20"/>
                <w:szCs w:val="20"/>
                <w:color w:val="auto"/>
              </w:rPr>
            </w:pPr>
            <w:r>
              <w:rPr>
                <w:rFonts w:ascii="Arial" w:cs="Arial" w:eastAsia="Arial" w:hAnsi="Arial"/>
                <w:sz w:val="11"/>
                <w:szCs w:val="11"/>
                <w:color w:val="auto"/>
              </w:rPr>
              <w:t>526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5"/>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22"/>
                <w:szCs w:val="22"/>
                <w:color w:val="auto"/>
                <w:vertAlign w:val="subscript"/>
              </w:rPr>
              <w:t>(6)</w:t>
            </w:r>
            <w:r>
              <w:rPr>
                <w:rFonts w:ascii="Arial" w:cs="Arial" w:eastAsia="Arial" w:hAnsi="Arial"/>
                <w:sz w:val="7"/>
                <w:szCs w:val="7"/>
                <w:color w:val="auto"/>
              </w:rPr>
              <w:t xml:space="preserve"> (5)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 xml:space="preserve">(8) </w:t>
            </w:r>
            <w:r>
              <w:rPr>
                <w:rFonts w:ascii="Arial" w:cs="Arial" w:eastAsia="Arial" w:hAnsi="Arial"/>
                <w:sz w:val="13"/>
                <w:szCs w:val="13"/>
                <w:color w:val="auto"/>
                <w:vertAlign w:val="superscript"/>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ind w:left="60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1340" w:type="dxa"/>
            <w:vAlign w:val="bottom"/>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80"/>
              <w:spacing w:after="0" w:line="183" w:lineRule="exact"/>
              <w:rPr>
                <w:sz w:val="20"/>
                <w:szCs w:val="20"/>
                <w:color w:val="auto"/>
              </w:rPr>
            </w:pPr>
            <w:r>
              <w:rPr>
                <w:rFonts w:ascii="Arial" w:cs="Arial" w:eastAsia="Arial" w:hAnsi="Arial"/>
                <w:sz w:val="21"/>
                <w:szCs w:val="21"/>
                <w:color w:val="auto"/>
                <w:vertAlign w:val="subscript"/>
              </w:rPr>
              <w:t>(2)</w:t>
            </w:r>
            <w:r>
              <w:rPr>
                <w:rFonts w:ascii="Arial" w:cs="Arial" w:eastAsia="Arial" w:hAnsi="Arial"/>
                <w:sz w:val="7"/>
                <w:szCs w:val="7"/>
                <w:color w:val="auto"/>
              </w:rPr>
              <w:t xml:space="preserve"> (5)(6)</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13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Total long-term debt</w:t>
            </w:r>
          </w:p>
        </w:tc>
        <w:tc>
          <w:tcPr>
            <w:tcW w:w="100" w:type="dxa"/>
            <w:vAlign w:val="bottom"/>
          </w:tcPr>
          <w:p>
            <w:pPr>
              <w:spacing w:after="0"/>
              <w:rPr>
                <w:sz w:val="14"/>
                <w:szCs w:val="14"/>
                <w:color w:val="auto"/>
              </w:rPr>
            </w:pPr>
          </w:p>
        </w:tc>
        <w:tc>
          <w:tcPr>
            <w:tcW w:w="1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4"/>
                <w:szCs w:val="14"/>
                <w:color w:val="auto"/>
              </w:rPr>
            </w:pPr>
          </w:p>
        </w:tc>
        <w:tc>
          <w:tcPr>
            <w:tcW w:w="20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(10)</w:t>
            </w:r>
          </w:p>
        </w:tc>
        <w:tc>
          <w:tcPr>
            <w:tcW w:w="36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2C6937"/>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2C6937"/>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2C6937"/>
              <w:bottom w:val="single" w:sz="8" w:color="2C6937"/>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2C6937"/>
              <w:bottom w:val="single" w:sz="8" w:color="2C6937"/>
            </w:tcBorders>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(383)</w:t>
            </w:r>
          </w:p>
        </w:tc>
        <w:tc>
          <w:tcPr>
            <w:tcW w:w="8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4"/>
                <w:szCs w:val="14"/>
                <w:color w:val="auto"/>
              </w:rPr>
            </w:pPr>
          </w:p>
        </w:tc>
        <w:tc>
          <w:tcPr>
            <w:tcW w:w="6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2C6937"/>
              <w:bottom w:val="single" w:sz="8" w:color="2C6937"/>
            </w:tcBorders>
          </w:tcPr>
          <w:p>
            <w:pPr>
              <w:jc w:val="right"/>
              <w:ind w:right="2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17" w:hanging="217"/>
        <w:spacing w:after="0"/>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“Other comprehensive income” in our condensed consolidated statements of operations and comprehensive income.</w:t>
      </w:r>
    </w:p>
    <w:p>
      <w:pPr>
        <w:spacing w:after="0" w:line="37" w:lineRule="exact"/>
        <w:rPr>
          <w:rFonts w:ascii="Arial" w:cs="Arial" w:eastAsia="Arial" w:hAnsi="Arial"/>
          <w:sz w:val="18"/>
          <w:szCs w:val="18"/>
          <w:color w:val="auto"/>
          <w:vertAlign w:val="superscript"/>
        </w:rPr>
      </w:pPr>
    </w:p>
    <w:p>
      <w:pPr>
        <w:ind w:left="217" w:hanging="217"/>
        <w:spacing w:after="0" w:line="195" w:lineRule="auto"/>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Purchases and sales include activity related to the consolidation and deconsolidation of assets of securitization trusts.</w:t>
      </w:r>
    </w:p>
    <w:p>
      <w:pPr>
        <w:spacing w:after="0" w:line="25" w:lineRule="exact"/>
        <w:rPr>
          <w:rFonts w:ascii="Arial" w:cs="Arial" w:eastAsia="Arial" w:hAnsi="Arial"/>
          <w:sz w:val="18"/>
          <w:szCs w:val="18"/>
          <w:color w:val="auto"/>
          <w:vertAlign w:val="superscript"/>
        </w:rPr>
      </w:pPr>
    </w:p>
    <w:p>
      <w:pPr>
        <w:ind w:left="217" w:hanging="217"/>
        <w:spacing w:after="0"/>
        <w:tabs>
          <w:tab w:leader="none" w:pos="217" w:val="left"/>
        </w:tabs>
        <w:numPr>
          <w:ilvl w:val="0"/>
          <w:numId w:val="125"/>
        </w:numPr>
        <w:rPr>
          <w:rFonts w:ascii="Arial" w:cs="Arial" w:eastAsia="Arial" w:hAnsi="Arial"/>
          <w:sz w:val="9"/>
          <w:szCs w:val="9"/>
          <w:color w:val="auto"/>
        </w:rPr>
      </w:pPr>
      <w:r>
        <w:rPr>
          <w:rFonts w:ascii="Arial" w:cs="Arial" w:eastAsia="Arial" w:hAnsi="Arial"/>
          <w:sz w:val="14"/>
          <w:szCs w:val="14"/>
          <w:color w:val="auto"/>
        </w:rPr>
        <w:t>Issues and settlements include activity related to the consolidation and deconsolidation of liabilities of securitization trusts.</w:t>
      </w:r>
    </w:p>
    <w:p>
      <w:pPr>
        <w:spacing w:after="0" w:line="33" w:lineRule="exact"/>
        <w:rPr>
          <w:rFonts w:ascii="Arial" w:cs="Arial" w:eastAsia="Arial" w:hAnsi="Arial"/>
          <w:sz w:val="9"/>
          <w:szCs w:val="9"/>
          <w:color w:val="auto"/>
        </w:rPr>
      </w:pPr>
    </w:p>
    <w:p>
      <w:pPr>
        <w:ind w:left="217" w:hanging="217"/>
        <w:spacing w:after="0"/>
        <w:tabs>
          <w:tab w:leader="none" w:pos="217" w:val="left"/>
        </w:tabs>
        <w:numPr>
          <w:ilvl w:val="0"/>
          <w:numId w:val="125"/>
        </w:numPr>
        <w:rPr>
          <w:rFonts w:ascii="Arial" w:cs="Arial" w:eastAsia="Arial" w:hAnsi="Arial"/>
          <w:sz w:val="8"/>
          <w:szCs w:val="8"/>
          <w:color w:val="auto"/>
        </w:rPr>
      </w:pPr>
      <w:r>
        <w:rPr>
          <w:rFonts w:ascii="Arial" w:cs="Arial" w:eastAsia="Arial" w:hAnsi="Arial"/>
          <w:sz w:val="13"/>
          <w:szCs w:val="13"/>
          <w:color w:val="auto"/>
        </w:rPr>
        <w:t>Amount represents temporary changes in fair value. Amortization, accretion and the impairment of credit losses are not considered unrealized and are not included in this amount.</w:t>
      </w:r>
    </w:p>
    <w:p>
      <w:pPr>
        <w:spacing w:after="0" w:line="30" w:lineRule="exact"/>
        <w:rPr>
          <w:rFonts w:ascii="Arial" w:cs="Arial" w:eastAsia="Arial" w:hAnsi="Arial"/>
          <w:sz w:val="8"/>
          <w:szCs w:val="8"/>
          <w:color w:val="auto"/>
        </w:rPr>
      </w:pPr>
    </w:p>
    <w:p>
      <w:pPr>
        <w:ind w:left="217" w:hanging="217"/>
        <w:spacing w:after="0"/>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“Fair value gains, net” in our condensed consolidated statements of operations and comprehensive income.</w:t>
      </w:r>
    </w:p>
    <w:p>
      <w:pPr>
        <w:spacing w:after="0" w:line="37" w:lineRule="exact"/>
        <w:rPr>
          <w:rFonts w:ascii="Arial" w:cs="Arial" w:eastAsia="Arial" w:hAnsi="Arial"/>
          <w:sz w:val="18"/>
          <w:szCs w:val="18"/>
          <w:color w:val="auto"/>
          <w:vertAlign w:val="superscript"/>
        </w:rPr>
      </w:pPr>
    </w:p>
    <w:p>
      <w:pPr>
        <w:ind w:left="217" w:hanging="217"/>
        <w:spacing w:after="0" w:line="206" w:lineRule="auto"/>
        <w:tabs>
          <w:tab w:leader="none" w:pos="217" w:val="left"/>
        </w:tabs>
        <w:numPr>
          <w:ilvl w:val="0"/>
          <w:numId w:val="125"/>
        </w:numPr>
        <w:rPr>
          <w:rFonts w:ascii="Arial" w:cs="Arial" w:eastAsia="Arial" w:hAnsi="Arial"/>
          <w:sz w:val="17"/>
          <w:szCs w:val="17"/>
          <w:color w:val="auto"/>
          <w:vertAlign w:val="superscript"/>
        </w:rPr>
      </w:pPr>
      <w:r>
        <w:rPr>
          <w:rFonts w:ascii="Arial" w:cs="Arial" w:eastAsia="Arial" w:hAnsi="Arial"/>
          <w:sz w:val="13"/>
          <w:szCs w:val="13"/>
          <w:color w:val="auto"/>
        </w:rPr>
        <w:t>Gains (losses) included in “Net interest income” in our condensed consolidated statements of operations and comprehensive income includes amortization of cost basis adjustments.</w:t>
      </w:r>
    </w:p>
    <w:p>
      <w:pPr>
        <w:spacing w:after="0" w:line="38" w:lineRule="exact"/>
        <w:rPr>
          <w:rFonts w:ascii="Arial" w:cs="Arial" w:eastAsia="Arial" w:hAnsi="Arial"/>
          <w:sz w:val="17"/>
          <w:szCs w:val="17"/>
          <w:color w:val="auto"/>
          <w:vertAlign w:val="superscript"/>
        </w:rPr>
      </w:pPr>
    </w:p>
    <w:p>
      <w:pPr>
        <w:ind w:left="217" w:hanging="217"/>
        <w:spacing w:after="0" w:line="195" w:lineRule="auto"/>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“Investment gains (losses), net”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365125</wp:posOffset>
            </wp:positionV>
            <wp:extent cx="68059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64070" cy="419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248" w:right="339" w:bottom="1440" w:gutter="0" w:footer="0" w:header="0"/>
        </w:sectPr>
      </w:pPr>
    </w:p>
    <w:bookmarkStart w:id="102" w:name="page103"/>
    <w:bookmarkEnd w:id="102"/>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following tables display valuation techniques and the range and the weighted average of significant unobservable inputs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Recurring fair value measurements: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263525</wp:posOffset>
            </wp:positionV>
            <wp:extent cx="226758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50165</wp:posOffset>
            </wp:positionV>
            <wp:extent cx="226758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147955</wp:posOffset>
            </wp:positionV>
            <wp:extent cx="226758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50165</wp:posOffset>
            </wp:positionV>
            <wp:extent cx="226758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Recurring fair value measurements: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23006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23006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230060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23006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Fair Value Measurements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wp:posOffset>
            </wp:positionV>
            <wp:extent cx="47320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0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8"/>
              </w:rPr>
              <w:t>Significant Valuation</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00" w:type="dxa"/>
            <w:vAlign w:val="bottom"/>
          </w:tcPr>
          <w:p>
            <w:pPr>
              <w:spacing w:after="0"/>
              <w:rPr>
                <w:sz w:val="14"/>
                <w:szCs w:val="14"/>
                <w:color w:val="auto"/>
              </w:rPr>
            </w:pPr>
          </w:p>
        </w:tc>
        <w:tc>
          <w:tcPr>
            <w:tcW w:w="142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Unobservable</w:t>
            </w:r>
          </w:p>
        </w:tc>
        <w:tc>
          <w:tcPr>
            <w:tcW w:w="13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2C6937"/>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800" w:type="dxa"/>
            <w:vAlign w:val="bottom"/>
            <w:tcBorders>
              <w:bottom w:val="single" w:sz="8" w:color="2C6937"/>
            </w:tcBorders>
          </w:tcPr>
          <w:p>
            <w:pPr>
              <w:jc w:val="center"/>
              <w:ind w:left="11"/>
              <w:spacing w:after="0"/>
              <w:rPr>
                <w:sz w:val="20"/>
                <w:szCs w:val="20"/>
                <w:color w:val="auto"/>
              </w:rPr>
            </w:pPr>
            <w:r>
              <w:rPr>
                <w:rFonts w:ascii="Arial" w:cs="Arial" w:eastAsia="Arial" w:hAnsi="Arial"/>
                <w:sz w:val="14"/>
                <w:szCs w:val="14"/>
                <w:b w:val="1"/>
                <w:bCs w:val="1"/>
                <w:color w:val="auto"/>
                <w:w w:val="97"/>
              </w:rPr>
              <w:t>Techniques</w:t>
            </w:r>
          </w:p>
        </w:tc>
        <w:tc>
          <w:tcPr>
            <w:tcW w:w="18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Inputs</w:t>
            </w:r>
            <w:r>
              <w:rPr>
                <w:rFonts w:ascii="Arial" w:cs="Arial" w:eastAsia="Arial" w:hAnsi="Arial"/>
                <w:sz w:val="17"/>
                <w:szCs w:val="17"/>
                <w:b w:val="1"/>
                <w:bCs w:val="1"/>
                <w:color w:val="auto"/>
                <w:w w:val="93"/>
                <w:vertAlign w:val="superscript"/>
              </w:rPr>
              <w:t>(1)</w:t>
            </w:r>
          </w:p>
        </w:tc>
        <w:tc>
          <w:tcPr>
            <w:tcW w:w="1300" w:type="dxa"/>
            <w:vAlign w:val="bottom"/>
            <w:tcBorders>
              <w:bottom w:val="single" w:sz="8" w:color="2C6937"/>
            </w:tcBorders>
          </w:tcPr>
          <w:p>
            <w:pPr>
              <w:ind w:left="38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2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760" w:hanging="728"/>
        <w:spacing w:after="0"/>
        <w:tabs>
          <w:tab w:leader="none" w:pos="7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28  Various</w:t>
      </w:r>
    </w:p>
    <w:p>
      <w:pPr>
        <w:spacing w:after="0" w:line="32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4"/>
          <w:szCs w:val="14"/>
          <w:color w:val="auto"/>
        </w:rPr>
        <w:t>323</w:t>
      </w:r>
      <w:r>
        <w:rPr>
          <w:sz w:val="20"/>
          <w:szCs w:val="20"/>
          <w:color w:val="auto"/>
        </w:rPr>
        <w:tab/>
      </w:r>
      <w:r>
        <w:rPr>
          <w:rFonts w:ascii="Arial" w:cs="Arial" w:eastAsia="Arial" w:hAnsi="Arial"/>
          <w:sz w:val="13"/>
          <w:szCs w:val="13"/>
          <w:color w:val="auto"/>
        </w:rPr>
        <w:t>Consensus</w:t>
      </w:r>
    </w:p>
    <w:p>
      <w:pPr>
        <w:spacing w:after="0" w:line="58" w:lineRule="exact"/>
        <w:rPr>
          <w:sz w:val="20"/>
          <w:szCs w:val="20"/>
          <w:color w:val="auto"/>
        </w:rPr>
      </w:pPr>
    </w:p>
    <w:p>
      <w:pPr>
        <w:ind w:left="760"/>
        <w:spacing w:after="0"/>
        <w:tabs>
          <w:tab w:leader="none" w:pos="1080" w:val="left"/>
          <w:tab w:leader="none" w:pos="3100" w:val="left"/>
          <w:tab w:leader="none" w:pos="4920" w:val="left"/>
          <w:tab w:leader="none" w:pos="6640" w:val="left"/>
        </w:tabs>
        <w:rPr>
          <w:sz w:val="20"/>
          <w:szCs w:val="20"/>
          <w:color w:val="auto"/>
        </w:rPr>
      </w:pPr>
      <w:r>
        <w:rPr>
          <w:rFonts w:ascii="Arial" w:cs="Arial" w:eastAsia="Arial" w:hAnsi="Arial"/>
          <w:sz w:val="14"/>
          <w:szCs w:val="14"/>
          <w:color w:val="auto"/>
        </w:rPr>
        <w:t>70</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472.0 - 502.0</w:t>
      </w:r>
      <w:r>
        <w:rPr>
          <w:sz w:val="20"/>
          <w:szCs w:val="20"/>
          <w:color w:val="auto"/>
        </w:rPr>
        <w:tab/>
      </w:r>
      <w:r>
        <w:rPr>
          <w:rFonts w:ascii="Arial" w:cs="Arial" w:eastAsia="Arial" w:hAnsi="Arial"/>
          <w:sz w:val="13"/>
          <w:szCs w:val="13"/>
          <w:color w:val="auto"/>
        </w:rPr>
        <w:t>486.9</w:t>
      </w:r>
    </w:p>
    <w:p>
      <w:pPr>
        <w:spacing w:after="0" w:line="32" w:lineRule="exact"/>
        <w:rPr>
          <w:sz w:val="20"/>
          <w:szCs w:val="20"/>
          <w:color w:val="auto"/>
        </w:rPr>
      </w:pPr>
    </w:p>
    <w:p>
      <w:pPr>
        <w:ind w:left="1100" w:hanging="258"/>
        <w:spacing w:after="0"/>
        <w:tabs>
          <w:tab w:leader="none" w:pos="11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93  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48"/>
        <w:spacing w:after="0"/>
        <w:tabs>
          <w:tab w:leader="none" w:pos="6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41910</wp:posOffset>
            </wp:positionV>
            <wp:extent cx="61404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28"/>
        <w:spacing w:after="0"/>
        <w:tabs>
          <w:tab w:leader="none" w:pos="7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41  Dealer Mark</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28  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28"/>
        <w:spacing w:after="0"/>
        <w:tabs>
          <w:tab w:leader="none" w:pos="7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41910</wp:posOffset>
            </wp:positionV>
            <wp:extent cx="61404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242"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Fair Value Measurements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47726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77266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82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6"/>
              </w:rPr>
              <w:t>Significant Valuation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20" w:type="dxa"/>
            <w:vAlign w:val="bottom"/>
          </w:tcPr>
          <w:p>
            <w:pPr>
              <w:spacing w:after="0"/>
              <w:rPr>
                <w:sz w:val="14"/>
                <w:szCs w:val="14"/>
                <w:color w:val="auto"/>
              </w:rPr>
            </w:pPr>
          </w:p>
        </w:tc>
        <w:tc>
          <w:tcPr>
            <w:tcW w:w="140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Unobservable</w:t>
            </w:r>
          </w:p>
        </w:tc>
        <w:tc>
          <w:tcPr>
            <w:tcW w:w="13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00" w:type="dxa"/>
            <w:vAlign w:val="bottom"/>
            <w:tcBorders>
              <w:bottom w:val="single" w:sz="8" w:color="2C6937"/>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8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Techniques</w:t>
            </w:r>
          </w:p>
        </w:tc>
        <w:tc>
          <w:tcPr>
            <w:tcW w:w="18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Inputs</w:t>
            </w:r>
            <w:r>
              <w:rPr>
                <w:rFonts w:ascii="Arial" w:cs="Arial" w:eastAsia="Arial" w:hAnsi="Arial"/>
                <w:sz w:val="17"/>
                <w:szCs w:val="17"/>
                <w:b w:val="1"/>
                <w:bCs w:val="1"/>
                <w:color w:val="auto"/>
                <w:w w:val="96"/>
                <w:vertAlign w:val="superscript"/>
              </w:rPr>
              <w:t>(1)</w:t>
            </w:r>
          </w:p>
        </w:tc>
        <w:tc>
          <w:tcPr>
            <w:tcW w:w="132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00" w:type="dxa"/>
            <w:vAlign w:val="bottom"/>
            <w:tcBorders>
              <w:bottom w:val="single" w:sz="8" w:color="2C6937"/>
            </w:tcBorders>
          </w:tcPr>
          <w:p>
            <w:pPr>
              <w:jc w:val="center"/>
              <w:ind w:left="5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8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760" w:hanging="734"/>
        <w:spacing w:after="0"/>
        <w:tabs>
          <w:tab w:leader="none" w:pos="7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26  Various</w:t>
      </w:r>
    </w:p>
    <w:p>
      <w:pPr>
        <w:spacing w:after="0" w:line="32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4"/>
          <w:szCs w:val="14"/>
          <w:color w:val="auto"/>
        </w:rPr>
        <w:t>331</w:t>
      </w:r>
      <w:r>
        <w:rPr>
          <w:sz w:val="20"/>
          <w:szCs w:val="20"/>
          <w:color w:val="auto"/>
        </w:rPr>
        <w:tab/>
      </w:r>
      <w:r>
        <w:rPr>
          <w:rFonts w:ascii="Arial" w:cs="Arial" w:eastAsia="Arial" w:hAnsi="Arial"/>
          <w:sz w:val="13"/>
          <w:szCs w:val="13"/>
          <w:color w:val="auto"/>
        </w:rPr>
        <w:t>Consensus</w:t>
      </w:r>
    </w:p>
    <w:p>
      <w:pPr>
        <w:spacing w:after="0" w:line="58" w:lineRule="exact"/>
        <w:rPr>
          <w:sz w:val="20"/>
          <w:szCs w:val="20"/>
          <w:color w:val="auto"/>
        </w:rPr>
      </w:pPr>
    </w:p>
    <w:p>
      <w:pPr>
        <w:jc w:val="right"/>
        <w:ind w:right="460"/>
        <w:spacing w:after="0"/>
        <w:tabs>
          <w:tab w:leader="none" w:pos="6400" w:val="left"/>
          <w:tab w:leader="none" w:pos="4360" w:val="left"/>
          <w:tab w:leader="none" w:pos="2520" w:val="left"/>
          <w:tab w:leader="none" w:pos="780" w:val="left"/>
        </w:tabs>
        <w:rPr>
          <w:sz w:val="20"/>
          <w:szCs w:val="20"/>
          <w:color w:val="auto"/>
        </w:rPr>
      </w:pPr>
      <w:r>
        <w:rPr>
          <w:rFonts w:ascii="Arial" w:cs="Arial" w:eastAsia="Arial" w:hAnsi="Arial"/>
          <w:sz w:val="14"/>
          <w:szCs w:val="14"/>
          <w:color w:val="auto"/>
        </w:rPr>
        <w:t>74</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530.0 - 560.0</w:t>
      </w:r>
      <w:r>
        <w:rPr>
          <w:sz w:val="20"/>
          <w:szCs w:val="20"/>
          <w:color w:val="auto"/>
        </w:rPr>
        <w:tab/>
      </w:r>
      <w:r>
        <w:rPr>
          <w:rFonts w:ascii="Arial" w:cs="Arial" w:eastAsia="Arial" w:hAnsi="Arial"/>
          <w:sz w:val="13"/>
          <w:szCs w:val="13"/>
          <w:color w:val="auto"/>
        </w:rPr>
        <w:t>544.8</w:t>
      </w:r>
    </w:p>
    <w:p>
      <w:pPr>
        <w:spacing w:after="0" w:line="32" w:lineRule="exact"/>
        <w:rPr>
          <w:sz w:val="20"/>
          <w:szCs w:val="20"/>
          <w:color w:val="auto"/>
        </w:rPr>
      </w:pPr>
    </w:p>
    <w:p>
      <w:pPr>
        <w:ind w:left="1100" w:hanging="264"/>
        <w:spacing w:after="0"/>
        <w:tabs>
          <w:tab w:leader="none" w:pos="11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100  Various</w:t>
      </w:r>
    </w:p>
    <w:p>
      <w:pPr>
        <w:spacing w:after="0" w:line="71"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-129540</wp:posOffset>
            </wp:positionV>
            <wp:extent cx="61404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54"/>
        <w:spacing w:after="0"/>
        <w:tabs>
          <w:tab w:leader="none" w:pos="6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1404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34"/>
        <w:spacing w:after="0"/>
        <w:tabs>
          <w:tab w:leader="none" w:pos="7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45  Dealer Mark</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32  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34"/>
        <w:spacing w:after="0"/>
        <w:tabs>
          <w:tab w:leader="none" w:pos="7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140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000" w:space="720"/>
            <w:col w:w="7520"/>
          </w:cols>
          <w:pgMar w:left="320" w:top="248" w:right="339" w:bottom="1440" w:gutter="0" w:footer="0" w:header="0"/>
          <w:type w:val="continuous"/>
        </w:sectPr>
      </w:pPr>
    </w:p>
    <w:p>
      <w:pPr>
        <w:ind w:left="240" w:right="80" w:hanging="237"/>
        <w:spacing w:after="0" w:line="264" w:lineRule="auto"/>
        <w:tabs>
          <w:tab w:leader="none" w:pos="233" w:val="left"/>
        </w:tabs>
        <w:numPr>
          <w:ilvl w:val="0"/>
          <w:numId w:val="136"/>
        </w:numPr>
        <w:rPr>
          <w:rFonts w:ascii="Arial" w:cs="Arial" w:eastAsia="Arial" w:hAnsi="Arial"/>
          <w:sz w:val="9"/>
          <w:szCs w:val="9"/>
          <w:color w:val="auto"/>
        </w:rPr>
      </w:pPr>
      <w:r>
        <w:rPr>
          <w:rFonts w:ascii="Arial" w:cs="Arial" w:eastAsia="Arial" w:hAnsi="Arial"/>
          <w:sz w:val="14"/>
          <w:szCs w:val="14"/>
          <w:color w:val="auto"/>
        </w:rPr>
        <w:t>Valuation techniques for which no unobservable inputs are disclosed generally reflect the use of third-party pricing services or dealers, and the range of unobservable inputs applied by these sources is not readily available or cannot be reasonably estimated. Where we have disclosed unobservable inputs for consensus and single vendor techniques, those inputs are based on our validations performed at the security level using discounted cash flows.</w:t>
      </w:r>
    </w:p>
    <w:p>
      <w:pPr>
        <w:ind w:left="220" w:hanging="217"/>
        <w:spacing w:after="0"/>
        <w:tabs>
          <w:tab w:leader="none" w:pos="220" w:val="left"/>
        </w:tabs>
        <w:numPr>
          <w:ilvl w:val="0"/>
          <w:numId w:val="136"/>
        </w:numPr>
        <w:rPr>
          <w:rFonts w:ascii="Arial" w:cs="Arial" w:eastAsia="Arial" w:hAnsi="Arial"/>
          <w:sz w:val="18"/>
          <w:szCs w:val="18"/>
          <w:color w:val="auto"/>
          <w:vertAlign w:val="superscript"/>
        </w:rPr>
      </w:pPr>
      <w:r>
        <w:rPr>
          <w:rFonts w:ascii="Arial" w:cs="Arial" w:eastAsia="Arial" w:hAnsi="Arial"/>
          <w:sz w:val="14"/>
          <w:szCs w:val="14"/>
          <w:color w:val="auto"/>
        </w:rPr>
        <w:t>Unobservable inputs were weighted by the relative fair value of the instruments.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36"/>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 We held no Level 1 assets or liabilities that were measured at fair value on a nonrecurring basis as of March 31, 2024 or December 31, 2023. We held $66 million and $42 million in Level 2 assets as of March 31, 2024 and December 31, 2023, respectively, composed of mortgage loans held for sale that were impaired. We held no Level 2 or Level 3 liabilities that were measured at fair value on a nonrecurring basis as of March 31, 2024 or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3" w:name="page104"/>
    <w:bookmarkEnd w:id="103"/>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720" w:type="dxa"/>
            <w:vAlign w:val="bottom"/>
            <w:tcBorders>
              <w:bottom w:val="single" w:sz="8" w:color="2C6937"/>
            </w:tcBorders>
            <w:gridSpan w:val="4"/>
          </w:tcPr>
          <w:p>
            <w:pPr>
              <w:jc w:val="center"/>
              <w:ind w:right="83"/>
              <w:spacing w:after="0"/>
              <w:rPr>
                <w:sz w:val="20"/>
                <w:szCs w:val="20"/>
                <w:color w:val="auto"/>
              </w:rPr>
            </w:pPr>
            <w:r>
              <w:rPr>
                <w:rFonts w:ascii="Arial" w:cs="Arial" w:eastAsia="Arial" w:hAnsi="Arial"/>
                <w:sz w:val="14"/>
                <w:szCs w:val="14"/>
                <w:b w:val="1"/>
                <w:bCs w:val="1"/>
                <w:color w:val="auto"/>
                <w:w w:val="97"/>
              </w:rPr>
              <w:t>Fair Value Measurements as of</w:t>
            </w:r>
          </w:p>
        </w:tc>
      </w:tr>
      <w:tr>
        <w:trPr>
          <w:trHeight w:val="187"/>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2024</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31, 2023</w:t>
            </w:r>
          </w:p>
        </w:tc>
      </w:tr>
      <w:tr>
        <w:trPr>
          <w:trHeight w:val="185"/>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2080" w:type="dxa"/>
            <w:vAlign w:val="bottom"/>
            <w:tcBorders>
              <w:top w:val="single" w:sz="8" w:color="2C6937"/>
            </w:tcBorders>
            <w:gridSpan w:val="3"/>
          </w:tcPr>
          <w:p>
            <w:pPr>
              <w:jc w:val="center"/>
              <w:ind w:left="404"/>
              <w:spacing w:after="0"/>
              <w:rPr>
                <w:sz w:val="20"/>
                <w:szCs w:val="20"/>
                <w:color w:val="auto"/>
              </w:rPr>
            </w:pPr>
            <w:r>
              <w:rPr>
                <w:rFonts w:ascii="Arial" w:cs="Arial" w:eastAsia="Arial" w:hAnsi="Arial"/>
                <w:sz w:val="14"/>
                <w:szCs w:val="14"/>
                <w:b w:val="1"/>
                <w:bCs w:val="1"/>
                <w:color w:val="auto"/>
                <w:w w:val="98"/>
              </w:rPr>
              <w:t>(Dollars in millions)</w:t>
            </w:r>
          </w:p>
        </w:tc>
        <w:tc>
          <w:tcPr>
            <w:tcW w:w="640" w:type="dxa"/>
            <w:vAlign w:val="bottom"/>
            <w:tcBorders>
              <w:top w:val="single" w:sz="8" w:color="2C6937"/>
            </w:tcBorders>
          </w:tcPr>
          <w:p>
            <w:pPr>
              <w:spacing w:after="0"/>
              <w:rPr>
                <w:sz w:val="16"/>
                <w:szCs w:val="16"/>
                <w:color w:val="auto"/>
              </w:rPr>
            </w:pPr>
          </w:p>
        </w:tc>
      </w:tr>
      <w:tr>
        <w:trPr>
          <w:trHeight w:val="209"/>
        </w:trPr>
        <w:tc>
          <w:tcPr>
            <w:tcW w:w="6280" w:type="dxa"/>
            <w:vAlign w:val="bottom"/>
            <w:gridSpan w:val="2"/>
          </w:tcPr>
          <w:p>
            <w:pPr>
              <w:ind w:left="20"/>
              <w:spacing w:after="0"/>
              <w:rPr>
                <w:sz w:val="20"/>
                <w:szCs w:val="20"/>
                <w:color w:val="auto"/>
              </w:rPr>
            </w:pPr>
            <w:r>
              <w:rPr>
                <w:rFonts w:ascii="Arial" w:cs="Arial" w:eastAsia="Arial" w:hAnsi="Arial"/>
                <w:sz w:val="15"/>
                <w:szCs w:val="15"/>
                <w:b w:val="1"/>
                <w:bCs w:val="1"/>
                <w:color w:val="auto"/>
              </w:rPr>
              <w:t>Nonrecurring fair value measurements: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628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Mortgage loans held for sale, at lower of cost or fair value</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Consensus</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304</w:t>
            </w:r>
          </w:p>
        </w:tc>
        <w:tc>
          <w:tcPr>
            <w:tcW w:w="2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1,994</w:t>
            </w:r>
          </w:p>
        </w:tc>
      </w:tr>
      <w:tr>
        <w:trPr>
          <w:trHeight w:val="284"/>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Single-family mortgage loans held for investment, at amortized cost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281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407</w:t>
            </w:r>
          </w:p>
        </w:tc>
      </w:tr>
      <w:tr>
        <w:trPr>
          <w:trHeight w:val="276"/>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Multifamily mortgage loans held for investment, at amortized cost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168</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33</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Broker Price Opinion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440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769</w:t>
            </w:r>
          </w:p>
        </w:tc>
      </w:tr>
      <w:tr>
        <w:trPr>
          <w:trHeight w:val="208"/>
        </w:trPr>
        <w:tc>
          <w:tcPr>
            <w:tcW w:w="61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Internal Model</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193</w:t>
            </w:r>
          </w:p>
        </w:tc>
        <w:tc>
          <w:tcPr>
            <w:tcW w:w="20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218</w:t>
            </w:r>
          </w:p>
        </w:tc>
      </w:tr>
      <w:tr>
        <w:trPr>
          <w:trHeight w:val="231"/>
        </w:trPr>
        <w:tc>
          <w:tcPr>
            <w:tcW w:w="6280" w:type="dxa"/>
            <w:vAlign w:val="bottom"/>
            <w:gridSpan w:val="2"/>
          </w:tcPr>
          <w:p>
            <w:pPr>
              <w:ind w:left="160"/>
              <w:spacing w:after="0"/>
              <w:rPr>
                <w:sz w:val="20"/>
                <w:szCs w:val="20"/>
                <w:color w:val="auto"/>
              </w:rPr>
            </w:pPr>
            <w:r>
              <w:rPr>
                <w:rFonts w:ascii="Arial" w:cs="Arial" w:eastAsia="Arial" w:hAnsi="Arial"/>
                <w:sz w:val="15"/>
                <w:szCs w:val="15"/>
                <w:color w:val="auto"/>
              </w:rPr>
              <w:t>Total multifamily mortgage loans held for investment, at amortized cost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801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1,020</w:t>
            </w:r>
          </w:p>
        </w:tc>
      </w:tr>
      <w:tr>
        <w:trPr>
          <w:trHeight w:val="250"/>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Acquired property, net:</w:t>
            </w: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2"/>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Single-family</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Accepted Offer</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23</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53</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43</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145</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230</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Walk Forward</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75</w:t>
            </w:r>
          </w:p>
        </w:tc>
      </w:tr>
      <w:tr>
        <w:trPr>
          <w:trHeight w:val="208"/>
        </w:trPr>
        <w:tc>
          <w:tcPr>
            <w:tcW w:w="61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w:t>
            </w:r>
          </w:p>
        </w:tc>
        <w:tc>
          <w:tcPr>
            <w:tcW w:w="20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19</w:t>
            </w:r>
          </w:p>
        </w:tc>
      </w:tr>
      <w:tr>
        <w:trPr>
          <w:trHeight w:val="231"/>
        </w:trPr>
        <w:tc>
          <w:tcPr>
            <w:tcW w:w="6280" w:type="dxa"/>
            <w:vAlign w:val="bottom"/>
            <w:gridSpan w:val="2"/>
          </w:tcPr>
          <w:p>
            <w:pPr>
              <w:ind w:left="160"/>
              <w:spacing w:after="0"/>
              <w:rPr>
                <w:sz w:val="20"/>
                <w:szCs w:val="20"/>
                <w:color w:val="auto"/>
              </w:rPr>
            </w:pPr>
            <w:r>
              <w:rPr>
                <w:rFonts w:ascii="Arial" w:cs="Arial" w:eastAsia="Arial" w:hAnsi="Arial"/>
                <w:sz w:val="15"/>
                <w:szCs w:val="15"/>
                <w:color w:val="auto"/>
              </w:rPr>
              <w:t>Total single-family</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307</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390</w:t>
            </w:r>
          </w:p>
        </w:tc>
      </w:tr>
      <w:tr>
        <w:trPr>
          <w:trHeight w:val="277"/>
        </w:trPr>
        <w:tc>
          <w:tcPr>
            <w:tcW w:w="6180" w:type="dxa"/>
            <w:vAlign w:val="bottom"/>
            <w:tcBorders>
              <w:bottom w:val="single" w:sz="8" w:color="2C6937"/>
            </w:tcBorders>
          </w:tcPr>
          <w:p>
            <w:pPr>
              <w:ind w:left="10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200" w:type="dxa"/>
            <w:vAlign w:val="bottom"/>
          </w:tcPr>
          <w:p>
            <w:pPr>
              <w:spacing w:after="0"/>
              <w:rPr>
                <w:sz w:val="24"/>
                <w:szCs w:val="24"/>
                <w:color w:val="auto"/>
              </w:rPr>
            </w:pPr>
          </w:p>
        </w:tc>
        <w:tc>
          <w:tcPr>
            <w:tcW w:w="68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182</w:t>
            </w:r>
          </w:p>
        </w:tc>
      </w:tr>
      <w:tr>
        <w:trPr>
          <w:trHeight w:val="199"/>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Total nonrecurring assets at fair value</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1,696</w:t>
            </w:r>
          </w:p>
        </w:tc>
        <w:tc>
          <w:tcPr>
            <w:tcW w:w="20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3,993</w:t>
            </w:r>
          </w:p>
        </w:tc>
      </w:tr>
      <w:tr>
        <w:trPr>
          <w:trHeight w:val="20"/>
        </w:trPr>
        <w:tc>
          <w:tcPr>
            <w:tcW w:w="6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jc w:val="both"/>
        <w:ind w:left="240" w:right="140" w:hanging="237"/>
        <w:spacing w:after="0" w:line="228" w:lineRule="auto"/>
        <w:tabs>
          <w:tab w:leader="none" w:pos="233" w:val="left"/>
        </w:tabs>
        <w:numPr>
          <w:ilvl w:val="0"/>
          <w:numId w:val="137"/>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80593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jc w:val="center"/>
              <w:ind w:right="200"/>
              <w:spacing w:after="0"/>
              <w:rPr>
                <w:sz w:val="20"/>
                <w:szCs w:val="20"/>
                <w:color w:val="auto"/>
              </w:rPr>
            </w:pPr>
            <w:r>
              <w:rPr>
                <w:rFonts w:ascii="Arial" w:cs="Arial" w:eastAsia="Arial" w:hAnsi="Arial"/>
                <w:sz w:val="14"/>
                <w:szCs w:val="14"/>
                <w:b w:val="1"/>
                <w:bCs w:val="1"/>
                <w:color w:val="auto"/>
                <w:w w:val="98"/>
              </w:rPr>
              <w:t>As of March 31, 2024</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33,254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33,254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33,254</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73,725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73,725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49,361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47,626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49,361</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4,127,208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3,494,262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130,364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3,624,626</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2,052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4,288,217</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80,880</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3,572,424</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132,907</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3,785,878</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14,285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14,283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14,283</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104,116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104,063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104,663</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4,098,173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3,568,654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3,568,939</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4,216,728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3,690,331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3,688,024</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474980</wp:posOffset>
            </wp:positionV>
            <wp:extent cx="680593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105" w:name="page106"/>
    <w:bookmarkEnd w:id="105"/>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2023</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68,706</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34,725</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68,706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30,700</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47,764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52,552</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4,133,482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3,571,555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3,701,577</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4,289,817</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81,745</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3,643,669</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133,003</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3,858,134</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17,314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17,317</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17,317</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106,701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107,306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4,098,653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3,633,157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3,633,450</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4,222,937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3,760,502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3,758,278</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2023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an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382270</wp:posOffset>
            </wp:positionV>
            <wp:extent cx="680593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6" w:name="page107"/>
    <w:bookmarkEnd w:id="106"/>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March 31, 2024</w:t>
            </w:r>
          </w:p>
        </w:tc>
        <w:tc>
          <w:tcPr>
            <w:tcW w:w="5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4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Long-Term Debt of</w:t>
            </w:r>
          </w:p>
        </w:tc>
        <w:tc>
          <w:tcPr>
            <w:tcW w:w="144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Fannie Mae</w:t>
            </w:r>
          </w:p>
        </w:tc>
        <w:tc>
          <w:tcPr>
            <w:tcW w:w="14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w w:val="96"/>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5"/>
          </w:tcPr>
          <w:p>
            <w:pPr>
              <w:jc w:val="center"/>
              <w:ind w:right="18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3,176</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87"/>
              <w:spacing w:after="0"/>
              <w:rPr>
                <w:sz w:val="20"/>
                <w:szCs w:val="20"/>
                <w:color w:val="auto"/>
              </w:rPr>
            </w:pPr>
            <w:r>
              <w:rPr>
                <w:rFonts w:ascii="Arial" w:cs="Arial" w:eastAsia="Arial" w:hAnsi="Arial"/>
                <w:sz w:val="15"/>
                <w:szCs w:val="15"/>
                <w:b w:val="1"/>
                <w:bCs w:val="1"/>
                <w:color w:val="auto"/>
              </w:rPr>
              <w:t>654</w:t>
            </w:r>
          </w:p>
        </w:tc>
        <w:tc>
          <w:tcPr>
            <w:tcW w:w="56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13,762</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3,315</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761</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14,343</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3,358</w:t>
            </w:r>
          </w:p>
        </w:tc>
        <w:tc>
          <w:tcPr>
            <w:tcW w:w="340" w:type="dxa"/>
            <w:vAlign w:val="bottom"/>
          </w:tcPr>
          <w:p>
            <w:pPr>
              <w:spacing w:after="0"/>
              <w:rPr>
                <w:sz w:val="18"/>
                <w:szCs w:val="18"/>
                <w:color w:val="auto"/>
              </w:rPr>
            </w:pPr>
          </w:p>
        </w:tc>
        <w:tc>
          <w:tcPr>
            <w:tcW w:w="1140" w:type="dxa"/>
            <w:vAlign w:val="bottom"/>
          </w:tcPr>
          <w:p>
            <w:pPr>
              <w:jc w:val="right"/>
              <w:ind w:right="187"/>
              <w:spacing w:after="0"/>
              <w:rPr>
                <w:sz w:val="20"/>
                <w:szCs w:val="20"/>
                <w:color w:val="auto"/>
              </w:rPr>
            </w:pPr>
            <w:r>
              <w:rPr>
                <w:rFonts w:ascii="Arial" w:cs="Arial" w:eastAsia="Arial" w:hAnsi="Arial"/>
                <w:sz w:val="15"/>
                <w:szCs w:val="15"/>
                <w:b w:val="1"/>
                <w:bCs w:val="1"/>
                <w:color w:val="auto"/>
              </w:rPr>
              <w:t>621</w:t>
            </w:r>
          </w:p>
        </w:tc>
        <w:tc>
          <w:tcPr>
            <w:tcW w:w="56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13,977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3,442</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731</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14,383</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00" w:hanging="237"/>
        <w:spacing w:after="0" w:line="226" w:lineRule="auto"/>
        <w:tabs>
          <w:tab w:leader="none" w:pos="233" w:val="left"/>
        </w:tabs>
        <w:numPr>
          <w:ilvl w:val="0"/>
          <w:numId w:val="138"/>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$31 million and $32 million as of March 31, 2024 and December 31, 2023, respectively. Includes loans that are 90 days or more past due with a fair value of $28 million and $31 million as of March 31, 2024 and December 31, 2023, respectively.</w:t>
      </w:r>
    </w:p>
    <w:p>
      <w:pPr>
        <w:spacing w:after="0" w:line="85"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76"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We recorded losses of $45 million for the three months ended March 31, 2024 and gains of $71 million for the three months ended March 31, 2023 from changes in the fair value of loans recorded at fair value in “Fair value gains, net” in our condensed consolidated statements of operations and comprehensive income.</w:t>
      </w:r>
    </w:p>
    <w:p>
      <w:pPr>
        <w:spacing w:after="0" w:line="3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We recorded gains of $111 million for the three months ended March 31, 2024 and losses of $269 million for the three months ended March 31, 2023 from changes in the fair value of long-term debt recorded at fair value in “Fair value gains,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3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8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 of Columbia. The lawsuits challenge the August 2012 amendment to each company’s senior preferred stock purchase agreement with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7" w:name="page108"/>
    <w:bookmarkEnd w:id="107"/>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The parties will have 30 days to appeal following the court’s decision on the motion. Until the motion and any subsequent appeals are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 $5 million of expense for the three months ended March 31, 2024 related to the prejudgment and post-judgment interest.</w:t>
      </w:r>
    </w:p>
    <w:p>
      <w:pPr>
        <w:spacing w:after="0" w:line="14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1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FHFA’s enterprise regulatory capital framework rule went into effect in February 2021 and was amended in 2022 and 2023; however, we are not required to hold capital according to the rule requirements until the date of termination of our conservatorship, or such later date as may be ordered by FHFA.</w:t>
      </w:r>
    </w:p>
    <w:p>
      <w:pPr>
        <w:spacing w:after="0" w:line="15"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for purposes of the enterprise regulatory capital framework excludes the stated value of the senior preferred stock ($120.8 billion) and other amounts specified in footnote 2 to the table. Because of these exclusions, we had a deficit in available capital as of March 31, 2024 and December 31, 2023, even though we had positive net worth under GAAP of $82.0 billion and $77.7 billion as of March 31, 2024 and December 31, 2023, respectively.</w:t>
      </w:r>
    </w:p>
    <w:p>
      <w:pPr>
        <w:spacing w:after="0" w:line="235"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We had a shortfall of $238 billion and $243 billion of our available capital (deficit) to the adjusted total capital requirement (including buffers) of $188 billion under the standardized approach of the enterprise regulatory capital framework as shown in the table below as of March 31, 2024 and December 31, 2023, respectively.</w:t>
      </w:r>
    </w:p>
    <w:p>
      <w:pPr>
        <w:spacing w:after="0" w:line="24"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Risk-weighted assets decreased from $1,357 billion as of December 31, 2023 to $1,323 billion as of March 31, 2024, primarily due to continued single-family home price appreciation and ongoing credit risk transfer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108" w:name="page109"/>
    <w:bookmarkEnd w:id="108"/>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 Metrics under the Enterprise Regulatory Capital Framework as of March 31, 2024</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4,549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22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Capital</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Available</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64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(including Buffers)</w:t>
            </w: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320" w:type="dxa"/>
            <w:vAlign w:val="bottom"/>
            <w:gridSpan w:val="3"/>
          </w:tcPr>
          <w:p>
            <w:pPr>
              <w:jc w:val="center"/>
              <w:ind w:right="80"/>
              <w:spacing w:after="0" w:line="167" w:lineRule="exact"/>
              <w:rPr>
                <w:sz w:val="20"/>
                <w:szCs w:val="20"/>
                <w:color w:val="auto"/>
              </w:rPr>
            </w:pPr>
            <w:r>
              <w:rPr>
                <w:rFonts w:ascii="Arial" w:cs="Arial" w:eastAsia="Arial" w:hAnsi="Arial"/>
                <w:sz w:val="14"/>
                <w:szCs w:val="14"/>
                <w:b w:val="1"/>
                <w:bCs w:val="1"/>
                <w:color w:val="auto"/>
                <w:w w:val="96"/>
              </w:rPr>
              <w:t>Capital (Deficit)</w:t>
            </w:r>
            <w:r>
              <w:rPr>
                <w:rFonts w:ascii="Arial" w:cs="Arial" w:eastAsia="Arial" w:hAnsi="Arial"/>
                <w:sz w:val="17"/>
                <w:szCs w:val="17"/>
                <w:b w:val="1"/>
                <w:bCs w:val="1"/>
                <w:color w:val="auto"/>
                <w:w w:val="96"/>
                <w:vertAlign w:val="superscript"/>
              </w:rPr>
              <w:t>(2)</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6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9"/>
                <w:szCs w:val="9"/>
                <w:b w:val="1"/>
                <w:bCs w:val="1"/>
                <w:color w:val="auto"/>
                <w:w w:val="90"/>
              </w:rPr>
              <w:t>(3)</w:t>
            </w:r>
          </w:p>
        </w:tc>
        <w:tc>
          <w:tcPr>
            <w:tcW w:w="100" w:type="dxa"/>
            <w:vAlign w:val="bottom"/>
          </w:tcPr>
          <w:p>
            <w:pPr>
              <w:spacing w:after="0"/>
              <w:rPr>
                <w:sz w:val="14"/>
                <w:szCs w:val="14"/>
                <w:color w:val="auto"/>
              </w:rPr>
            </w:pPr>
          </w:p>
        </w:tc>
        <w:tc>
          <w:tcPr>
            <w:tcW w:w="1440" w:type="dxa"/>
            <w:vAlign w:val="bottom"/>
            <w:gridSpan w:val="2"/>
          </w:tcPr>
          <w:p>
            <w:pPr>
              <w:ind w:left="160"/>
              <w:spacing w:after="0" w:line="167" w:lineRule="exact"/>
              <w:rPr>
                <w:sz w:val="20"/>
                <w:szCs w:val="20"/>
                <w:color w:val="auto"/>
              </w:rPr>
            </w:pPr>
            <w:r>
              <w:rPr>
                <w:rFonts w:ascii="Arial" w:cs="Arial" w:eastAsia="Arial" w:hAnsi="Arial"/>
                <w:sz w:val="14"/>
                <w:szCs w:val="14"/>
                <w:b w:val="1"/>
                <w:bCs w:val="1"/>
                <w:color w:val="auto"/>
              </w:rPr>
              <w:t>(Deficit) Ratio</w:t>
            </w:r>
            <w:r>
              <w:rPr>
                <w:rFonts w:ascii="Arial" w:cs="Arial" w:eastAsia="Arial" w:hAnsi="Arial"/>
                <w:sz w:val="17"/>
                <w:szCs w:val="17"/>
                <w:b w:val="1"/>
                <w:bCs w:val="1"/>
                <w:color w:val="auto"/>
                <w:vertAlign w:val="superscript"/>
              </w:rPr>
              <w:t>(4)</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4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2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9"/>
              </w:rPr>
              <w:t>(2.3)%</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 Metrics under the Enterprise Regulatory Capital Framework as of December 31, 2023</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4,552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22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102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Capital</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Requirement</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Available</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(including Buffers)</w:t>
            </w: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Minimum Capital</w:t>
            </w:r>
          </w:p>
        </w:tc>
        <w:tc>
          <w:tcPr>
            <w:tcW w:w="1640" w:type="dxa"/>
            <w:vAlign w:val="bottom"/>
          </w:tcPr>
          <w:p>
            <w:pPr>
              <w:jc w:val="right"/>
              <w:ind w:right="126"/>
              <w:spacing w:after="0"/>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Capital (Deficit)</w:t>
            </w:r>
            <w:r>
              <w:rPr>
                <w:rFonts w:ascii="Arial" w:cs="Arial" w:eastAsia="Arial" w:hAnsi="Arial"/>
                <w:sz w:val="8"/>
                <w:szCs w:val="8"/>
                <w:b w:val="1"/>
                <w:bCs w:val="1"/>
                <w:color w:val="auto"/>
                <w:w w:val="99"/>
              </w:rPr>
              <w:t>(2)</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6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9"/>
                <w:szCs w:val="9"/>
                <w:b w:val="1"/>
                <w:bCs w:val="1"/>
                <w:color w:val="auto"/>
                <w:w w:val="90"/>
              </w:rPr>
              <w:t>(3)</w:t>
            </w:r>
          </w:p>
        </w:tc>
        <w:tc>
          <w:tcPr>
            <w:tcW w:w="10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(Deficit) Ratio</w:t>
            </w:r>
            <w:r>
              <w:rPr>
                <w:rFonts w:ascii="Arial" w:cs="Arial" w:eastAsia="Arial" w:hAnsi="Arial"/>
                <w:sz w:val="8"/>
                <w:szCs w:val="8"/>
                <w:b w:val="1"/>
                <w:bCs w:val="1"/>
                <w:color w:val="auto"/>
              </w:rPr>
              <w:t>(4)</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4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22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Total capital (statutory)</w:t>
            </w:r>
            <w:r>
              <w:rPr>
                <w:rFonts w:ascii="Arial" w:cs="Arial" w:eastAsia="Arial" w:hAnsi="Arial"/>
                <w:sz w:val="20"/>
                <w:szCs w:val="20"/>
                <w:color w:val="auto"/>
                <w:vertAlign w:val="superscript"/>
              </w:rPr>
              <w:t>(5)</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9"/>
              </w:rPr>
              <w:t>(2.5)%</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220"/>
              <w:spacing w:after="0"/>
              <w:rPr>
                <w:sz w:val="20"/>
                <w:szCs w:val="20"/>
                <w:color w:val="auto"/>
              </w:rPr>
            </w:pPr>
            <w:r>
              <w:rPr>
                <w:rFonts w:ascii="Arial" w:cs="Arial" w:eastAsia="Arial" w:hAnsi="Arial"/>
                <w:sz w:val="15"/>
                <w:szCs w:val="15"/>
                <w:color w:val="auto"/>
              </w:rPr>
              <w:t>Core capital (statutory)</w:t>
            </w:r>
            <w:r>
              <w:rPr>
                <w:rFonts w:ascii="Arial" w:cs="Arial" w:eastAsia="Arial" w:hAnsi="Arial"/>
                <w:sz w:val="20"/>
                <w:szCs w:val="20"/>
                <w:color w:val="auto"/>
                <w:vertAlign w:val="superscript"/>
              </w:rPr>
              <w:t>(6)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1"/>
                <w:szCs w:val="21"/>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1"/>
                <w:szCs w:val="21"/>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1"/>
                <w:szCs w:val="21"/>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8"/>
                <w:szCs w:val="18"/>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8"/>
                <w:szCs w:val="18"/>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20" w:hanging="217"/>
        <w:spacing w:after="0"/>
        <w:tabs>
          <w:tab w:leader="none" w:pos="220" w:val="left"/>
        </w:tabs>
        <w:numPr>
          <w:ilvl w:val="0"/>
          <w:numId w:val="139"/>
        </w:numPr>
        <w:rPr>
          <w:rFonts w:ascii="Arial" w:cs="Arial" w:eastAsia="Arial" w:hAnsi="Arial"/>
          <w:sz w:val="9"/>
          <w:szCs w:val="9"/>
          <w:color w:val="auto"/>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45" w:lineRule="exact"/>
        <w:rPr>
          <w:rFonts w:ascii="Arial" w:cs="Arial" w:eastAsia="Arial" w:hAnsi="Arial"/>
          <w:sz w:val="9"/>
          <w:szCs w:val="9"/>
          <w:color w:val="auto"/>
        </w:rPr>
      </w:pPr>
    </w:p>
    <w:p>
      <w:pPr>
        <w:ind w:left="240" w:right="40" w:hanging="237"/>
        <w:spacing w:after="0" w:line="236" w:lineRule="auto"/>
        <w:tabs>
          <w:tab w:leader="none" w:pos="233"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 Available capital (deficit) for all line items except total capital and core capital also deducts a portion of deferred tax assets. Deferred tax assets arising from temporary differences between GAAP and tax requirements are deducted from capital to the extent they exceed 10% of common equity. As of March 31, 2024 and December 31, 2023, this resulted in the full deduction of deferred tax assets ($11.5 billion and $11.7 billion, respectively) from our available capital (deficit). Available capital (deficit) for common equity tier 1 capital also excludes the value of the perpetual, non-cumulative preferred stock ($19.1 billion) as of March 31, 2024 and December 31, 2023.</w:t>
      </w:r>
    </w:p>
    <w:p>
      <w:pPr>
        <w:spacing w:after="0" w:line="26" w:lineRule="exact"/>
        <w:rPr>
          <w:rFonts w:ascii="Arial" w:cs="Arial" w:eastAsia="Arial" w:hAnsi="Arial"/>
          <w:sz w:val="18"/>
          <w:szCs w:val="18"/>
          <w:color w:val="auto"/>
          <w:vertAlign w:val="superscript"/>
        </w:rPr>
      </w:pPr>
    </w:p>
    <w:p>
      <w:pPr>
        <w:ind w:left="240" w:right="40" w:hanging="237"/>
        <w:spacing w:after="0" w:line="251" w:lineRule="auto"/>
        <w:tabs>
          <w:tab w:leader="none" w:pos="233" w:val="left"/>
        </w:tabs>
        <w:numPr>
          <w:ilvl w:val="0"/>
          <w:numId w:val="139"/>
        </w:numPr>
        <w:rPr>
          <w:rFonts w:ascii="Arial" w:cs="Arial" w:eastAsia="Arial" w:hAnsi="Arial"/>
          <w:sz w:val="9"/>
          <w:szCs w:val="9"/>
          <w:color w:val="auto"/>
        </w:rPr>
      </w:pPr>
      <w:r>
        <w:rPr>
          <w:rFonts w:ascii="Arial" w:cs="Arial" w:eastAsia="Arial" w:hAnsi="Arial"/>
          <w:sz w:val="14"/>
          <w:szCs w:val="14"/>
          <w:color w:val="auto"/>
        </w:rPr>
        <w:t>The prescribed capital buffers represent the amount of capital we are required to hold above the minimum risk-based and leverage capital requirements. The applicable buffer for risk-based common equity tier 1 capital, tier 1 capital, and adjusted total capital is the PCCBA, which is composed of a stress capital buffer, a stability capital buffer, and a countercyclical capital buffer. The PCCBA must be comprised entirely of common equity tier 1 capital. The applicable buffer for leverage tier 1 capital is the PLBA. The stress capital buffer and countercyclical capital buffer are each calculated by multiplying prescribed factors by adjusted total assets as of the last day of the previous calendar quarter. The stability capital buffer is based on our share of mortgage debt outstanding. The prescribed leverage buffer for March 31, 2024 and December 31, 2023 was set at 50% of the March 31, 2024 and December 31, 2023 stability capital buffer, respectively.</w:t>
      </w:r>
    </w:p>
    <w:p>
      <w:pPr>
        <w:ind w:left="220" w:hanging="217"/>
        <w:spacing w:after="0"/>
        <w:tabs>
          <w:tab w:leader="none" w:pos="220"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Ratios are negative because we had a deficit in available capital for each tier of capital.</w:t>
      </w:r>
    </w:p>
    <w:p>
      <w:pPr>
        <w:spacing w:after="0" w:line="37" w:lineRule="exact"/>
        <w:rPr>
          <w:rFonts w:ascii="Arial" w:cs="Arial" w:eastAsia="Arial" w:hAnsi="Arial"/>
          <w:sz w:val="18"/>
          <w:szCs w:val="18"/>
          <w:color w:val="auto"/>
          <w:vertAlign w:val="superscript"/>
        </w:rPr>
      </w:pPr>
    </w:p>
    <w:p>
      <w:pPr>
        <w:ind w:left="240" w:right="100" w:hanging="237"/>
        <w:spacing w:after="0" w:line="219" w:lineRule="auto"/>
        <w:tabs>
          <w:tab w:leader="none" w:pos="233"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The sum of (a) core capital (see definition in footnote 6 below); and (b) a general allowance for foreclosure losses, which (i) shall include an allowance for portfolio mortgage losses, an allowance for non-reimbursable foreclosure costs on government claims, and an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9" w:name="page110"/>
    <w:bookmarkEnd w:id="109"/>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60"/>
        <w:spacing w:after="0" w:line="262" w:lineRule="auto"/>
        <w:rPr>
          <w:sz w:val="20"/>
          <w:szCs w:val="20"/>
          <w:color w:val="auto"/>
        </w:rPr>
      </w:pPr>
      <w:r>
        <w:rPr>
          <w:rFonts w:ascii="Arial" w:cs="Arial" w:eastAsia="Arial" w:hAnsi="Arial"/>
          <w:sz w:val="14"/>
          <w:szCs w:val="14"/>
          <w:color w:val="auto"/>
        </w:rPr>
        <w:t>for liabilities reflected on the balance sheet for estimated foreclosure losses on mortgage-backed securities; and (ii) shall not include any reserves made or held against specific assets; and (c) any other amounts from sources of funds available to absorb losses that the Director of FHFA by regulation determines are appropriate to include in determining total capital.</w:t>
      </w:r>
    </w:p>
    <w:p>
      <w:pPr>
        <w:spacing w:after="0" w:line="1" w:lineRule="exact"/>
        <w:rPr>
          <w:sz w:val="20"/>
          <w:szCs w:val="20"/>
          <w:color w:val="auto"/>
        </w:rPr>
      </w:pPr>
    </w:p>
    <w:p>
      <w:pPr>
        <w:ind w:left="240" w:right="80" w:hanging="237"/>
        <w:spacing w:after="0" w:line="264" w:lineRule="auto"/>
        <w:tabs>
          <w:tab w:leader="none" w:pos="233" w:val="left"/>
        </w:tabs>
        <w:numPr>
          <w:ilvl w:val="0"/>
          <w:numId w:val="140"/>
        </w:numPr>
        <w:rPr>
          <w:rFonts w:ascii="Arial" w:cs="Arial" w:eastAsia="Arial" w:hAnsi="Arial"/>
          <w:sz w:val="9"/>
          <w:szCs w:val="9"/>
          <w:color w:val="auto"/>
        </w:rPr>
      </w:pPr>
      <w:r>
        <w:rPr>
          <w:rFonts w:ascii="Arial" w:cs="Arial" w:eastAsia="Arial" w:hAnsi="Arial"/>
          <w:sz w:val="14"/>
          <w:szCs w:val="14"/>
          <w:color w:val="auto"/>
        </w:rPr>
        <w:t>The sum of (a) the stated value of our outstanding common stock (common stock less treasury stock); (b) the stated value of our outstanding perpetual, noncumulative preferred stock; (c) our paid-in capital; and (d) our retained earnings (accumulated deficit). Core capital does not include: (a) accumulated other comprehensive income or (b) senior preferred stock.</w:t>
      </w:r>
    </w:p>
    <w:p>
      <w:pPr>
        <w:spacing w:after="0" w:line="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While it is not applicable until the date of termination of our conservatorship, our maximum payout ratio represents the percentage of eligible retained income that we are permitted to pay out in the form of distributions or discretionary bonus payments under the enterprise regulatory capital framework. The maximum payout ratio for a given quarter is the lowest of the payout ratios determined by our capital conservation buffer and our leverage buffer. As a result of our capital shortfall, our maximum payout ratio under the enterprise regulatory capital framework as of March 31, 2024 and December 31, 2023 was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First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0" w:name="page111"/>
    <w:bookmarkEnd w:id="110"/>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March 31, 2024, the end of the period covered by this report. As a result of management’s evaluation, our Chief Executive Officer and Chief Financial Officer concluded that our disclosure controls and procedures were not effective at a reasonable assurance level as of March 31, 2024, or as of the date of filing this report.</w:t>
      </w:r>
    </w:p>
    <w:p>
      <w:pPr>
        <w:spacing w:after="0" w:line="48"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Our disclosure controls and procedures were not effective as of March 31, 2024,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March 31, 2024,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March 31, 2024,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1386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108</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1" w:name="page112"/>
    <w:bookmarkEnd w:id="111"/>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March 31, 2024, or as of the date of filing this report. Based on discussions with FHFA and the structural nature of this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right="180" w:hanging="307"/>
        <w:spacing w:after="0" w:line="293" w:lineRule="auto"/>
        <w:tabs>
          <w:tab w:leader="none" w:pos="61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FHFA has established the Division of Conservatorship Oversight and Readiness, which is intended to facilitate operation of the company with the oversight of the conservator.</w:t>
      </w:r>
    </w:p>
    <w:p>
      <w:pPr>
        <w:spacing w:after="0" w:line="14"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We have provided drafts of our SEC filings to FHFA personnel for their review and comment prior to filing. We also have provided drafts of external press releases, statements, and speeches to FHFA personnel for their review and comment prior to release.</w:t>
      </w:r>
    </w:p>
    <w:p>
      <w:pPr>
        <w:spacing w:after="0" w:line="27" w:lineRule="exact"/>
        <w:rPr>
          <w:rFonts w:ascii="Arial" w:cs="Arial" w:eastAsia="Arial" w:hAnsi="Arial"/>
          <w:sz w:val="16"/>
          <w:szCs w:val="16"/>
          <w:color w:val="auto"/>
        </w:rPr>
      </w:pPr>
    </w:p>
    <w:p>
      <w:pPr>
        <w:ind w:left="620" w:hanging="307"/>
        <w:spacing w:after="0" w:line="262" w:lineRule="auto"/>
        <w:tabs>
          <w:tab w:leader="none" w:pos="61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SEC filings prior to filing, including this quarterly report on Form 10-Q for the quarter ended March 31, 2024 (“First Quarter 2024 Form 10-Q”), and engaged in discussions regarding issues associated with the information contained in those filings. Prior to filing our First Quarter 2024 Form 10-Q, FHFA provided Fannie Mae management with written acknowledgment that it had reviewed the First Quarter 2024 Form 10-Q, and it was not aware of any material misstatements or omissions in the First Quarter 2024 Form 10-Q and had no objection to our filing the First Quarter 2024 Form 10-Q.</w:t>
      </w:r>
    </w:p>
    <w:p>
      <w:pPr>
        <w:spacing w:after="0" w:line="52" w:lineRule="exact"/>
        <w:rPr>
          <w:rFonts w:ascii="Arial" w:cs="Arial" w:eastAsia="Arial" w:hAnsi="Arial"/>
          <w:sz w:val="16"/>
          <w:szCs w:val="16"/>
          <w:color w:val="auto"/>
        </w:rPr>
      </w:pPr>
    </w:p>
    <w:p>
      <w:pPr>
        <w:ind w:left="620" w:hanging="307"/>
        <w:spacing w:after="0"/>
        <w:tabs>
          <w:tab w:leader="none" w:pos="6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including, but not limited to, the Director.</w:t>
      </w:r>
    </w:p>
    <w:p>
      <w:pPr>
        <w:spacing w:after="0" w:line="86"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January 1, 2024 through March 31, 2024 that management believes have materially affected, or are reasonably likely to materially affect, our internal control over financial reporting.</w:t>
      </w:r>
    </w:p>
    <w:p>
      <w:pPr>
        <w:spacing w:after="0" w:line="3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109</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2" w:name="page113"/>
    <w:bookmarkEnd w:id="112"/>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2023 Form 10-K.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or were terminated after December 31, 2023 are as follows:</w:t>
      </w:r>
    </w:p>
    <w:p>
      <w:pPr>
        <w:spacing w:after="0" w:line="4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i w:val="1"/>
          <w:iCs w:val="1"/>
          <w:color w:val="auto"/>
        </w:rPr>
        <w:t xml:space="preserve">District of Columbia (In re Fannie Mae/Freddie Mac Senior Preferred Stock Purchase Agreement Class Action Litigations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Fairholme Funds v. FHFA). </w:t>
      </w:r>
      <w:r>
        <w:rPr>
          <w:rFonts w:ascii="Arial" w:cs="Arial" w:eastAsia="Arial" w:hAnsi="Arial"/>
          <w:sz w:val="16"/>
          <w:szCs w:val="16"/>
          <w:color w:val="auto"/>
        </w:rPr>
        <w:t>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On April 17, 2024, the defendants filed a motion for judgment as a matter of law. The parties will have 30 days to appeal following the court’s decision on the motion. See “Note 14, Commitments and Contingencies” for additional information.</w:t>
      </w:r>
    </w:p>
    <w:p>
      <w:pPr>
        <w:spacing w:after="0" w:line="4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auto"/>
        </w:rPr>
        <w:t xml:space="preserve">Southern District of Texas (Collins, et al. v. Yellen, et al.). </w:t>
      </w:r>
      <w:r>
        <w:rPr>
          <w:rFonts w:ascii="Arial" w:cs="Arial" w:eastAsia="Arial" w:hAnsi="Arial"/>
          <w:sz w:val="16"/>
          <w:szCs w:val="16"/>
          <w:color w:val="auto"/>
        </w:rPr>
        <w:t>On October 20, 2016, preferred and common stockholders filed a complaint against FHFA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in the U.S. District Court for the Southern District of Texas. On May 22, 2017, the court dismissed the case. On September 6, 2019, the U.S. Court of Appeals for the Fifth Circuit, sitting en banc, affirmed the district court’s dismissal of claims against Treasury, but reversed the dismissal of claims against FHFA.</w:t>
      </w:r>
    </w:p>
    <w:p>
      <w:pPr>
        <w:spacing w:after="0" w:line="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On June 23, 2021, the U.S. Supreme Court held that FHFA did not exceed its statutory powers as conservator when it agreed to the net worth sweep dividend provisions of the third amendment to the senior preferred stock purchase agreements in August 2012. The court also held that the provision of the Housing and Economic Recovery Act of 2008 that restricts the President’s power to remove the FHFA Director without cause violates the Constitution’s separation of powers and, thus, the FHFA Director may be removed by the President for any reason. The court rejected plaintiffs’ request to rescind the third amendment to the senior preferred stock purchase agreements. However, the Supreme Court remanded the case to the Fifth Circuit for further proceedings on the sole issue of whether the stockholders suffered compensable harm related to the constitutional claim during the limited time-period when a Senate-confirmed FHFA Director was in office. On March 4, 2022, the Fifth Circuit remanded the case to the district court for further proceedings on the compensable harm issue. On June 3, 2022, the stockholders filed an amended complaint and on July 18, 2022, FHFA and Treasury moved to dismiss that complaint. On November 21, 2022, the district court dismissed the case. On October 12, 2023, the Fifth Circuit Court of Appeals affirmed the district court’s dismissal. The stockholders’ time to seek further review expired on January 10, 2024 and the case is now concluded.</w:t>
      </w:r>
    </w:p>
    <w:p>
      <w:pPr>
        <w:spacing w:after="0" w:line="5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386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110</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3" w:name="page114"/>
    <w:bookmarkEnd w:id="113"/>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w:t>
      </w:r>
    </w:p>
    <w:p>
      <w:pPr>
        <w:spacing w:after="0" w:line="38"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i w:val="1"/>
          <w:iCs w:val="1"/>
          <w:color w:val="auto"/>
        </w:rPr>
        <w:t xml:space="preserve">District of Minnesota (Bhatti et al. v. FHFA et al.). </w:t>
      </w:r>
      <w:r>
        <w:rPr>
          <w:rFonts w:ascii="Arial" w:cs="Arial" w:eastAsia="Arial" w:hAnsi="Arial"/>
          <w:sz w:val="16"/>
          <w:szCs w:val="16"/>
          <w:color w:val="auto"/>
        </w:rPr>
        <w:t>On June 22, 2017, preferred and common stockholders of Fannie Mae and Freddie Mac filed a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for declaratory and injunctive relief against FHFA and Treasury in the U.S. District Court for the District of Minnesota. The court dismissed the case on July 6, 2018. On October 6, 2021, the U.S. Court of Appeals for the Eighth Circuit affirmed in part and reversed in part the district court’s ruling and remanded the case to the district court to determine whether the stockholders suffered compensable harm. On January 26, 2022, plaintiffs filed an amended complaint. On March 11, 2022 and March 14, 2022, Treasury and FHFA each filed motions to dismiss the new complaint. On December 16, 2022, the district court dismissed the case. On March 28, 2024, the Eighth Circuit Court of Appeals affirmed the district court’s dismissal.</w:t>
      </w:r>
    </w:p>
    <w:p>
      <w:pPr>
        <w:spacing w:after="0" w:line="4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 dismiss the case on November 16, 2018, and plaintiffs filed a motion for summary judgment on December 21, 2018. This case was stayed until April 9, 2024.</w:t>
      </w:r>
    </w:p>
    <w:p>
      <w:pPr>
        <w:spacing w:after="0" w:line="3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 U.S. Constitution. On February 15, 2023, the court issued an order for plaintiffs to show cause why their claims should not be dismissed, as claims similar to theirs brought by other Fannie Mae stockholders in other cases against the United States had been dismissed by the court. On September 1, 2023, the court dismissed the case with prejudice. On October 30, 2023, plaintiffs filed a notice of appeal.</w:t>
      </w:r>
    </w:p>
    <w:p>
      <w:pPr>
        <w:spacing w:after="0" w:line="94"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10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2023 Form 10-K. Also refer to “MD&amp;A—Risk Management,” “MD&amp;A—Single-Family Business” and “MD&amp;A—Multifamily Business” in our 2023 Form 10-K and in this report for more detailed descriptions of the primary risks to our business and how we seek to manage those risks.</w:t>
      </w:r>
    </w:p>
    <w:p>
      <w:pPr>
        <w:spacing w:after="0" w:line="30"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other sections of this report and our 2023 Form 10-K referenced above are the most significant we face; however, these are not the only risks we face. We face additional risks and uncertainties not currently known to us or that we currently believe are immaterial.</w:t>
      </w:r>
    </w:p>
    <w:p>
      <w:pPr>
        <w:spacing w:after="0" w:line="8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76"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3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6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2023 Form 10-K. During the quarter ended March 31, 2024, we did not sell any equity securities.</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63" w:lineRule="exact"/>
        <w:rPr>
          <w:sz w:val="20"/>
          <w:szCs w:val="20"/>
          <w:color w:val="auto"/>
        </w:rPr>
      </w:pPr>
    </w:p>
    <w:p>
      <w:pPr>
        <w:jc w:val="both"/>
        <w:ind w:right="80"/>
        <w:spacing w:after="0" w:line="272"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1386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111</w:t>
            </w:r>
          </w:p>
        </w:tc>
      </w:tr>
      <w:tr>
        <w:trPr>
          <w:trHeight w:val="207"/>
        </w:trPr>
        <w:tc>
          <w:tcPr>
            <w:tcW w:w="682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4" w:name="page115"/>
    <w:bookmarkEnd w:id="114"/>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incurred in connection with certain types of securities offerings, in prospectuses for that offering that are filed with the SEC.</w:t>
      </w:r>
    </w:p>
    <w:p>
      <w:pPr>
        <w:spacing w:after="0" w:line="87"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1"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24"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4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first quarter of 2024.</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2023 Form 10-K.</w:t>
      </w:r>
    </w:p>
    <w:p>
      <w:pPr>
        <w:spacing w:after="0" w:line="46"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24"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71386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112</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5" w:name="page116"/>
    <w:bookmarkEnd w:id="115"/>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3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While not currently applicable, our payment of dividends will be subject to the following restrictions under the enterprise regulatory capital framework effective on the date of termination of our conservatorship:</w:t>
      </w:r>
    </w:p>
    <w:p>
      <w:pPr>
        <w:spacing w:after="0" w:line="1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During a calendar quarter, we will not be permitted to pay dividends or make any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 our leverage buffer is less than our prescribed leverage buffer amount.</w:t>
      </w:r>
    </w:p>
    <w:p>
      <w:pPr>
        <w:spacing w:after="0" w:line="1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3"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2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6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During the quarter ended March 31, 2024,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386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113</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6" w:name="page117"/>
    <w:bookmarkEnd w:id="116"/>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60" w:type="dxa"/>
            <w:vAlign w:val="bottom"/>
            <w:gridSpan w:val="11"/>
          </w:tcPr>
          <w:p>
            <w:pPr>
              <w:ind w:left="228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2"/>
          </w:tcPr>
          <w:p>
            <w:pPr>
              <w:spacing w:after="0"/>
              <w:rPr>
                <w:rFonts w:ascii="Arial" w:cs="Arial" w:eastAsia="Arial" w:hAnsi="Arial"/>
                <w:sz w:val="15"/>
                <w:szCs w:val="15"/>
                <w:color w:val="0000FF"/>
              </w:rPr>
            </w:pPr>
            <w:hyperlink r:id="rId542">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11"/>
          </w:tcPr>
          <w:p>
            <w:pPr>
              <w:spacing w:after="0" w:line="135" w:lineRule="exact"/>
              <w:rPr>
                <w:rFonts w:ascii="Arial" w:cs="Arial" w:eastAsia="Arial" w:hAnsi="Arial"/>
                <w:sz w:val="15"/>
                <w:szCs w:val="15"/>
                <w:color w:val="0000FF"/>
              </w:rPr>
            </w:pPr>
            <w:hyperlink r:id="rId542">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2"/>
          </w:tcPr>
          <w:p>
            <w:pPr>
              <w:spacing w:after="0"/>
              <w:rPr>
                <w:rFonts w:ascii="Arial" w:cs="Arial" w:eastAsia="Arial" w:hAnsi="Arial"/>
                <w:sz w:val="15"/>
                <w:szCs w:val="15"/>
                <w:color w:val="0000FF"/>
              </w:rPr>
            </w:pPr>
            <w:hyperlink r:id="rId543">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10"/>
          </w:tcPr>
          <w:p>
            <w:pPr>
              <w:spacing w:after="0" w:line="135" w:lineRule="exact"/>
              <w:rPr>
                <w:rFonts w:ascii="Arial" w:cs="Arial" w:eastAsia="Arial" w:hAnsi="Arial"/>
                <w:sz w:val="15"/>
                <w:szCs w:val="15"/>
                <w:color w:val="0000FF"/>
              </w:rPr>
            </w:pPr>
            <w:hyperlink r:id="rId543">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2"/>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7"/>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6"/>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8"/>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99.1</w:t>
            </w:r>
          </w:p>
        </w:tc>
        <w:tc>
          <w:tcPr>
            <w:tcW w:w="1060" w:type="dxa"/>
            <w:vAlign w:val="bottom"/>
          </w:tcPr>
          <w:p>
            <w:pPr>
              <w:spacing w:after="0"/>
              <w:rPr>
                <w:sz w:val="16"/>
                <w:szCs w:val="16"/>
                <w:color w:val="auto"/>
              </w:rPr>
            </w:pPr>
          </w:p>
        </w:tc>
        <w:tc>
          <w:tcPr>
            <w:tcW w:w="9600" w:type="dxa"/>
            <w:vAlign w:val="bottom"/>
            <w:gridSpan w:val="12"/>
          </w:tcPr>
          <w:p>
            <w:pPr>
              <w:spacing w:after="0"/>
              <w:rPr>
                <w:sz w:val="20"/>
                <w:szCs w:val="20"/>
                <w:color w:val="auto"/>
              </w:rPr>
            </w:pPr>
            <w:r>
              <w:rPr>
                <w:rFonts w:ascii="Arial" w:cs="Arial" w:eastAsia="Arial" w:hAnsi="Arial"/>
                <w:sz w:val="15"/>
                <w:szCs w:val="15"/>
                <w:color w:val="0000FF"/>
              </w:rPr>
              <w:t>First Amendment of the Fourth Amended and Restated Limited Liability Company Agreement of Common Securitization Solutions, LLC,</w:t>
            </w:r>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80" w:type="dxa"/>
            <w:vAlign w:val="bottom"/>
            <w:tcBorders>
              <w:top w:val="single" w:sz="8" w:color="0000FF"/>
            </w:tcBorders>
            <w:gridSpan w:val="9"/>
          </w:tcPr>
          <w:p>
            <w:pPr>
              <w:spacing w:after="0" w:line="135" w:lineRule="exact"/>
              <w:rPr>
                <w:sz w:val="20"/>
                <w:szCs w:val="20"/>
                <w:color w:val="auto"/>
              </w:rPr>
            </w:pPr>
            <w:r>
              <w:rPr>
                <w:rFonts w:ascii="Arial" w:cs="Arial" w:eastAsia="Arial" w:hAnsi="Arial"/>
                <w:sz w:val="15"/>
                <w:szCs w:val="15"/>
                <w:color w:val="0000FF"/>
              </w:rPr>
              <w:t>effective date February 2, 2024</w:t>
            </w:r>
          </w:p>
        </w:tc>
        <w:tc>
          <w:tcPr>
            <w:tcW w:w="320" w:type="dxa"/>
            <w:vAlign w:val="bottom"/>
            <w:gridSpan w:val="3"/>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r>
      <w:tr>
        <w:trPr>
          <w:trHeight w:val="4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2"/>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2" w:lineRule="exact"/>
        <w:rPr>
          <w:sz w:val="20"/>
          <w:szCs w:val="20"/>
          <w:color w:val="auto"/>
        </w:rPr>
      </w:pPr>
    </w:p>
    <w:p>
      <w:pPr>
        <w:ind w:left="160" w:right="4220" w:firstLine="15"/>
        <w:spacing w:after="0" w:line="516" w:lineRule="auto"/>
        <w:tabs>
          <w:tab w:leader="none" w:pos="1569" w:val="left"/>
        </w:tabs>
        <w:numPr>
          <w:ilvl w:val="1"/>
          <w:numId w:val="143"/>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71386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40" w:type="dxa"/>
            <w:vAlign w:val="bottom"/>
          </w:tcPr>
          <w:p>
            <w:pPr>
              <w:jc w:val="right"/>
              <w:spacing w:after="0"/>
              <w:rPr>
                <w:sz w:val="20"/>
                <w:szCs w:val="20"/>
                <w:color w:val="auto"/>
              </w:rPr>
            </w:pPr>
            <w:r>
              <w:rPr>
                <w:rFonts w:ascii="Arial" w:cs="Arial" w:eastAsia="Arial" w:hAnsi="Arial"/>
                <w:sz w:val="14"/>
                <w:szCs w:val="14"/>
                <w:color w:val="05314D"/>
              </w:rPr>
              <w:t>114</w:t>
            </w:r>
          </w:p>
        </w:tc>
      </w:tr>
      <w:tr>
        <w:trPr>
          <w:trHeight w:val="220"/>
        </w:trPr>
        <w:tc>
          <w:tcPr>
            <w:tcW w:w="68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7" w:name="page118"/>
    <w:bookmarkEnd w:id="117"/>
    <w:p>
      <w:pPr>
        <w:ind w:left="1046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00" w:type="dxa"/>
            <w:vAlign w:val="bottom"/>
          </w:tcPr>
          <w:p>
            <w:pPr>
              <w:ind w:left="6240"/>
              <w:spacing w:after="0"/>
              <w:rPr>
                <w:sz w:val="20"/>
                <w:szCs w:val="20"/>
                <w:color w:val="auto"/>
              </w:rPr>
            </w:pPr>
            <w:r>
              <w:rPr>
                <w:rFonts w:ascii="Arial" w:cs="Arial" w:eastAsia="Arial" w:hAnsi="Arial"/>
                <w:sz w:val="15"/>
                <w:szCs w:val="15"/>
                <w:color w:val="auto"/>
              </w:rPr>
              <w:t>By:</w:t>
            </w:r>
          </w:p>
        </w:tc>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 Priscilla Almodovar</w:t>
            </w:r>
          </w:p>
        </w:tc>
      </w:tr>
      <w:tr>
        <w:trPr>
          <w:trHeight w:val="149"/>
        </w:trPr>
        <w:tc>
          <w:tcPr>
            <w:tcW w:w="6800" w:type="dxa"/>
            <w:vAlign w:val="bottom"/>
          </w:tcPr>
          <w:p>
            <w:pPr>
              <w:spacing w:after="0"/>
              <w:rPr>
                <w:sz w:val="12"/>
                <w:szCs w:val="12"/>
                <w:color w:val="auto"/>
              </w:rPr>
            </w:pPr>
          </w:p>
        </w:tc>
        <w:tc>
          <w:tcPr>
            <w:tcW w:w="4440" w:type="dxa"/>
            <w:vAlign w:val="bottom"/>
          </w:tcPr>
          <w:p>
            <w:pPr>
              <w:ind w:left="20"/>
              <w:spacing w:after="0" w:line="149" w:lineRule="exact"/>
              <w:rPr>
                <w:sz w:val="20"/>
                <w:szCs w:val="20"/>
                <w:color w:val="auto"/>
              </w:rPr>
            </w:pPr>
            <w:r>
              <w:rPr>
                <w:rFonts w:ascii="Arial" w:cs="Arial" w:eastAsia="Arial" w:hAnsi="Arial"/>
                <w:sz w:val="15"/>
                <w:szCs w:val="15"/>
                <w:color w:val="auto"/>
              </w:rPr>
              <w:t>Priscilla Almodovar</w:t>
            </w:r>
          </w:p>
        </w:tc>
      </w:tr>
      <w:tr>
        <w:trPr>
          <w:trHeight w:val="204"/>
        </w:trPr>
        <w:tc>
          <w:tcPr>
            <w:tcW w:w="680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5"/>
                <w:szCs w:val="15"/>
                <w:color w:val="auto"/>
              </w:rPr>
              <w:t>Chief Executive Officer</w:t>
            </w:r>
          </w:p>
        </w:tc>
      </w:tr>
      <w:tr>
        <w:trPr>
          <w:trHeight w:val="350"/>
        </w:trPr>
        <w:tc>
          <w:tcPr>
            <w:tcW w:w="6800" w:type="dxa"/>
            <w:vAlign w:val="bottom"/>
          </w:tcPr>
          <w:p>
            <w:pPr>
              <w:spacing w:after="0"/>
              <w:rPr>
                <w:sz w:val="20"/>
                <w:szCs w:val="20"/>
                <w:color w:val="auto"/>
              </w:rPr>
            </w:pPr>
            <w:r>
              <w:rPr>
                <w:rFonts w:ascii="Arial" w:cs="Arial" w:eastAsia="Arial" w:hAnsi="Arial"/>
                <w:sz w:val="16"/>
                <w:szCs w:val="16"/>
                <w:color w:val="auto"/>
              </w:rPr>
              <w:t>Date: April 30, 2024</w:t>
            </w:r>
          </w:p>
        </w:tc>
        <w:tc>
          <w:tcPr>
            <w:tcW w:w="4440" w:type="dxa"/>
            <w:vAlign w:val="bottom"/>
          </w:tcPr>
          <w:p>
            <w:pPr>
              <w:spacing w:after="0"/>
              <w:rPr>
                <w:sz w:val="24"/>
                <w:szCs w:val="24"/>
                <w:color w:val="auto"/>
              </w:rPr>
            </w:pPr>
          </w:p>
        </w:tc>
      </w:tr>
      <w:tr>
        <w:trPr>
          <w:trHeight w:val="308"/>
        </w:trPr>
        <w:tc>
          <w:tcPr>
            <w:tcW w:w="6800" w:type="dxa"/>
            <w:vAlign w:val="bottom"/>
          </w:tcPr>
          <w:p>
            <w:pPr>
              <w:ind w:left="6240"/>
              <w:spacing w:after="0"/>
              <w:rPr>
                <w:sz w:val="20"/>
                <w:szCs w:val="20"/>
                <w:color w:val="auto"/>
              </w:rPr>
            </w:pPr>
            <w:r>
              <w:rPr>
                <w:rFonts w:ascii="Arial" w:cs="Arial" w:eastAsia="Arial" w:hAnsi="Arial"/>
                <w:sz w:val="15"/>
                <w:szCs w:val="15"/>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Chryssa C. Halley</w:t>
            </w:r>
          </w:p>
        </w:tc>
      </w:tr>
      <w:tr>
        <w:trPr>
          <w:trHeight w:val="149"/>
        </w:trPr>
        <w:tc>
          <w:tcPr>
            <w:tcW w:w="6800" w:type="dxa"/>
            <w:vAlign w:val="bottom"/>
          </w:tcPr>
          <w:p>
            <w:pPr>
              <w:spacing w:after="0"/>
              <w:rPr>
                <w:sz w:val="12"/>
                <w:szCs w:val="12"/>
                <w:color w:val="auto"/>
              </w:rPr>
            </w:pPr>
          </w:p>
        </w:tc>
        <w:tc>
          <w:tcPr>
            <w:tcW w:w="4440" w:type="dxa"/>
            <w:vAlign w:val="bottom"/>
          </w:tcPr>
          <w:p>
            <w:pPr>
              <w:ind w:left="20"/>
              <w:spacing w:after="0" w:line="149" w:lineRule="exact"/>
              <w:rPr>
                <w:sz w:val="20"/>
                <w:szCs w:val="20"/>
                <w:color w:val="auto"/>
              </w:rPr>
            </w:pPr>
            <w:r>
              <w:rPr>
                <w:rFonts w:ascii="Arial" w:cs="Arial" w:eastAsia="Arial" w:hAnsi="Arial"/>
                <w:sz w:val="15"/>
                <w:szCs w:val="15"/>
                <w:color w:val="auto"/>
              </w:rPr>
              <w:t>Chryssa C. Halley</w:t>
            </w:r>
          </w:p>
        </w:tc>
      </w:tr>
      <w:tr>
        <w:trPr>
          <w:trHeight w:val="155"/>
        </w:trPr>
        <w:tc>
          <w:tcPr>
            <w:tcW w:w="6800" w:type="dxa"/>
            <w:vAlign w:val="bottom"/>
          </w:tcPr>
          <w:p>
            <w:pPr>
              <w:spacing w:after="0"/>
              <w:rPr>
                <w:sz w:val="13"/>
                <w:szCs w:val="13"/>
                <w:color w:val="auto"/>
              </w:rPr>
            </w:pPr>
          </w:p>
        </w:tc>
        <w:tc>
          <w:tcPr>
            <w:tcW w:w="4440" w:type="dxa"/>
            <w:vAlign w:val="bottom"/>
          </w:tcPr>
          <w:p>
            <w:pPr>
              <w:ind w:left="20"/>
              <w:spacing w:after="0" w:line="155" w:lineRule="exact"/>
              <w:rPr>
                <w:sz w:val="20"/>
                <w:szCs w:val="20"/>
                <w:color w:val="auto"/>
              </w:rPr>
            </w:pPr>
            <w:r>
              <w:rPr>
                <w:rFonts w:ascii="Arial" w:cs="Arial" w:eastAsia="Arial" w:hAnsi="Arial"/>
                <w:sz w:val="15"/>
                <w:szCs w:val="15"/>
                <w:color w:val="auto"/>
              </w:rPr>
              <w:t>Executive Vice President and</w:t>
            </w:r>
          </w:p>
        </w:tc>
      </w:tr>
      <w:tr>
        <w:trPr>
          <w:trHeight w:val="204"/>
        </w:trPr>
        <w:tc>
          <w:tcPr>
            <w:tcW w:w="680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5"/>
                <w:szCs w:val="15"/>
                <w:color w:val="auto"/>
              </w:rPr>
              <w:t>Chief Financial Officer</w:t>
            </w:r>
          </w:p>
        </w:tc>
      </w:tr>
      <w:tr>
        <w:trPr>
          <w:trHeight w:val="363"/>
        </w:trPr>
        <w:tc>
          <w:tcPr>
            <w:tcW w:w="6800" w:type="dxa"/>
            <w:vAlign w:val="bottom"/>
          </w:tcPr>
          <w:p>
            <w:pPr>
              <w:spacing w:after="0"/>
              <w:rPr>
                <w:sz w:val="20"/>
                <w:szCs w:val="20"/>
                <w:color w:val="auto"/>
              </w:rPr>
            </w:pPr>
            <w:r>
              <w:rPr>
                <w:rFonts w:ascii="Arial" w:cs="Arial" w:eastAsia="Arial" w:hAnsi="Arial"/>
                <w:sz w:val="16"/>
                <w:szCs w:val="16"/>
                <w:color w:val="auto"/>
              </w:rPr>
              <w:t>Date: April 30, 2024</w:t>
            </w:r>
          </w:p>
        </w:tc>
        <w:tc>
          <w:tcPr>
            <w:tcW w:w="4440" w:type="dxa"/>
            <w:vAlign w:val="bottom"/>
          </w:tcPr>
          <w:p>
            <w:pPr>
              <w:spacing w:after="0"/>
              <w:rPr>
                <w:sz w:val="24"/>
                <w:szCs w:val="24"/>
                <w:color w:val="auto"/>
              </w:rPr>
            </w:pPr>
          </w:p>
        </w:tc>
      </w:tr>
      <w:tr>
        <w:trPr>
          <w:trHeight w:val="618"/>
        </w:trPr>
        <w:tc>
          <w:tcPr>
            <w:tcW w:w="6800" w:type="dxa"/>
            <w:vAlign w:val="bottom"/>
            <w:tcBorders>
              <w:bottom w:val="single" w:sz="8" w:color="CBC8C3"/>
            </w:tcBorders>
          </w:tcPr>
          <w:p>
            <w:pPr>
              <w:spacing w:after="0"/>
              <w:rPr>
                <w:sz w:val="24"/>
                <w:szCs w:val="24"/>
                <w:color w:val="auto"/>
              </w:rPr>
            </w:pPr>
          </w:p>
        </w:tc>
        <w:tc>
          <w:tcPr>
            <w:tcW w:w="4440" w:type="dxa"/>
            <w:vAlign w:val="bottom"/>
            <w:tcBorders>
              <w:bottom w:val="single" w:sz="8" w:color="CBC8C3"/>
            </w:tcBorders>
          </w:tcPr>
          <w:p>
            <w:pPr>
              <w:spacing w:after="0"/>
              <w:rPr>
                <w:sz w:val="24"/>
                <w:szCs w:val="24"/>
                <w:color w:val="auto"/>
              </w:rPr>
            </w:pPr>
          </w:p>
        </w:tc>
      </w:tr>
      <w:tr>
        <w:trPr>
          <w:trHeight w:val="192"/>
        </w:trPr>
        <w:tc>
          <w:tcPr>
            <w:tcW w:w="6800" w:type="dxa"/>
            <w:vAlign w:val="bottom"/>
          </w:tcPr>
          <w:p>
            <w:pPr>
              <w:ind w:left="20"/>
              <w:spacing w:after="0"/>
              <w:rPr>
                <w:sz w:val="20"/>
                <w:szCs w:val="20"/>
                <w:color w:val="auto"/>
              </w:rPr>
            </w:pPr>
            <w:r>
              <w:rPr>
                <w:rFonts w:ascii="Arial" w:cs="Arial" w:eastAsia="Arial" w:hAnsi="Arial"/>
                <w:sz w:val="14"/>
                <w:szCs w:val="14"/>
                <w:color w:val="05314D"/>
              </w:rPr>
              <w:t>Fannie Mae First Quarter 2024 Form 10-Q</w:t>
            </w:r>
          </w:p>
        </w:tc>
        <w:tc>
          <w:tcPr>
            <w:tcW w:w="4440" w:type="dxa"/>
            <w:vAlign w:val="bottom"/>
          </w:tcPr>
          <w:p>
            <w:pPr>
              <w:ind w:left="4200"/>
              <w:spacing w:after="0"/>
              <w:rPr>
                <w:sz w:val="20"/>
                <w:szCs w:val="20"/>
                <w:color w:val="auto"/>
              </w:rPr>
            </w:pPr>
            <w:r>
              <w:rPr>
                <w:rFonts w:ascii="Arial" w:cs="Arial" w:eastAsia="Arial" w:hAnsi="Arial"/>
                <w:sz w:val="14"/>
                <w:szCs w:val="14"/>
                <w:color w:val="05314D"/>
                <w:w w:val="94"/>
              </w:rPr>
              <w:t>115</w:t>
            </w:r>
          </w:p>
        </w:tc>
      </w:tr>
      <w:tr>
        <w:trPr>
          <w:trHeight w:val="207"/>
        </w:trPr>
        <w:tc>
          <w:tcPr>
            <w:tcW w:w="6800" w:type="dxa"/>
            <w:vAlign w:val="bottom"/>
            <w:tcBorders>
              <w:bottom w:val="single" w:sz="8" w:color="9A9A9A"/>
            </w:tcBorders>
          </w:tcPr>
          <w:p>
            <w:pPr>
              <w:spacing w:after="0"/>
              <w:rPr>
                <w:sz w:val="17"/>
                <w:szCs w:val="17"/>
                <w:color w:val="auto"/>
              </w:rPr>
            </w:pPr>
          </w:p>
        </w:tc>
        <w:tc>
          <w:tcPr>
            <w:tcW w:w="4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Priscilla Almodovar, certify that:</w:t>
      </w:r>
    </w:p>
    <w:p>
      <w:pPr>
        <w:spacing w:after="0" w:line="55" w:lineRule="exact"/>
        <w:rPr>
          <w:sz w:val="20"/>
          <w:szCs w:val="20"/>
          <w:color w:val="auto"/>
        </w:rPr>
      </w:pPr>
    </w:p>
    <w:p>
      <w:pPr>
        <w:ind w:left="240" w:right="240" w:hanging="198"/>
        <w:spacing w:after="0" w:line="269"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March 31, 2024 of Fannie Mae (formally, the Federal National Mortgage Association);</w:t>
      </w:r>
    </w:p>
    <w:p>
      <w:pPr>
        <w:ind w:left="240" w:right="200" w:hanging="198"/>
        <w:spacing w:after="0" w:line="262"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1"/>
          <w:szCs w:val="21"/>
          <w:color w:val="auto"/>
        </w:rPr>
        <w:t>Priscilla Almodovar</w:t>
      </w:r>
    </w:p>
    <w:p>
      <w:pPr>
        <w:ind w:left="584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2024</w:t>
      </w:r>
    </w:p>
    <w:p>
      <w:pPr>
        <w:sectPr>
          <w:pgSz w:w="11900" w:h="16838" w:orient="portrait"/>
          <w:cols w:equalWidth="0" w:num="1">
            <w:col w:w="11240"/>
          </w:cols>
          <w:pgMar w:left="320" w:top="85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240" w:hanging="198"/>
        <w:spacing w:after="0" w:line="269" w:lineRule="auto"/>
        <w:tabs>
          <w:tab w:leader="none" w:pos="4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March 31, 2024 of Fannie Mae (formally, the Federal National Mortgage Association);</w:t>
      </w:r>
    </w:p>
    <w:p>
      <w:pPr>
        <w:ind w:left="240" w:right="200" w:hanging="198"/>
        <w:spacing w:after="0" w:line="262" w:lineRule="auto"/>
        <w:tabs>
          <w:tab w:leader="none" w:pos="4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2024</w:t>
      </w:r>
    </w:p>
    <w:p>
      <w:pPr>
        <w:sectPr>
          <w:pgSz w:w="11900" w:h="16838" w:orient="portrait"/>
          <w:cols w:equalWidth="0" w:num="1">
            <w:col w:w="11240"/>
          </w:cols>
          <w:pgMar w:left="320" w:top="85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March 31, 2024, as filed with the Securities and Exchange Commission on the date hereof (the "Report"), I, Priscilla Almodovar, Chief Executive Officer of Fannie Mae, certify, pursuant to 18 U.S.C. Section 1350, that to my knowledge:</w:t>
      </w:r>
    </w:p>
    <w:p>
      <w:pPr>
        <w:spacing w:after="0" w:line="189" w:lineRule="exact"/>
        <w:rPr>
          <w:sz w:val="20"/>
          <w:szCs w:val="20"/>
          <w:color w:val="auto"/>
        </w:rPr>
      </w:pPr>
    </w:p>
    <w:p>
      <w:pPr>
        <w:ind w:left="240" w:right="660" w:hanging="198"/>
        <w:spacing w:after="0" w:line="269" w:lineRule="auto"/>
        <w:tabs>
          <w:tab w:leader="none" w:pos="4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80" w:lineRule="exact"/>
        <w:rPr>
          <w:rFonts w:ascii="Times New Roman" w:cs="Times New Roman" w:eastAsia="Times New Roman" w:hAnsi="Times New Roman"/>
          <w:sz w:val="21"/>
          <w:szCs w:val="21"/>
          <w:color w:val="auto"/>
        </w:rPr>
      </w:pPr>
    </w:p>
    <w:p>
      <w:pPr>
        <w:ind w:left="240" w:right="60" w:hanging="198"/>
        <w:spacing w:after="0" w:line="262" w:lineRule="auto"/>
        <w:tabs>
          <w:tab w:leader="none" w:pos="4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Priscilla Almodovar</w:t>
      </w:r>
    </w:p>
    <w:p>
      <w:pPr>
        <w:ind w:left="570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2024</w:t>
      </w:r>
    </w:p>
    <w:p>
      <w:pPr>
        <w:spacing w:after="0" w:line="24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March 31, 2024,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April 30, 2024</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w:t>
      </w:r>
    </w:p>
    <w:p>
      <w:pPr>
        <w:spacing w:after="0" w:line="4" w:lineRule="exact"/>
        <w:rPr>
          <w:sz w:val="20"/>
          <w:szCs w:val="20"/>
          <w:color w:val="auto"/>
        </w:rPr>
      </w:pPr>
    </w:p>
    <w:p>
      <w:pPr>
        <w:ind w:left="3300" w:right="80" w:hanging="1555"/>
        <w:spacing w:after="0" w:line="211" w:lineRule="auto"/>
        <w:rPr>
          <w:sz w:val="20"/>
          <w:szCs w:val="20"/>
          <w:color w:val="auto"/>
        </w:rPr>
      </w:pPr>
      <w:r>
        <w:rPr>
          <w:rFonts w:ascii="Times New Roman" w:cs="Times New Roman" w:eastAsia="Times New Roman" w:hAnsi="Times New Roman"/>
          <w:sz w:val="21"/>
          <w:szCs w:val="21"/>
          <w:b w:val="1"/>
          <w:bCs w:val="1"/>
          <w:color w:val="auto"/>
        </w:rPr>
        <w:t>OF THE FOURTH AMENDED AND RESTATED LIMITED LIABILITY COMPANY AGREEMENT OF COMMON SECURITIZATION SOLUTIONS, LLC</w:t>
      </w:r>
    </w:p>
    <w:p>
      <w:pPr>
        <w:spacing w:after="0" w:line="1" w:lineRule="exact"/>
        <w:rPr>
          <w:sz w:val="20"/>
          <w:szCs w:val="20"/>
          <w:color w:val="auto"/>
        </w:rPr>
      </w:pPr>
    </w:p>
    <w:p>
      <w:pPr>
        <w:jc w:val="both"/>
        <w:ind w:firstLine="721"/>
        <w:spacing w:after="0" w:line="219" w:lineRule="auto"/>
        <w:rPr>
          <w:sz w:val="20"/>
          <w:szCs w:val="20"/>
          <w:color w:val="auto"/>
        </w:rPr>
      </w:pPr>
      <w:r>
        <w:rPr>
          <w:rFonts w:ascii="Times New Roman" w:cs="Times New Roman" w:eastAsia="Times New Roman" w:hAnsi="Times New Roman"/>
          <w:sz w:val="20"/>
          <w:szCs w:val="20"/>
          <w:color w:val="auto"/>
        </w:rPr>
        <w:t>This First Amendment of the Fourth Amended and Restated Limited Liability Company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and entered into as of February 2, 2024, by and among the Federal National Mortgage Association, a government-sponsored enterprise chartered by Congress having its principal place of business at 1100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Street, NW, Washington, DC 20005 (“</w:t>
      </w:r>
      <w:r>
        <w:rPr>
          <w:rFonts w:ascii="Times New Roman" w:cs="Times New Roman" w:eastAsia="Times New Roman" w:hAnsi="Times New Roman"/>
          <w:sz w:val="20"/>
          <w:szCs w:val="20"/>
          <w:u w:val="single" w:color="auto"/>
          <w:color w:val="auto"/>
        </w:rPr>
        <w:t>Fannie Mae</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and the Federal Home Loan Mortgage Corporation, a government-sponsored enterprise chartered by Congress having its principal place of business at 8200 Jones Branch Drive, McLean, Virginia 22102 (“</w:t>
      </w:r>
      <w:r>
        <w:rPr>
          <w:rFonts w:ascii="Times New Roman" w:cs="Times New Roman" w:eastAsia="Times New Roman" w:hAnsi="Times New Roman"/>
          <w:sz w:val="20"/>
          <w:szCs w:val="20"/>
          <w:u w:val="single" w:color="auto"/>
          <w:color w:val="auto"/>
        </w:rPr>
        <w:t>Freddie Mac</w:t>
      </w:r>
      <w:r>
        <w:rPr>
          <w:rFonts w:ascii="Times New Roman" w:cs="Times New Roman" w:eastAsia="Times New Roman" w:hAnsi="Times New Roman"/>
          <w:sz w:val="20"/>
          <w:szCs w:val="20"/>
          <w:color w:val="auto"/>
        </w:rPr>
        <w:t>”), and Common Securitization Solutions, LLC, a Delaware limited liability company having its principal place of business at 7501 Wisconsin Avenue, Suite 300, Bethesda, Maryland</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20814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CSS</w:t>
      </w:r>
      <w:r>
        <w:rPr>
          <w:rFonts w:ascii="Times New Roman" w:cs="Times New Roman" w:eastAsia="Times New Roman" w:hAnsi="Times New Roman"/>
          <w:sz w:val="21"/>
          <w:szCs w:val="21"/>
          <w:color w:val="auto"/>
        </w:rPr>
        <w:t>”). (Fannie Mae and Freddie Mac each may be referred to herein individually as an “</w:t>
      </w:r>
      <w:r>
        <w:rPr>
          <w:rFonts w:ascii="Times New Roman" w:cs="Times New Roman" w:eastAsia="Times New Roman" w:hAnsi="Times New Roman"/>
          <w:sz w:val="21"/>
          <w:szCs w:val="21"/>
          <w:u w:val="single" w:color="auto"/>
          <w:color w:val="auto"/>
        </w:rPr>
        <w:t>Enterprise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GSE</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Enterprises</w:t>
      </w:r>
      <w:r>
        <w:rPr>
          <w:rFonts w:ascii="Times New Roman" w:cs="Times New Roman" w:eastAsia="Times New Roman" w:hAnsi="Times New Roman"/>
          <w:sz w:val="21"/>
          <w:szCs w:val="21"/>
          <w:color w:val="auto"/>
        </w:rPr>
        <w:t xml:space="preserve"> or the “</w:t>
      </w:r>
      <w:r>
        <w:rPr>
          <w:rFonts w:ascii="Times New Roman" w:cs="Times New Roman" w:eastAsia="Times New Roman" w:hAnsi="Times New Roman"/>
          <w:sz w:val="21"/>
          <w:szCs w:val="21"/>
          <w:u w:val="single" w:color="auto"/>
          <w:color w:val="auto"/>
        </w:rPr>
        <w:t>GSEs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22"/>
        <w:spacing w:after="0" w:line="243" w:lineRule="auto"/>
        <w:tabs>
          <w:tab w:leader="none" w:pos="122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Company was formed by filing of its Certificate of Formation with the Office of the Delaware Secretary of State on October 7, 2013. The Enterprises, collectively, are all of the Members of the Company.</w:t>
      </w:r>
    </w:p>
    <w:p>
      <w:pPr>
        <w:spacing w:after="0" w:line="168" w:lineRule="exact"/>
        <w:rPr>
          <w:rFonts w:ascii="Times New Roman" w:cs="Times New Roman" w:eastAsia="Times New Roman" w:hAnsi="Times New Roman"/>
          <w:sz w:val="19"/>
          <w:szCs w:val="19"/>
          <w:color w:val="auto"/>
        </w:rPr>
      </w:pPr>
    </w:p>
    <w:p>
      <w:pPr>
        <w:jc w:val="both"/>
        <w:ind w:firstLine="622"/>
        <w:spacing w:after="0" w:line="229" w:lineRule="auto"/>
        <w:tabs>
          <w:tab w:leader="none" w:pos="123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Federal Housing Finance Agency (“</w:t>
      </w:r>
      <w:r>
        <w:rPr>
          <w:rFonts w:ascii="Times New Roman" w:cs="Times New Roman" w:eastAsia="Times New Roman" w:hAnsi="Times New Roman"/>
          <w:sz w:val="21"/>
          <w:szCs w:val="21"/>
          <w:u w:val="single" w:color="auto"/>
          <w:color w:val="auto"/>
        </w:rPr>
        <w:t>FHFA</w:t>
      </w:r>
      <w:r>
        <w:rPr>
          <w:rFonts w:ascii="Times New Roman" w:cs="Times New Roman" w:eastAsia="Times New Roman" w:hAnsi="Times New Roman"/>
          <w:sz w:val="21"/>
          <w:szCs w:val="21"/>
          <w:color w:val="auto"/>
        </w:rPr>
        <w:t>”) has been appointed as the conservator of the Enterprises pursuant to Section 1367(a) of the Federal Housing Enterprises Financial Safety and Soundness Act of 1992, as amended (the “</w:t>
      </w:r>
      <w:r>
        <w:rPr>
          <w:rFonts w:ascii="Times New Roman" w:cs="Times New Roman" w:eastAsia="Times New Roman" w:hAnsi="Times New Roman"/>
          <w:sz w:val="21"/>
          <w:szCs w:val="21"/>
          <w:u w:val="single" w:color="auto"/>
          <w:color w:val="auto"/>
        </w:rPr>
        <w:t>Safety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Soundness Act</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19"/>
          <w:szCs w:val="19"/>
          <w:color w:val="auto"/>
        </w:rPr>
      </w:pPr>
    </w:p>
    <w:p>
      <w:pPr>
        <w:jc w:val="both"/>
        <w:ind w:firstLine="622"/>
        <w:spacing w:after="0" w:line="225" w:lineRule="auto"/>
        <w:tabs>
          <w:tab w:leader="none" w:pos="123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its capacity as conservator, FHFA succeeds to all rights, titles, powers, and privileges of each Enterprise and of its stockholders, officers, or directors with respect to the Enterprise and its assets. FHFA exercises authority over the Company in FHFA’s capacity as regulator and supervisor of the Company, and as conservator of the Enterprises.</w:t>
      </w:r>
    </w:p>
    <w:p>
      <w:pPr>
        <w:spacing w:after="0" w:line="184" w:lineRule="exact"/>
        <w:rPr>
          <w:rFonts w:ascii="Times New Roman" w:cs="Times New Roman" w:eastAsia="Times New Roman" w:hAnsi="Times New Roman"/>
          <w:sz w:val="19"/>
          <w:szCs w:val="19"/>
          <w:color w:val="auto"/>
        </w:rPr>
      </w:pPr>
    </w:p>
    <w:p>
      <w:pPr>
        <w:jc w:val="both"/>
        <w:ind w:firstLine="622"/>
        <w:spacing w:after="0" w:line="214" w:lineRule="auto"/>
        <w:tabs>
          <w:tab w:leader="none" w:pos="122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Enterprises previously entered into a Limited Liability Company Agreement with an effective date of October 7, 2013 (the “</w:t>
      </w:r>
      <w:r>
        <w:rPr>
          <w:rFonts w:ascii="Times New Roman" w:cs="Times New Roman" w:eastAsia="Times New Roman" w:hAnsi="Times New Roman"/>
          <w:sz w:val="21"/>
          <w:szCs w:val="21"/>
          <w:u w:val="single" w:color="auto"/>
          <w:color w:val="auto"/>
        </w:rPr>
        <w:t>Original LLC Agreement</w:t>
      </w:r>
      <w:r>
        <w:rPr>
          <w:rFonts w:ascii="Times New Roman" w:cs="Times New Roman" w:eastAsia="Times New Roman" w:hAnsi="Times New Roman"/>
          <w:sz w:val="21"/>
          <w:szCs w:val="21"/>
          <w:color w:val="auto"/>
        </w:rPr>
        <w:t>”), which Original LLC Agreement was amended and restated pursuant to that certain Amended and Restated Limited Liability Company Agreement with an effective date of November 3, 2014 (as amended, the “</w:t>
      </w:r>
      <w:r>
        <w:rPr>
          <w:rFonts w:ascii="Times New Roman" w:cs="Times New Roman" w:eastAsia="Times New Roman" w:hAnsi="Times New Roman"/>
          <w:sz w:val="21"/>
          <w:szCs w:val="21"/>
          <w:u w:val="single" w:color="auto"/>
          <w:color w:val="auto"/>
        </w:rPr>
        <w:t>A&amp;R LLC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A&amp;R LLC Agreement was amended and restated pursuant to that certain Second Amended and Restated Limited Liability Company Agreement with an effective date of September 13, 2017 (as amended, the “</w:t>
      </w:r>
      <w:r>
        <w:rPr>
          <w:rFonts w:ascii="Times New Roman" w:cs="Times New Roman" w:eastAsia="Times New Roman" w:hAnsi="Times New Roman"/>
          <w:sz w:val="21"/>
          <w:szCs w:val="21"/>
          <w:u w:val="single" w:color="auto"/>
          <w:color w:val="auto"/>
        </w:rPr>
        <w:t>Second A&amp;R LLC Agreement</w:t>
      </w:r>
      <w:r>
        <w:rPr>
          <w:rFonts w:ascii="Times New Roman" w:cs="Times New Roman" w:eastAsia="Times New Roman" w:hAnsi="Times New Roman"/>
          <w:sz w:val="21"/>
          <w:szCs w:val="21"/>
          <w:color w:val="auto"/>
        </w:rPr>
        <w:t>”). The Second A&amp;R LLC Agreement was amended and restated pursuant to that certain Third Amended and Restated Limited Liability Company with an effective date of January 1, 2020 (the “</w:t>
      </w:r>
      <w:r>
        <w:rPr>
          <w:rFonts w:ascii="Times New Roman" w:cs="Times New Roman" w:eastAsia="Times New Roman" w:hAnsi="Times New Roman"/>
          <w:sz w:val="21"/>
          <w:szCs w:val="21"/>
          <w:u w:val="single" w:color="auto"/>
          <w:color w:val="auto"/>
        </w:rPr>
        <w:t>Third A&amp;R LLC Agreement</w:t>
      </w:r>
      <w:r>
        <w:rPr>
          <w:rFonts w:ascii="Times New Roman" w:cs="Times New Roman" w:eastAsia="Times New Roman" w:hAnsi="Times New Roman"/>
          <w:sz w:val="21"/>
          <w:szCs w:val="21"/>
          <w:color w:val="auto"/>
        </w:rPr>
        <w:t>”). The Third A&amp;R LLC Agreement was amended and restated pursuant to that certain Fourth Amended and Restated Limited Liability Company with an effective date of January 21, 2021 (the “</w:t>
      </w:r>
      <w:r>
        <w:rPr>
          <w:rFonts w:ascii="Times New Roman" w:cs="Times New Roman" w:eastAsia="Times New Roman" w:hAnsi="Times New Roman"/>
          <w:sz w:val="21"/>
          <w:szCs w:val="21"/>
          <w:u w:val="single" w:color="auto"/>
          <w:color w:val="auto"/>
        </w:rPr>
        <w:t>Fourth A&amp;R LLC Agreement</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Enterprises now desire to amend the Fourth A&amp;R LLC Agreement as set forth herein.</w:t>
      </w:r>
    </w:p>
    <w:p>
      <w:pPr>
        <w:spacing w:after="0" w:line="210" w:lineRule="exact"/>
        <w:rPr>
          <w:sz w:val="20"/>
          <w:szCs w:val="20"/>
          <w:color w:val="auto"/>
        </w:rPr>
      </w:pPr>
    </w:p>
    <w:p>
      <w:pPr>
        <w:ind w:right="200" w:firstLine="717"/>
        <w:spacing w:after="0" w:line="256" w:lineRule="auto"/>
        <w:rPr>
          <w:sz w:val="20"/>
          <w:szCs w:val="20"/>
          <w:color w:val="auto"/>
        </w:rPr>
      </w:pPr>
      <w:r>
        <w:rPr>
          <w:rFonts w:ascii="Times New Roman" w:cs="Times New Roman" w:eastAsia="Times New Roman" w:hAnsi="Times New Roman"/>
          <w:sz w:val="21"/>
          <w:szCs w:val="21"/>
          <w:color w:val="auto"/>
        </w:rPr>
        <w:t>NOW, THEREFORE, in consideration of the mutual promises herein contained and other valuable consideration, the parties, intending to be legally bound, hereby agree as follows:</w:t>
      </w:r>
    </w:p>
    <w:p>
      <w:pPr>
        <w:spacing w:after="0" w:line="168" w:lineRule="exact"/>
        <w:rPr>
          <w:sz w:val="20"/>
          <w:szCs w:val="20"/>
          <w:color w:val="auto"/>
        </w:rPr>
      </w:pPr>
    </w:p>
    <w:p>
      <w:pPr>
        <w:ind w:right="20" w:firstLine="622"/>
        <w:spacing w:after="0" w:line="243" w:lineRule="auto"/>
        <w:tabs>
          <w:tab w:leader="none" w:pos="123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Article I, Definitions, Section 1.1, the definition of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is amended by adding the following sentence at the end of the definition:</w:t>
      </w:r>
    </w:p>
    <w:p>
      <w:pPr>
        <w:sectPr>
          <w:pgSz w:w="11900" w:h="16838" w:orient="portrait"/>
          <w:cols w:equalWidth="0" w:num="1">
            <w:col w:w="11240"/>
          </w:cols>
          <w:pgMar w:left="320" w:top="355" w:right="339" w:bottom="1440" w:gutter="0" w:footer="0" w:header="0"/>
        </w:sectPr>
      </w:pPr>
    </w:p>
    <w:bookmarkStart w:id="124" w:name="page125"/>
    <w:bookmarkEnd w:id="124"/>
    <w:p>
      <w:pPr>
        <w:spacing w:after="0" w:line="131" w:lineRule="exact"/>
        <w:rPr>
          <w:sz w:val="20"/>
          <w:szCs w:val="20"/>
          <w:color w:val="auto"/>
        </w:rPr>
      </w:pPr>
    </w:p>
    <w:p>
      <w:pPr>
        <w:ind w:firstLine="722"/>
        <w:spacing w:after="0" w:line="235" w:lineRule="auto"/>
        <w:rPr>
          <w:sz w:val="20"/>
          <w:szCs w:val="20"/>
          <w:color w:val="auto"/>
        </w:rPr>
      </w:pPr>
      <w:r>
        <w:rPr>
          <w:rFonts w:ascii="Times New Roman" w:cs="Times New Roman" w:eastAsia="Times New Roman" w:hAnsi="Times New Roman"/>
          <w:sz w:val="21"/>
          <w:szCs w:val="21"/>
          <w:color w:val="auto"/>
        </w:rPr>
        <w:t>“For the avoidance of any doubt, CSS shall be deemed to be an Affiliate of the Enterprises, as provided in the Safety and Soundness Act (12 U.S.C. § 4502(1).).”</w:t>
      </w:r>
    </w:p>
    <w:p>
      <w:pPr>
        <w:spacing w:after="0" w:line="197" w:lineRule="exact"/>
        <w:rPr>
          <w:sz w:val="20"/>
          <w:szCs w:val="20"/>
          <w:color w:val="auto"/>
        </w:rPr>
      </w:pPr>
    </w:p>
    <w:p>
      <w:pPr>
        <w:ind w:right="120" w:firstLine="622"/>
        <w:spacing w:after="0" w:line="256" w:lineRule="auto"/>
        <w:tabs>
          <w:tab w:leader="none" w:pos="1238"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preamble to Article VI, Management, Section 6.4, Significant Matters, is deleted in its entirety and the following is inserted in its place:</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Significant Matters</w:t>
      </w:r>
      <w:r>
        <w:rPr>
          <w:rFonts w:ascii="Times New Roman" w:cs="Times New Roman" w:eastAsia="Times New Roman" w:hAnsi="Times New Roman"/>
          <w:sz w:val="21"/>
          <w:szCs w:val="21"/>
          <w:color w:val="auto"/>
        </w:rPr>
        <w:t>. Notwithstanding the foregoing and any other provision contained in this Agreement to the</w:t>
      </w:r>
    </w:p>
    <w:p>
      <w:pPr>
        <w:jc w:val="both"/>
        <w:ind w:left="620"/>
        <w:spacing w:after="0" w:line="219" w:lineRule="auto"/>
        <w:rPr>
          <w:sz w:val="20"/>
          <w:szCs w:val="20"/>
          <w:color w:val="auto"/>
        </w:rPr>
      </w:pPr>
      <w:r>
        <w:rPr>
          <w:rFonts w:ascii="Times New Roman" w:cs="Times New Roman" w:eastAsia="Times New Roman" w:hAnsi="Times New Roman"/>
          <w:sz w:val="20"/>
          <w:szCs w:val="20"/>
          <w:color w:val="auto"/>
        </w:rPr>
        <w:t>contrary, no action shall be taken with respect to any of the matters enumerated below (each, a “</w:t>
      </w:r>
      <w:r>
        <w:rPr>
          <w:rFonts w:ascii="Times New Roman" w:cs="Times New Roman" w:eastAsia="Times New Roman" w:hAnsi="Times New Roman"/>
          <w:sz w:val="20"/>
          <w:szCs w:val="20"/>
          <w:u w:val="single" w:color="auto"/>
          <w:color w:val="auto"/>
        </w:rPr>
        <w:t>Significant Matter</w:t>
      </w:r>
      <w:r>
        <w:rPr>
          <w:rFonts w:ascii="Times New Roman" w:cs="Times New Roman" w:eastAsia="Times New Roman" w:hAnsi="Times New Roman"/>
          <w:sz w:val="20"/>
          <w:szCs w:val="20"/>
          <w:color w:val="auto"/>
        </w:rPr>
        <w:t>”) without the approval of (i) the Board in accordance with Section 6.2 and (ii) during the Conservatorship, and during any period during which FHFA is acting as Receiver of one or both of the Enterprises, FHFA. All approvals and denials of Significant Matters by</w:t>
      </w:r>
    </w:p>
    <w:p>
      <w:pPr>
        <w:spacing w:after="0" w:line="2" w:lineRule="exact"/>
        <w:rPr>
          <w:sz w:val="20"/>
          <w:szCs w:val="20"/>
          <w:color w:val="auto"/>
        </w:rPr>
      </w:pPr>
    </w:p>
    <w:p>
      <w:pPr>
        <w:jc w:val="both"/>
        <w:ind w:left="620"/>
        <w:spacing w:after="0" w:line="224" w:lineRule="auto"/>
        <w:rPr>
          <w:sz w:val="20"/>
          <w:szCs w:val="20"/>
          <w:color w:val="auto"/>
        </w:rPr>
      </w:pPr>
      <w:r>
        <w:rPr>
          <w:rFonts w:ascii="Times New Roman" w:cs="Times New Roman" w:eastAsia="Times New Roman" w:hAnsi="Times New Roman"/>
          <w:sz w:val="21"/>
          <w:szCs w:val="21"/>
          <w:color w:val="auto"/>
        </w:rPr>
        <w:t>FHFA pursuant to this Section 6.4 shall be set forth in a written document signed by an authorized officer of FHFA or pursuant to such other procedures as may be agreed to by each Enterprise and FHFA:”</w:t>
      </w:r>
    </w:p>
    <w:p>
      <w:pPr>
        <w:spacing w:after="0" w:line="172" w:lineRule="exact"/>
        <w:rPr>
          <w:sz w:val="20"/>
          <w:szCs w:val="20"/>
          <w:color w:val="auto"/>
        </w:rPr>
      </w:pPr>
    </w:p>
    <w:p>
      <w:pPr>
        <w:ind w:left="1240" w:hanging="618"/>
        <w:spacing w:after="0"/>
        <w:tabs>
          <w:tab w:leader="none" w:pos="12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Article VI, Management, Section 6.4, </w:t>
      </w:r>
      <w:r>
        <w:rPr>
          <w:rFonts w:ascii="Times New Roman" w:cs="Times New Roman" w:eastAsia="Times New Roman" w:hAnsi="Times New Roman"/>
          <w:sz w:val="20"/>
          <w:szCs w:val="20"/>
          <w:u w:val="single" w:color="auto"/>
          <w:color w:val="auto"/>
        </w:rPr>
        <w:t>Significant Matters</w:t>
      </w:r>
      <w:r>
        <w:rPr>
          <w:rFonts w:ascii="Times New Roman" w:cs="Times New Roman" w:eastAsia="Times New Roman" w:hAnsi="Times New Roman"/>
          <w:sz w:val="20"/>
          <w:szCs w:val="20"/>
          <w:color w:val="auto"/>
        </w:rPr>
        <w:t>, 6.4(q) is deleted in its entirety and the following is inserted</w:t>
      </w:r>
    </w:p>
    <w:p>
      <w:pPr>
        <w:spacing w:after="0" w:line="1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its place:</w:t>
      </w:r>
    </w:p>
    <w:p>
      <w:pPr>
        <w:spacing w:after="0" w:line="175" w:lineRule="exact"/>
        <w:rPr>
          <w:sz w:val="20"/>
          <w:szCs w:val="20"/>
          <w:color w:val="auto"/>
        </w:rPr>
      </w:pPr>
    </w:p>
    <w:p>
      <w:pPr>
        <w:ind w:left="620" w:firstLine="619"/>
        <w:spacing w:after="0" w:line="235" w:lineRule="auto"/>
        <w:rPr>
          <w:sz w:val="20"/>
          <w:szCs w:val="20"/>
          <w:color w:val="auto"/>
        </w:rPr>
      </w:pPr>
      <w:r>
        <w:rPr>
          <w:rFonts w:ascii="Times New Roman" w:cs="Times New Roman" w:eastAsia="Times New Roman" w:hAnsi="Times New Roman"/>
          <w:sz w:val="21"/>
          <w:szCs w:val="21"/>
          <w:color w:val="auto"/>
        </w:rPr>
        <w:t>“(q) The appointment or removal of any Officer of the Company, except that FHFA approval shall be required only for the appointment of the Chief Executive Officer (including any interim or acting Chief Executive Officer);”</w:t>
      </w:r>
    </w:p>
    <w:p>
      <w:pPr>
        <w:spacing w:after="0" w:line="185" w:lineRule="exact"/>
        <w:rPr>
          <w:sz w:val="20"/>
          <w:szCs w:val="20"/>
          <w:color w:val="auto"/>
        </w:rPr>
      </w:pPr>
    </w:p>
    <w:p>
      <w:pPr>
        <w:ind w:right="160" w:firstLine="622"/>
        <w:spacing w:after="0" w:line="235" w:lineRule="auto"/>
        <w:tabs>
          <w:tab w:leader="none" w:pos="123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this Amendment, all terms and conditions of the Fourth A&amp;R Agreement remain in full force and effect without modification.</w:t>
      </w:r>
    </w:p>
    <w:p>
      <w:pPr>
        <w:spacing w:after="0" w:line="171" w:lineRule="exact"/>
        <w:rPr>
          <w:rFonts w:ascii="Times New Roman" w:cs="Times New Roman" w:eastAsia="Times New Roman" w:hAnsi="Times New Roman"/>
          <w:sz w:val="21"/>
          <w:szCs w:val="21"/>
          <w:color w:val="auto"/>
        </w:rPr>
      </w:pPr>
    </w:p>
    <w:p>
      <w:pPr>
        <w:jc w:val="both"/>
        <w:ind w:firstLine="622"/>
        <w:spacing w:after="0" w:line="229" w:lineRule="auto"/>
        <w:tabs>
          <w:tab w:leader="none" w:pos="123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simultaneously in any number of counterparts and each such counterpart shall be deemed to be an original instrument, but all such counterparts together shall constitute one and the same instrument, binding on all of the Parties. Signatures provided by facsimile or electronic copy shall have the same effect as originals.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[Signatures appear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FIRST AMENDMENT OF THE FOURTH AMENDED AND RESTATED</w:t>
      </w:r>
    </w:p>
    <w:p>
      <w:pPr>
        <w:spacing w:after="0" w:line="233" w:lineRule="auto"/>
        <w:rPr>
          <w:sz w:val="20"/>
          <w:szCs w:val="20"/>
          <w:color w:val="auto"/>
        </w:rPr>
      </w:pPr>
      <w:r>
        <w:rPr>
          <w:rFonts w:ascii="Times New Roman" w:cs="Times New Roman" w:eastAsia="Times New Roman" w:hAnsi="Times New Roman"/>
          <w:sz w:val="15"/>
          <w:szCs w:val="15"/>
          <w:color w:val="auto"/>
        </w:rPr>
        <w:t>LIMITED LIABILITY COMPANY AGREEMENT OF</w:t>
      </w:r>
    </w:p>
    <w:p>
      <w:pPr>
        <w:spacing w:after="0" w:line="215" w:lineRule="auto"/>
        <w:rPr>
          <w:sz w:val="20"/>
          <w:szCs w:val="20"/>
          <w:color w:val="auto"/>
        </w:rPr>
      </w:pPr>
      <w:r>
        <w:rPr>
          <w:rFonts w:ascii="Times New Roman" w:cs="Times New Roman" w:eastAsia="Times New Roman" w:hAnsi="Times New Roman"/>
          <w:sz w:val="15"/>
          <w:szCs w:val="15"/>
          <w:color w:val="auto"/>
        </w:rPr>
        <w:t>COMMON SECURITIZATION SOLUTIONS, LLC</w:t>
      </w:r>
    </w:p>
    <w:p>
      <w:pPr>
        <w:spacing w:after="0"/>
        <w:rPr>
          <w:sz w:val="20"/>
          <w:szCs w:val="20"/>
          <w:color w:val="auto"/>
        </w:rPr>
      </w:pPr>
      <w:r>
        <w:rPr>
          <w:rFonts w:ascii="Times New Roman" w:cs="Times New Roman" w:eastAsia="Times New Roman" w:hAnsi="Times New Roman"/>
          <w:sz w:val="15"/>
          <w:szCs w:val="15"/>
          <w:color w:val="auto"/>
        </w:rPr>
        <w:t>Page 2 of 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to this Amendment have executed this Amendment as of the date first above written.</w:t>
      </w:r>
    </w:p>
    <w:p>
      <w:pPr>
        <w:sectPr>
          <w:pgSz w:w="11900" w:h="16838" w:orient="portrait"/>
          <w:cols w:equalWidth="0" w:num="1">
            <w:col w:w="10200"/>
          </w:cols>
          <w:pgMar w:left="104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color w:val="auto"/>
        </w:rPr>
        <w:t>FEDERAL NATIONAL MORTGAGE ASSOCIATION</w:t>
      </w:r>
    </w:p>
    <w:p>
      <w:pPr>
        <w:spacing w:after="0" w:line="200" w:lineRule="exact"/>
        <w:rPr>
          <w:sz w:val="20"/>
          <w:szCs w:val="20"/>
          <w:color w:val="auto"/>
        </w:rPr>
      </w:pPr>
    </w:p>
    <w:p>
      <w:pPr>
        <w:spacing w:after="0" w:line="2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Jason Dandridge</w:t>
      </w:r>
    </w:p>
    <w:p>
      <w:pPr>
        <w:ind w:left="3000"/>
        <w:spacing w:after="0" w:line="230" w:lineRule="auto"/>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Jason Dandridge</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Head of Enterprise Resiliency, Operations and Workplace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S-1</w:t>
      </w:r>
    </w:p>
    <w:p>
      <w:pPr>
        <w:sectPr>
          <w:pgSz w:w="11900" w:h="16838" w:orient="portrait"/>
          <w:cols w:equalWidth="0" w:num="1">
            <w:col w:w="10200"/>
          </w:cols>
          <w:pgMar w:left="1040" w:top="1440" w:right="659" w:bottom="1440" w:gutter="0" w:footer="0" w:header="0"/>
          <w:type w:val="continuous"/>
        </w:sectPr>
      </w:pPr>
    </w:p>
    <w:bookmarkStart w:id="126" w:name="page127"/>
    <w:bookmarkEnd w:id="126"/>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to this Amendment have executed this Amendment as of the date first above written.</w:t>
      </w:r>
    </w:p>
    <w:p>
      <w:pPr>
        <w:sectPr>
          <w:pgSz w:w="11900" w:h="16838" w:orient="portrait"/>
          <w:cols w:equalWidth="0" w:num="1">
            <w:col w:w="10200"/>
          </w:cols>
          <w:pgMar w:left="1040" w:top="1440" w:right="6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FEDERAL HOME LOAN MORTGAGE CORPORATION</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Ravi Shankar</w:t>
      </w:r>
    </w:p>
    <w:p>
      <w:pPr>
        <w:ind w:left="3100"/>
        <w:spacing w:after="0" w:line="230" w:lineRule="auto"/>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Ravi Shankar</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 xml:space="preserve">Title: </w:t>
      </w:r>
      <w:r>
        <w:rPr>
          <w:rFonts w:ascii="Times New Roman" w:cs="Times New Roman" w:eastAsia="Times New Roman" w:hAnsi="Times New Roman"/>
          <w:sz w:val="21"/>
          <w:szCs w:val="21"/>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S-2</w:t>
      </w:r>
    </w:p>
    <w:p>
      <w:pPr>
        <w:sectPr>
          <w:pgSz w:w="11900" w:h="16838" w:orient="portrait"/>
          <w:cols w:equalWidth="0" w:num="1">
            <w:col w:w="10200"/>
          </w:cols>
          <w:pgMar w:left="1040" w:top="1440" w:right="659" w:bottom="1440" w:gutter="0" w:footer="0" w:header="0"/>
          <w:type w:val="continuous"/>
        </w:sectPr>
      </w:pPr>
    </w:p>
    <w:bookmarkStart w:id="127" w:name="page128"/>
    <w:bookmarkEnd w:id="127"/>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to this Amendment have executed this Amendment as of the date first above written.</w:t>
      </w:r>
    </w:p>
    <w:p>
      <w:pPr>
        <w:sectPr>
          <w:pgSz w:w="11900" w:h="16838" w:orient="portrait"/>
          <w:cols w:equalWidth="0" w:num="1">
            <w:col w:w="10200"/>
          </w:cols>
          <w:pgMar w:left="1040" w:top="1440" w:right="65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COMMON SECURITIZATION SOLUTIONS, LLC</w:t>
      </w:r>
    </w:p>
    <w:p>
      <w:pPr>
        <w:spacing w:after="0" w:line="3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Anthony N. Renzi</w:t>
      </w:r>
    </w:p>
    <w:p>
      <w:pPr>
        <w:spacing w:after="0" w:line="19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Name: Anthony N. Renzi</w:t>
      </w:r>
    </w:p>
    <w:p>
      <w:pPr>
        <w:spacing w:after="0" w:line="1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S-3</w:t>
      </w:r>
    </w:p>
    <w:sectPr>
      <w:pgSz w:w="11900" w:h="16838" w:orient="portrait"/>
      <w:cols w:equalWidth="0" w:num="1">
        <w:col w:w="10200"/>
      </w:cols>
      <w:pgMar w:left="1040" w:top="1440"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1)"/>
      <w:numFmt w:val="decimal"/>
      <w:start w:val="1"/>
    </w:lvl>
  </w:abstractNum>
  <w:abstractNum w:abstractNumId="4">
    <w:nsid w:val="8F2B15E"/>
    <w:multiLevelType w:val="hybridMultilevel"/>
    <w:lvl w:ilvl="0">
      <w:lvlJc w:val="left"/>
      <w:lvlText w:val="(%1)"/>
      <w:numFmt w:val="decimal"/>
      <w:start w:val="1"/>
    </w:lvl>
  </w:abstractNum>
  <w:abstractNum w:abstractNumId="5">
    <w:nsid w:val="1A32234B"/>
    <w:multiLevelType w:val="hybridMultilevel"/>
    <w:lvl w:ilvl="0">
      <w:lvlJc w:val="left"/>
      <w:lvlText w:val="(%1)"/>
      <w:numFmt w:val="decimal"/>
      <w:start w:val="1"/>
    </w:lvl>
  </w:abstractNum>
  <w:abstractNum w:abstractNumId="6">
    <w:nsid w:val="3B0FD379"/>
    <w:multiLevelType w:val="hybridMultilevel"/>
    <w:lvl w:ilvl="0">
      <w:lvlJc w:val="left"/>
      <w:lvlText w:val="(%1)"/>
      <w:numFmt w:val="decimal"/>
      <w:start w:val="1"/>
    </w:lvl>
  </w:abstractNum>
  <w:abstractNum w:abstractNumId="7">
    <w:nsid w:val="68EB2F63"/>
    <w:multiLevelType w:val="hybridMultilevel"/>
    <w:lvl w:ilvl="0">
      <w:lvlJc w:val="left"/>
      <w:lvlText w:val="(%1)"/>
      <w:numFmt w:val="decimal"/>
      <w:start w:val="1"/>
    </w:lvl>
  </w:abstractNum>
  <w:abstractNum w:abstractNumId="8">
    <w:nsid w:val="4962813B"/>
    <w:multiLevelType w:val="hybridMultilevel"/>
    <w:lvl w:ilvl="0">
      <w:lvlJc w:val="left"/>
      <w:lvlText w:val="(%1)"/>
      <w:numFmt w:val="decimal"/>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1)"/>
      <w:numFmt w:val="decimal"/>
      <w:start w:val="1"/>
    </w:lvl>
  </w:abstractNum>
  <w:abstractNum w:abstractNumId="11">
    <w:nsid w:val="14330624"/>
    <w:multiLevelType w:val="hybridMultilevel"/>
    <w:lvl w:ilvl="0">
      <w:lvlJc w:val="left"/>
      <w:lvlText w:val="(%1)"/>
      <w:numFmt w:val="decimal"/>
      <w:start w:val="1"/>
    </w:lvl>
  </w:abstractNum>
  <w:abstractNum w:abstractNumId="12">
    <w:nsid w:val="7FFFCA11"/>
    <w:multiLevelType w:val="hybridMultilevel"/>
    <w:lvl w:ilvl="0">
      <w:lvlJc w:val="left"/>
      <w:lvlText w:val="(%1)"/>
      <w:numFmt w:val="decimal"/>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1)"/>
      <w:numFmt w:val="decimal"/>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1)"/>
      <w:numFmt w:val="decimal"/>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1)"/>
      <w:numFmt w:val="decimal"/>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1)"/>
      <w:numFmt w:val="decimal"/>
      <w:start w:val="1"/>
    </w:lvl>
  </w:abstractNum>
  <w:abstractNum w:abstractNumId="25">
    <w:nsid w:val="3222E7CD"/>
    <w:multiLevelType w:val="hybridMultilevel"/>
    <w:lvl w:ilvl="0">
      <w:lvlJc w:val="left"/>
      <w:lvlText w:val="(%1)"/>
      <w:numFmt w:val="decimal"/>
      <w:start w:val="1"/>
    </w:lvl>
  </w:abstractNum>
  <w:abstractNum w:abstractNumId="26">
    <w:nsid w:val="74DE0EE3"/>
    <w:multiLevelType w:val="hybridMultilevel"/>
    <w:lvl w:ilvl="0">
      <w:lvlJc w:val="left"/>
      <w:lvlText w:val="(%1)"/>
      <w:numFmt w:val="decimal"/>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1)"/>
      <w:numFmt w:val="decimal"/>
      <w:start w:val="1"/>
    </w:lvl>
  </w:abstractNum>
  <w:abstractNum w:abstractNumId="29">
    <w:nsid w:val="46B7D447"/>
    <w:multiLevelType w:val="hybridMultilevel"/>
    <w:lvl w:ilvl="0">
      <w:lvlJc w:val="left"/>
      <w:lvlText w:val="(%1)"/>
      <w:numFmt w:val="decimal"/>
      <w:start w:val="2"/>
    </w:lvl>
  </w:abstractNum>
  <w:abstractNum w:abstractNumId="30">
    <w:nsid w:val="4A2AC315"/>
    <w:multiLevelType w:val="hybridMultilevel"/>
    <w:lvl w:ilvl="0">
      <w:lvlJc w:val="left"/>
      <w:lvlText w:val="(%1)"/>
      <w:numFmt w:val="decimal"/>
      <w:start w:val="1"/>
    </w:lvl>
  </w:abstractNum>
  <w:abstractNum w:abstractNumId="31">
    <w:nsid w:val="39EE015C"/>
    <w:multiLevelType w:val="hybridMultilevel"/>
    <w:lvl w:ilvl="0">
      <w:lvlJc w:val="left"/>
      <w:lvlText w:val="(%1)"/>
      <w:numFmt w:val="decimal"/>
      <w:start w:val="1"/>
    </w:lvl>
  </w:abstractNum>
  <w:abstractNum w:abstractNumId="32">
    <w:nsid w:val="57FC4FBB"/>
    <w:multiLevelType w:val="hybridMultilevel"/>
    <w:lvl w:ilvl="0">
      <w:lvlJc w:val="left"/>
      <w:lvlText w:val="(%1)"/>
      <w:numFmt w:val="decimal"/>
      <w:start w:val="1"/>
    </w:lvl>
  </w:abstractNum>
  <w:abstractNum w:abstractNumId="33">
    <w:nsid w:val="CC1016F"/>
    <w:multiLevelType w:val="hybridMultilevel"/>
    <w:lvl w:ilvl="0">
      <w:lvlJc w:val="left"/>
      <w:lvlText w:val="(%1)"/>
      <w:numFmt w:val="decimal"/>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1)"/>
      <w:numFmt w:val="decimal"/>
      <w:start w:val="1"/>
    </w:lvl>
  </w:abstractNum>
  <w:abstractNum w:abstractNumId="36">
    <w:nsid w:val="26F324BA"/>
    <w:multiLevelType w:val="hybridMultilevel"/>
    <w:lvl w:ilvl="0">
      <w:lvlJc w:val="left"/>
      <w:lvlText w:val="(%1)"/>
      <w:numFmt w:val="decimal"/>
      <w:start w:val="1"/>
    </w:lvl>
  </w:abstractNum>
  <w:abstractNum w:abstractNumId="37">
    <w:nsid w:val="7F01579B"/>
    <w:multiLevelType w:val="hybridMultilevel"/>
    <w:lvl w:ilvl="0">
      <w:lvlJc w:val="left"/>
      <w:lvlText w:val="(%1)"/>
      <w:numFmt w:val="decimal"/>
      <w:start w:val="1"/>
    </w:lvl>
  </w:abstractNum>
  <w:abstractNum w:abstractNumId="38">
    <w:nsid w:val="49DA307D"/>
    <w:multiLevelType w:val="hybridMultilevel"/>
    <w:lvl w:ilvl="0">
      <w:lvlJc w:val="left"/>
      <w:lvlText w:val="(%1)"/>
      <w:numFmt w:val="decimal"/>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1)"/>
      <w:numFmt w:val="decimal"/>
      <w:start w:val="1"/>
    </w:lvl>
  </w:abstractNum>
  <w:abstractNum w:abstractNumId="41">
    <w:nsid w:val="50801EE1"/>
    <w:multiLevelType w:val="hybridMultilevel"/>
    <w:lvl w:ilvl="0">
      <w:lvlJc w:val="left"/>
      <w:lvlText w:val="(%1)"/>
      <w:numFmt w:val="decimal"/>
      <w:start w:val="1"/>
    </w:lvl>
  </w:abstractNum>
  <w:abstractNum w:abstractNumId="42">
    <w:nsid w:val="488AC1A"/>
    <w:multiLevelType w:val="hybridMultilevel"/>
    <w:lvl w:ilvl="0">
      <w:lvlJc w:val="left"/>
      <w:lvlText w:val="(%1)"/>
      <w:numFmt w:val="decimal"/>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1)"/>
      <w:numFmt w:val="decimal"/>
      <w:start w:val="1"/>
    </w:lvl>
  </w:abstractNum>
  <w:abstractNum w:abstractNumId="45">
    <w:nsid w:val="7672BD23"/>
    <w:multiLevelType w:val="hybridMultilevel"/>
    <w:lvl w:ilvl="0">
      <w:lvlJc w:val="left"/>
      <w:lvlText w:val="(%1)"/>
      <w:numFmt w:val="decimal"/>
      <w:start w:val="4"/>
    </w:lvl>
  </w:abstractNum>
  <w:abstractNum w:abstractNumId="46">
    <w:nsid w:val="6FC75AF8"/>
    <w:multiLevelType w:val="hybridMultilevel"/>
    <w:lvl w:ilvl="0">
      <w:lvlJc w:val="left"/>
      <w:lvlText w:val="(%1)"/>
      <w:numFmt w:val="decimal"/>
      <w:start w:val="1"/>
    </w:lvl>
  </w:abstractNum>
  <w:abstractNum w:abstractNumId="47">
    <w:nsid w:val="6A5F7029"/>
    <w:multiLevelType w:val="hybridMultilevel"/>
    <w:lvl w:ilvl="0">
      <w:lvlJc w:val="left"/>
      <w:lvlText w:val="(%1)"/>
      <w:numFmt w:val="decimal"/>
      <w:start w:val="1"/>
    </w:lvl>
  </w:abstractNum>
  <w:abstractNum w:abstractNumId="48">
    <w:nsid w:val="7D5E18F8"/>
    <w:multiLevelType w:val="hybridMultilevel"/>
    <w:lvl w:ilvl="0">
      <w:lvlJc w:val="left"/>
      <w:lvlText w:val="(%1)"/>
      <w:numFmt w:val="decimal"/>
      <w:start w:val="1"/>
    </w:lvl>
  </w:abstractNum>
  <w:abstractNum w:abstractNumId="49">
    <w:nsid w:val="5F3534A4"/>
    <w:multiLevelType w:val="hybridMultilevel"/>
    <w:lvl w:ilvl="0">
      <w:lvlJc w:val="left"/>
      <w:lvlText w:val="(%1)"/>
      <w:numFmt w:val="decimal"/>
      <w:start w:val="1"/>
    </w:lvl>
  </w:abstractNum>
  <w:abstractNum w:abstractNumId="50">
    <w:nsid w:val="73A1821B"/>
    <w:multiLevelType w:val="hybridMultilevel"/>
    <w:lvl w:ilvl="0">
      <w:lvlJc w:val="left"/>
      <w:lvlText w:val="(%1)"/>
      <w:numFmt w:val="decimal"/>
      <w:start w:val="1"/>
    </w:lvl>
  </w:abstractNum>
  <w:abstractNum w:abstractNumId="51">
    <w:nsid w:val="7DE67713"/>
    <w:multiLevelType w:val="hybridMultilevel"/>
    <w:lvl w:ilvl="0">
      <w:lvlJc w:val="left"/>
      <w:lvlText w:val="(%1)"/>
      <w:numFmt w:val="decimal"/>
      <w:start w:val="1"/>
    </w:lvl>
  </w:abstractNum>
  <w:abstractNum w:abstractNumId="52">
    <w:nsid w:val="555C55B5"/>
    <w:multiLevelType w:val="hybridMultilevel"/>
    <w:lvl w:ilvl="0">
      <w:lvlJc w:val="left"/>
      <w:lvlText w:val="(%1)"/>
      <w:numFmt w:val="decimal"/>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1)"/>
      <w:numFmt w:val="decimal"/>
      <w:start w:val="1"/>
    </w:lvl>
  </w:abstractNum>
  <w:abstractNum w:abstractNumId="55">
    <w:nsid w:val="6A3DD3E8"/>
    <w:multiLevelType w:val="hybridMultilevel"/>
    <w:lvl w:ilvl="0">
      <w:lvlJc w:val="left"/>
      <w:lvlText w:val="(%1)"/>
      <w:numFmt w:val="decimal"/>
      <w:start w:val="3"/>
    </w:lvl>
  </w:abstractNum>
  <w:abstractNum w:abstractNumId="56">
    <w:nsid w:val="71C91298"/>
    <w:multiLevelType w:val="hybridMultilevel"/>
    <w:lvl w:ilvl="0">
      <w:lvlJc w:val="left"/>
      <w:lvlText w:val="(%1)"/>
      <w:numFmt w:val="decimal"/>
      <w:start w:val="1"/>
    </w:lvl>
  </w:abstractNum>
  <w:abstractNum w:abstractNumId="57">
    <w:nsid w:val="9DAF632"/>
    <w:multiLevelType w:val="hybridMultilevel"/>
    <w:lvl w:ilvl="0">
      <w:lvlJc w:val="left"/>
      <w:lvlText w:val="(%1)"/>
      <w:numFmt w:val="decimal"/>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1."/>
      <w:numFmt w:val="decimal"/>
      <w:start w:val="2"/>
    </w:lvl>
  </w:abstractNum>
  <w:abstractNum w:abstractNumId="66">
    <w:nsid w:val="97E1B4E"/>
    <w:multiLevelType w:val="hybridMultilevel"/>
    <w:lvl w:ilvl="0">
      <w:lvlJc w:val="left"/>
      <w:lvlText w:val="(%1)"/>
      <w:numFmt w:val="decimal"/>
      <w:start w:val="1"/>
    </w:lvl>
  </w:abstractNum>
  <w:abstractNum w:abstractNumId="67">
    <w:nsid w:val="51088277"/>
    <w:multiLevelType w:val="hybridMultilevel"/>
    <w:lvl w:ilvl="0">
      <w:lvlJc w:val="left"/>
      <w:lvlText w:val="(%1)"/>
      <w:numFmt w:val="decimal"/>
      <w:start w:val="1"/>
    </w:lvl>
  </w:abstractNum>
  <w:abstractNum w:abstractNumId="68">
    <w:nsid w:val="1CA0C5FA"/>
    <w:multiLevelType w:val="hybridMultilevel"/>
    <w:lvl w:ilvl="0">
      <w:lvlJc w:val="left"/>
      <w:lvlText w:val="(%1)"/>
      <w:numFmt w:val="decimal"/>
      <w:start w:val="1"/>
    </w:lvl>
  </w:abstractNum>
  <w:abstractNum w:abstractNumId="69">
    <w:nsid w:val="53584BCB"/>
    <w:multiLevelType w:val="hybridMultilevel"/>
    <w:lvl w:ilvl="0">
      <w:lvlJc w:val="left"/>
      <w:lvlText w:val="(%1)"/>
      <w:numFmt w:val="decimal"/>
      <w:start w:val="1"/>
    </w:lvl>
  </w:abstractNum>
  <w:abstractNum w:abstractNumId="70">
    <w:nsid w:val="415E286C"/>
    <w:multiLevelType w:val="hybridMultilevel"/>
    <w:lvl w:ilvl="0">
      <w:lvlJc w:val="left"/>
      <w:lvlText w:val="(%1)"/>
      <w:numFmt w:val="decimal"/>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1)"/>
      <w:numFmt w:val="decimal"/>
      <w:start w:val="1"/>
    </w:lvl>
  </w:abstractNum>
  <w:abstractNum w:abstractNumId="74">
    <w:nsid w:val="5C10FE21"/>
    <w:multiLevelType w:val="hybridMultilevel"/>
    <w:lvl w:ilvl="0">
      <w:lvlJc w:val="left"/>
      <w:lvlText w:val="(%1)"/>
      <w:numFmt w:val="decimal"/>
      <w:start w:val="1"/>
    </w:lvl>
  </w:abstractNum>
  <w:abstractNum w:abstractNumId="75">
    <w:nsid w:val="E7FFA2B"/>
    <w:multiLevelType w:val="hybridMultilevel"/>
    <w:lvl w:ilvl="0">
      <w:lvlJc w:val="left"/>
      <w:lvlText w:val="(%1)"/>
      <w:numFmt w:val="decimal"/>
      <w:start w:val="1"/>
    </w:lvl>
  </w:abstractNum>
  <w:abstractNum w:abstractNumId="76">
    <w:nsid w:val="3C5991AA"/>
    <w:multiLevelType w:val="hybridMultilevel"/>
    <w:lvl w:ilvl="0">
      <w:lvlJc w:val="left"/>
      <w:lvlText w:val="(%1)"/>
      <w:numFmt w:val="decimal"/>
      <w:start w:val="1"/>
    </w:lvl>
  </w:abstractNum>
  <w:abstractNum w:abstractNumId="77">
    <w:nsid w:val="4BD8591A"/>
    <w:multiLevelType w:val="hybridMultilevel"/>
    <w:lvl w:ilvl="0">
      <w:lvlJc w:val="left"/>
      <w:lvlText w:val="(%1)"/>
      <w:numFmt w:val="decimal"/>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1)"/>
      <w:numFmt w:val="decimal"/>
      <w:start w:val="1"/>
    </w:lvl>
  </w:abstractNum>
  <w:abstractNum w:abstractNumId="84">
    <w:nsid w:val="2C27173B"/>
    <w:multiLevelType w:val="hybridMultilevel"/>
    <w:lvl w:ilvl="0">
      <w:lvlJc w:val="left"/>
      <w:lvlText w:val="(%1)"/>
      <w:numFmt w:val="decimal"/>
      <w:start w:val="1"/>
    </w:lvl>
  </w:abstractNum>
  <w:abstractNum w:abstractNumId="85">
    <w:nsid w:val="4C9B0904"/>
    <w:multiLevelType w:val="hybridMultilevel"/>
    <w:lvl w:ilvl="0">
      <w:lvlJc w:val="left"/>
      <w:lvlText w:val="(%1)"/>
      <w:numFmt w:val="decimal"/>
      <w:start w:val="1"/>
    </w:lvl>
  </w:abstractNum>
  <w:abstractNum w:abstractNumId="86">
    <w:nsid w:val="6AA7B75C"/>
    <w:multiLevelType w:val="hybridMultilevel"/>
    <w:lvl w:ilvl="0">
      <w:lvlJc w:val="left"/>
      <w:lvlText w:val="(%1)"/>
      <w:numFmt w:val="decimal"/>
      <w:start w:val="1"/>
    </w:lvl>
  </w:abstractNum>
  <w:abstractNum w:abstractNumId="87">
    <w:nsid w:val="1DF029D3"/>
    <w:multiLevelType w:val="hybridMultilevel"/>
    <w:lvl w:ilvl="0">
      <w:lvlJc w:val="left"/>
      <w:lvlText w:val="(%1)"/>
      <w:numFmt w:val="decimal"/>
      <w:start w:val="2"/>
    </w:lvl>
  </w:abstractNum>
  <w:abstractNum w:abstractNumId="88">
    <w:nsid w:val="5675FF36"/>
    <w:multiLevelType w:val="hybridMultilevel"/>
    <w:lvl w:ilvl="0">
      <w:lvlJc w:val="left"/>
      <w:lvlText w:val="(%1)"/>
      <w:numFmt w:val="decimal"/>
      <w:start w:val="1"/>
    </w:lvl>
  </w:abstractNum>
  <w:abstractNum w:abstractNumId="89">
    <w:nsid w:val="3DD15094"/>
    <w:multiLevelType w:val="hybridMultilevel"/>
    <w:lvl w:ilvl="0">
      <w:lvlJc w:val="left"/>
      <w:lvlText w:val="(%1)"/>
      <w:numFmt w:val="decimal"/>
      <w:start w:val="1"/>
    </w:lvl>
  </w:abstractNum>
  <w:abstractNum w:abstractNumId="90">
    <w:nsid w:val="3DB012B3"/>
    <w:multiLevelType w:val="hybridMultilevel"/>
    <w:lvl w:ilvl="0">
      <w:lvlJc w:val="left"/>
      <w:lvlText w:val="(%1)"/>
      <w:numFmt w:val="decimal"/>
      <w:start w:val="6"/>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1)"/>
      <w:numFmt w:val="decimal"/>
      <w:start w:val="1"/>
    </w:lvl>
  </w:abstractNum>
  <w:abstractNum w:abstractNumId="93">
    <w:nsid w:val="175DFCF0"/>
    <w:multiLevelType w:val="hybridMultilevel"/>
    <w:lvl w:ilvl="0">
      <w:lvlJc w:val="left"/>
      <w:lvlText w:val="(%1)"/>
      <w:numFmt w:val="decimal"/>
      <w:start w:val="1"/>
    </w:lvl>
  </w:abstractNum>
  <w:abstractNum w:abstractNumId="94">
    <w:nsid w:val="4F97E3E4"/>
    <w:multiLevelType w:val="hybridMultilevel"/>
    <w:lvl w:ilvl="0">
      <w:lvlJc w:val="left"/>
      <w:lvlText w:val="(%1)"/>
      <w:numFmt w:val="decimal"/>
      <w:start w:val="3"/>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1"/>
      <w:numFmt w:val="decimal"/>
      <w:start w:val="19"/>
    </w:lvl>
  </w:abstractNum>
  <w:abstractNum w:abstractNumId="97">
    <w:nsid w:val="5915FF32"/>
    <w:multiLevelType w:val="hybridMultilevel"/>
    <w:lvl w:ilvl="0">
      <w:lvlJc w:val="left"/>
      <w:lvlText w:val="%1"/>
      <w:numFmt w:val="decimal"/>
      <w:start w:val="18"/>
    </w:lvl>
  </w:abstractNum>
  <w:abstractNum w:abstractNumId="98">
    <w:nsid w:val="56438D15"/>
    <w:multiLevelType w:val="hybridMultilevel"/>
    <w:lvl w:ilvl="0">
      <w:lvlJc w:val="left"/>
      <w:lvlText w:val="%1"/>
      <w:numFmt w:val="decimal"/>
      <w:start w:val="17"/>
    </w:lvl>
  </w:abstractNum>
  <w:abstractNum w:abstractNumId="99">
    <w:nsid w:val="519E3149"/>
    <w:multiLevelType w:val="hybridMultilevel"/>
    <w:lvl w:ilvl="0">
      <w:lvlJc w:val="left"/>
      <w:lvlText w:val="%1"/>
      <w:numFmt w:val="decimal"/>
      <w:start w:val="17"/>
    </w:lvl>
  </w:abstractNum>
  <w:abstractNum w:abstractNumId="100">
    <w:nsid w:val="2C6E4AFD"/>
    <w:multiLevelType w:val="hybridMultilevel"/>
    <w:lvl w:ilvl="0">
      <w:lvlJc w:val="left"/>
      <w:lvlText w:val="%1"/>
      <w:numFmt w:val="decimal"/>
      <w:start w:val="16"/>
    </w:lvl>
  </w:abstractNum>
  <w:abstractNum w:abstractNumId="101">
    <w:nsid w:val="17A1B582"/>
    <w:multiLevelType w:val="hybridMultilevel"/>
    <w:lvl w:ilvl="0">
      <w:lvlJc w:val="left"/>
      <w:lvlText w:val="%1"/>
      <w:numFmt w:val="decimal"/>
      <w:start w:val="13"/>
    </w:lvl>
  </w:abstractNum>
  <w:abstractNum w:abstractNumId="102">
    <w:nsid w:val="4DF72E4E"/>
    <w:multiLevelType w:val="hybridMultilevel"/>
    <w:lvl w:ilvl="0">
      <w:lvlJc w:val="left"/>
      <w:lvlText w:val="%1"/>
      <w:numFmt w:val="decimal"/>
      <w:start w:val="19"/>
    </w:lvl>
  </w:abstractNum>
  <w:abstractNum w:abstractNumId="103">
    <w:nsid w:val="5046B5A9"/>
    <w:multiLevelType w:val="hybridMultilevel"/>
    <w:lvl w:ilvl="0">
      <w:lvlJc w:val="left"/>
      <w:lvlText w:val="%1"/>
      <w:numFmt w:val="decimal"/>
      <w:start w:val="18"/>
    </w:lvl>
  </w:abstractNum>
  <w:abstractNum w:abstractNumId="104">
    <w:nsid w:val="5D888A08"/>
    <w:multiLevelType w:val="hybridMultilevel"/>
    <w:lvl w:ilvl="0">
      <w:lvlJc w:val="left"/>
      <w:lvlText w:val="%1"/>
      <w:numFmt w:val="decimal"/>
      <w:start w:val="18"/>
    </w:lvl>
  </w:abstractNum>
  <w:abstractNum w:abstractNumId="105">
    <w:nsid w:val="2A082C70"/>
    <w:multiLevelType w:val="hybridMultilevel"/>
    <w:lvl w:ilvl="0">
      <w:lvlJc w:val="left"/>
      <w:lvlText w:val="%1"/>
      <w:numFmt w:val="decimal"/>
      <w:start w:val="16"/>
    </w:lvl>
  </w:abstractNum>
  <w:abstractNum w:abstractNumId="106">
    <w:nsid w:val="5EC6AFD4"/>
    <w:multiLevelType w:val="hybridMultilevel"/>
    <w:lvl w:ilvl="0">
      <w:lvlJc w:val="left"/>
      <w:lvlText w:val="%1"/>
      <w:numFmt w:val="decimal"/>
      <w:start w:val="16"/>
    </w:lvl>
  </w:abstractNum>
  <w:abstractNum w:abstractNumId="107">
    <w:nsid w:val="19E21BB2"/>
    <w:multiLevelType w:val="hybridMultilevel"/>
    <w:lvl w:ilvl="0">
      <w:lvlJc w:val="left"/>
      <w:lvlText w:val="%1"/>
      <w:numFmt w:val="decimal"/>
      <w:start w:val="13"/>
    </w:lvl>
  </w:abstractNum>
  <w:abstractNum w:abstractNumId="108">
    <w:nsid w:val="75E0858A"/>
    <w:multiLevelType w:val="hybridMultilevel"/>
    <w:lvl w:ilvl="0">
      <w:lvlJc w:val="left"/>
      <w:lvlText w:val="(%1)"/>
      <w:numFmt w:val="decimal"/>
      <w:start w:val="1"/>
    </w:lvl>
  </w:abstractNum>
  <w:abstractNum w:abstractNumId="109">
    <w:nsid w:val="57A61A29"/>
    <w:multiLevelType w:val="hybridMultilevel"/>
    <w:lvl w:ilvl="0">
      <w:lvlJc w:val="left"/>
      <w:lvlText w:val="%1"/>
      <w:numFmt w:val="decimal"/>
      <w:start w:val="22"/>
    </w:lvl>
  </w:abstractNum>
  <w:abstractNum w:abstractNumId="110">
    <w:nsid w:val="5399C654"/>
    <w:multiLevelType w:val="hybridMultilevel"/>
    <w:lvl w:ilvl="0">
      <w:lvlJc w:val="left"/>
      <w:lvlText w:val="%1"/>
      <w:numFmt w:val="decimal"/>
      <w:start w:val="27"/>
    </w:lvl>
  </w:abstractNum>
  <w:abstractNum w:abstractNumId="111">
    <w:nsid w:val="20EE1348"/>
    <w:multiLevelType w:val="hybridMultilevel"/>
    <w:lvl w:ilvl="0">
      <w:lvlJc w:val="left"/>
      <w:lvlText w:val="%1"/>
      <w:numFmt w:val="decimal"/>
      <w:start w:val="49"/>
    </w:lvl>
  </w:abstractNum>
  <w:abstractNum w:abstractNumId="112">
    <w:nsid w:val="4427069A"/>
    <w:multiLevelType w:val="hybridMultilevel"/>
    <w:lvl w:ilvl="0">
      <w:lvlJc w:val="left"/>
      <w:lvlText w:val="%1"/>
      <w:numFmt w:val="decimal"/>
      <w:start w:val="22"/>
    </w:lvl>
  </w:abstractNum>
  <w:abstractNum w:abstractNumId="113">
    <w:nsid w:val="B37E80A"/>
    <w:multiLevelType w:val="hybridMultilevel"/>
    <w:lvl w:ilvl="0">
      <w:lvlJc w:val="left"/>
      <w:lvlText w:val="%1"/>
      <w:numFmt w:val="decimal"/>
      <w:start w:val="27"/>
    </w:lvl>
  </w:abstractNum>
  <w:abstractNum w:abstractNumId="114">
    <w:nsid w:val="2157F6BC"/>
    <w:multiLevelType w:val="hybridMultilevel"/>
    <w:lvl w:ilvl="0">
      <w:lvlJc w:val="left"/>
      <w:lvlText w:val="%1"/>
      <w:numFmt w:val="decimal"/>
      <w:start w:val="49"/>
    </w:lvl>
  </w:abstractNum>
  <w:abstractNum w:abstractNumId="115">
    <w:nsid w:val="704E1DD5"/>
    <w:multiLevelType w:val="hybridMultilevel"/>
    <w:lvl w:ilvl="0">
      <w:lvlJc w:val="left"/>
      <w:lvlText w:val="%1"/>
      <w:numFmt w:val="decimal"/>
      <w:start w:val="26"/>
    </w:lvl>
  </w:abstractNum>
  <w:abstractNum w:abstractNumId="116">
    <w:nsid w:val="57D2F10E"/>
    <w:multiLevelType w:val="hybridMultilevel"/>
    <w:lvl w:ilvl="0">
      <w:lvlJc w:val="left"/>
      <w:lvlText w:val="%1"/>
      <w:numFmt w:val="decimal"/>
      <w:start w:val="44"/>
    </w:lvl>
  </w:abstractNum>
  <w:abstractNum w:abstractNumId="117">
    <w:nsid w:val="BFFAE18"/>
    <w:multiLevelType w:val="hybridMultilevel"/>
    <w:lvl w:ilvl="0">
      <w:lvlJc w:val="left"/>
      <w:lvlText w:val="%1"/>
      <w:numFmt w:val="decimal"/>
      <w:start w:val="70"/>
    </w:lvl>
  </w:abstractNum>
  <w:abstractNum w:abstractNumId="118">
    <w:nsid w:val="E3E47A8"/>
    <w:multiLevelType w:val="hybridMultilevel"/>
    <w:lvl w:ilvl="0">
      <w:lvlJc w:val="left"/>
      <w:lvlText w:val="%1"/>
      <w:numFmt w:val="decimal"/>
      <w:start w:val="27"/>
    </w:lvl>
  </w:abstractNum>
  <w:abstractNum w:abstractNumId="119">
    <w:nsid w:val="2E48F044"/>
    <w:multiLevelType w:val="hybridMultilevel"/>
    <w:lvl w:ilvl="0">
      <w:lvlJc w:val="left"/>
      <w:lvlText w:val="%1"/>
      <w:numFmt w:val="decimal"/>
      <w:start w:val="44"/>
    </w:lvl>
  </w:abstractNum>
  <w:abstractNum w:abstractNumId="120">
    <w:nsid w:val="49D0FEAC"/>
    <w:multiLevelType w:val="hybridMultilevel"/>
    <w:lvl w:ilvl="0">
      <w:lvlJc w:val="left"/>
      <w:lvlText w:val="%1"/>
      <w:numFmt w:val="decimal"/>
      <w:start w:val="71"/>
    </w:lvl>
  </w:abstractNum>
  <w:abstractNum w:abstractNumId="121">
    <w:nsid w:val="4BEE5A5B"/>
    <w:multiLevelType w:val="hybridMultilevel"/>
    <w:lvl w:ilvl="0">
      <w:lvlJc w:val="left"/>
      <w:lvlText w:val="(%1)"/>
      <w:numFmt w:val="decimal"/>
      <w:start w:val="1"/>
    </w:lvl>
  </w:abstractNum>
  <w:abstractNum w:abstractNumId="122">
    <w:nsid w:val="5551B9F3"/>
    <w:multiLevelType w:val="hybridMultilevel"/>
    <w:lvl w:ilvl="0">
      <w:lvlJc w:val="left"/>
      <w:lvlText w:val="(%1)"/>
      <w:numFmt w:val="decimal"/>
      <w:start w:val="3"/>
    </w:lvl>
  </w:abstractNum>
  <w:abstractNum w:abstractNumId="123">
    <w:nsid w:val="24F6AB8E"/>
    <w:multiLevelType w:val="hybridMultilevel"/>
    <w:lvl w:ilvl="0">
      <w:lvlJc w:val="left"/>
      <w:lvlText w:val="(%1)"/>
      <w:numFmt w:val="decimal"/>
      <w:start w:val="1"/>
    </w:lvl>
  </w:abstractNum>
  <w:abstractNum w:abstractNumId="124">
    <w:nsid w:val="634C574C"/>
    <w:multiLevelType w:val="hybridMultilevel"/>
    <w:lvl w:ilvl="0">
      <w:lvlJc w:val="left"/>
      <w:lvlText w:val="(%1)"/>
      <w:numFmt w:val="decimal"/>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1"/>
      <w:numFmt w:val="bullet"/>
      <w:start w:val="1"/>
    </w:lvl>
  </w:abstractNum>
  <w:abstractNum w:abstractNumId="127">
    <w:nsid w:val="1849C29B"/>
    <w:multiLevelType w:val="hybridMultilevel"/>
    <w:lvl w:ilvl="0">
      <w:lvlJc w:val="left"/>
      <w:lvlText w:val="$"/>
      <w:numFmt w:val="bullet"/>
      <w:start w:val="1"/>
    </w:lvl>
  </w:abstractNum>
  <w:abstractNum w:abstractNumId="128">
    <w:nsid w:val="7DFF9D09"/>
    <w:multiLevelType w:val="hybridMultilevel"/>
    <w:lvl w:ilvl="0">
      <w:lvlJc w:val="left"/>
      <w:lvlText w:val="$"/>
      <w:numFmt w:val="bullet"/>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9"/>
      <w:numFmt w:val="bullet"/>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1)"/>
      <w:numFmt w:val="decimal"/>
      <w:start w:val="1"/>
    </w:lvl>
  </w:abstractNum>
  <w:abstractNum w:abstractNumId="136">
    <w:nsid w:val="61E74EA3"/>
    <w:multiLevelType w:val="hybridMultilevel"/>
    <w:lvl w:ilvl="0">
      <w:lvlJc w:val="left"/>
      <w:lvlText w:val="(%1)"/>
      <w:numFmt w:val="decimal"/>
      <w:start w:val="1"/>
    </w:lvl>
  </w:abstractNum>
  <w:abstractNum w:abstractNumId="137">
    <w:nsid w:val="597B4D84"/>
    <w:multiLevelType w:val="hybridMultilevel"/>
    <w:lvl w:ilvl="0">
      <w:lvlJc w:val="left"/>
      <w:lvlText w:val="(%1)"/>
      <w:numFmt w:val="decimal"/>
      <w:start w:val="1"/>
    </w:lvl>
  </w:abstractNum>
  <w:abstractNum w:abstractNumId="138">
    <w:nsid w:val="F819E7F"/>
    <w:multiLevelType w:val="hybridMultilevel"/>
    <w:lvl w:ilvl="0">
      <w:lvlJc w:val="left"/>
      <w:lvlText w:val="(%1)"/>
      <w:numFmt w:val="decimal"/>
      <w:start w:val="1"/>
    </w:lvl>
  </w:abstractNum>
  <w:abstractNum w:abstractNumId="139">
    <w:nsid w:val="57C7D42D"/>
    <w:multiLevelType w:val="hybridMultilevel"/>
    <w:lvl w:ilvl="0">
      <w:lvlJc w:val="left"/>
      <w:lvlText w:val="(%1)"/>
      <w:numFmt w:val="decimal"/>
      <w:start w:val="6"/>
    </w:lvl>
  </w:abstractNum>
  <w:abstractNum w:abstractNumId="140">
    <w:nsid w:val="312167AD"/>
    <w:multiLevelType w:val="hybridMultilevel"/>
    <w:lvl w:ilvl="0">
      <w:lvlJc w:val="left"/>
      <w:lvlText w:val="•"/>
      <w:numFmt w:val="bullet"/>
      <w:start w:val="1"/>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
      <w:numFmt w:val="bullet"/>
      <w:start w:val="1"/>
    </w:lvl>
    <w:lvl w:ilvl="1">
      <w:lvlJc w:val="left"/>
      <w:lvlText w:val="%2"/>
      <w:numFmt w:val="decimal"/>
      <w:start w:val="104"/>
    </w:lvl>
  </w:abstractNum>
  <w:abstractNum w:abstractNumId="143">
    <w:nsid w:val="75486E47"/>
    <w:multiLevelType w:val="hybridMultilevel"/>
    <w:lvl w:ilvl="0">
      <w:lvlJc w:val="left"/>
      <w:lvlText w:val="%1."/>
      <w:numFmt w:val="decimal"/>
      <w:start w:val="1"/>
    </w:lvl>
    <w:lvl w:ilvl="1">
      <w:lvlJc w:val="left"/>
      <w:lvlText w:val="%2."/>
      <w:numFmt w:val="lowerLetter"/>
      <w:start w:val="1"/>
    </w:lvl>
  </w:abstractNum>
  <w:abstractNum w:abstractNumId="144">
    <w:nsid w:val="6E534CDE"/>
    <w:multiLevelType w:val="hybridMultilevel"/>
    <w:lvl w:ilvl="0">
      <w:lvlJc w:val="left"/>
      <w:lvlText w:val="%1."/>
      <w:numFmt w:val="decimal"/>
      <w:start w:val="1"/>
    </w:lvl>
    <w:lvl w:ilvl="1">
      <w:lvlJc w:val="left"/>
      <w:lvlText w:val="%2."/>
      <w:numFmt w:val="lowerLetter"/>
      <w:start w:val="1"/>
    </w:lvl>
  </w:abstractNum>
  <w:abstractNum w:abstractNumId="145">
    <w:nsid w:val="1A0DDE32"/>
    <w:multiLevelType w:val="hybridMultilevel"/>
    <w:lvl w:ilvl="0">
      <w:lvlJc w:val="left"/>
      <w:lvlText w:val="%1."/>
      <w:numFmt w:val="decimal"/>
      <w:start w:val="1"/>
    </w:lvl>
  </w:abstractNum>
  <w:abstractNum w:abstractNumId="146">
    <w:nsid w:val="65968C1C"/>
    <w:multiLevelType w:val="hybridMultilevel"/>
    <w:lvl w:ilvl="0">
      <w:lvlJc w:val="left"/>
      <w:lvlText w:val="%1."/>
      <w:numFmt w:val="decimal"/>
      <w:start w:val="1"/>
    </w:lvl>
  </w:abstractNum>
  <w:abstractNum w:abstractNumId="147">
    <w:nsid w:val="46263DEC"/>
    <w:multiLevelType w:val="hybridMultilevel"/>
    <w:lvl w:ilvl="0">
      <w:lvlJc w:val="left"/>
      <w:lvlText w:val="%1."/>
      <w:numFmt w:val="upperLetter"/>
      <w:start w:val="1"/>
    </w:lvl>
  </w:abstractNum>
  <w:abstractNum w:abstractNumId="148">
    <w:nsid w:val="260D8C4A"/>
    <w:multiLevelType w:val="hybridMultilevel"/>
    <w:lvl w:ilvl="0">
      <w:lvlJc w:val="left"/>
      <w:lvlText w:val="%1."/>
      <w:numFmt w:val="decimal"/>
      <w:start w:val="1"/>
    </w:lvl>
  </w:abstractNum>
  <w:abstractNum w:abstractNumId="149">
    <w:nsid w:val="73D4D3C4"/>
    <w:multiLevelType w:val="hybridMultilevel"/>
    <w:lvl w:ilvl="0">
      <w:lvlJc w:val="left"/>
      <w:lvlText w:val="%1."/>
      <w:numFmt w:val="decimal"/>
      <w:start w:val="2"/>
    </w:lvl>
  </w:abstractNum>
  <w:abstractNum w:abstractNumId="150">
    <w:nsid w:val="746F2E30"/>
    <w:multiLevelType w:val="hybridMultilevel"/>
    <w:lvl w:ilvl="0">
      <w:lvlJc w:val="left"/>
      <w:lvlText w:val="%1."/>
      <w:numFmt w:val="decimal"/>
      <w:start w:val="3"/>
    </w:lvl>
  </w:abstractNum>
  <w:abstractNum w:abstractNumId="151">
    <w:nsid w:val="6FDE8AF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jpe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42" Type="http://schemas.openxmlformats.org/officeDocument/2006/relationships/hyperlink" Target="https://www.sec.gov/Archives/edgar/data/310522/000031052219000385/fanniemaecharteractex31.htm" TargetMode="External"/><Relationship Id="rId543"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2024-04-30T06:29:21Z</dcterms:created>
  <dcterms:modified xsi:type="dcterms:W3CDTF">2024-04-30T06:29:21Z</dcterms:modified>
</cp:coreProperties>
</file>