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24, 2022</w:t>
      </w: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Federal National Mortgage Association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Fannie Mae</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Borders>
              <w:top w:val="single" w:sz="8" w:color="auto"/>
            </w:tcBorders>
          </w:tcPr>
          <w:p>
            <w:pPr>
              <w:jc w:val="center"/>
              <w:ind w:left="105"/>
              <w:spacing w:after="0"/>
              <w:rPr>
                <w:sz w:val="20"/>
                <w:szCs w:val="20"/>
                <w:color w:val="auto"/>
              </w:rPr>
            </w:pPr>
            <w:r>
              <w:rPr>
                <w:rFonts w:ascii="Arial" w:cs="Arial" w:eastAsia="Arial" w:hAnsi="Arial"/>
                <w:sz w:val="16"/>
                <w:szCs w:val="16"/>
                <w:b w:val="1"/>
                <w:bCs w:val="1"/>
                <w:color w:val="auto"/>
              </w:rPr>
              <w:t>Federally chartered corporation</w:t>
            </w:r>
          </w:p>
        </w:tc>
        <w:tc>
          <w:tcPr>
            <w:tcW w:w="1420" w:type="dxa"/>
            <w:vAlign w:val="bottom"/>
            <w:tcBorders>
              <w:top w:val="single" w:sz="8" w:color="auto"/>
            </w:tcBorders>
          </w:tcPr>
          <w:p>
            <w:pPr>
              <w:jc w:val="center"/>
              <w:ind w:left="185"/>
              <w:spacing w:after="0"/>
              <w:rPr>
                <w:sz w:val="20"/>
                <w:szCs w:val="20"/>
                <w:color w:val="auto"/>
              </w:rPr>
            </w:pPr>
            <w:r>
              <w:rPr>
                <w:rFonts w:ascii="Arial" w:cs="Arial" w:eastAsia="Arial" w:hAnsi="Arial"/>
                <w:sz w:val="16"/>
                <w:szCs w:val="16"/>
                <w:b w:val="1"/>
                <w:bCs w:val="1"/>
                <w:color w:val="auto"/>
              </w:rPr>
              <w:t>0-50231</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52-0883107</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1100 15th</w:t>
            </w:r>
          </w:p>
        </w:tc>
        <w:tc>
          <w:tcPr>
            <w:tcW w:w="1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Street, NW</w:t>
            </w:r>
          </w:p>
        </w:tc>
        <w:tc>
          <w:tcPr>
            <w:tcW w:w="52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800</w:t>
            </w:r>
          </w:p>
        </w:tc>
        <w:tc>
          <w:tcPr>
            <w:tcW w:w="1860" w:type="dxa"/>
            <w:vAlign w:val="bottom"/>
            <w:tcBorders>
              <w:top w:val="single" w:sz="8" w:color="auto"/>
            </w:tcBorders>
          </w:tcPr>
          <w:p>
            <w:pPr>
              <w:jc w:val="right"/>
              <w:ind w:right="844"/>
              <w:spacing w:after="0"/>
              <w:rPr>
                <w:sz w:val="20"/>
                <w:szCs w:val="20"/>
                <w:color w:val="auto"/>
              </w:rPr>
            </w:pPr>
            <w:r>
              <w:rPr>
                <w:rFonts w:ascii="Arial" w:cs="Arial" w:eastAsia="Arial" w:hAnsi="Arial"/>
                <w:sz w:val="16"/>
                <w:szCs w:val="16"/>
                <w:b w:val="1"/>
                <w:bCs w:val="1"/>
                <w:color w:val="auto"/>
              </w:rPr>
              <w:t>232-6643</w:t>
            </w:r>
          </w:p>
        </w:tc>
      </w:tr>
      <w:tr>
        <w:trPr>
          <w:trHeight w:val="223"/>
        </w:trPr>
        <w:tc>
          <w:tcPr>
            <w:tcW w:w="3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Washington,</w:t>
            </w:r>
          </w:p>
        </w:tc>
        <w:tc>
          <w:tcPr>
            <w:tcW w:w="1320" w:type="dxa"/>
            <w:vAlign w:val="bottom"/>
          </w:tcPr>
          <w:p>
            <w:pPr>
              <w:ind w:left="220"/>
              <w:spacing w:after="0"/>
              <w:rPr>
                <w:sz w:val="20"/>
                <w:szCs w:val="20"/>
                <w:color w:val="auto"/>
              </w:rPr>
            </w:pPr>
            <w:r>
              <w:rPr>
                <w:rFonts w:ascii="Arial" w:cs="Arial" w:eastAsia="Arial" w:hAnsi="Arial"/>
                <w:sz w:val="16"/>
                <w:szCs w:val="16"/>
                <w:b w:val="1"/>
                <w:bCs w:val="1"/>
                <w:color w:val="auto"/>
              </w:rPr>
              <w:t>DC   20005</w:t>
            </w:r>
          </w:p>
        </w:tc>
        <w:tc>
          <w:tcPr>
            <w:tcW w:w="5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43"/>
        </w:trPr>
        <w:tc>
          <w:tcPr>
            <w:tcW w:w="3420" w:type="dxa"/>
            <w:vAlign w:val="bottom"/>
          </w:tcPr>
          <w:p>
            <w:pPr>
              <w:jc w:val="center"/>
              <w:ind w:left="105"/>
              <w:spacing w:after="0" w:line="143" w:lineRule="exact"/>
              <w:rPr>
                <w:sz w:val="20"/>
                <w:szCs w:val="20"/>
                <w:color w:val="auto"/>
              </w:rPr>
            </w:pPr>
            <w:r>
              <w:rPr>
                <w:rFonts w:ascii="Arial" w:cs="Arial" w:eastAsia="Arial" w:hAnsi="Arial"/>
                <w:sz w:val="14"/>
                <w:szCs w:val="14"/>
                <w:i w:val="1"/>
                <w:iCs w:val="1"/>
                <w:color w:val="auto"/>
              </w:rPr>
              <w:t>(State or other jurisdiction</w:t>
            </w:r>
          </w:p>
        </w:tc>
        <w:tc>
          <w:tcPr>
            <w:tcW w:w="1420" w:type="dxa"/>
            <w:vAlign w:val="bottom"/>
          </w:tcPr>
          <w:p>
            <w:pPr>
              <w:jc w:val="center"/>
              <w:ind w:left="185"/>
              <w:spacing w:after="0" w:line="143" w:lineRule="exact"/>
              <w:rPr>
                <w:sz w:val="20"/>
                <w:szCs w:val="20"/>
                <w:color w:val="auto"/>
              </w:rPr>
            </w:pPr>
            <w:r>
              <w:rPr>
                <w:rFonts w:ascii="Arial" w:cs="Arial" w:eastAsia="Arial" w:hAnsi="Arial"/>
                <w:sz w:val="14"/>
                <w:szCs w:val="14"/>
                <w:i w:val="1"/>
                <w:iCs w:val="1"/>
                <w:color w:val="auto"/>
              </w:rPr>
              <w:t>(Commission</w:t>
            </w:r>
          </w:p>
        </w:tc>
        <w:tc>
          <w:tcPr>
            <w:tcW w:w="1500" w:type="dxa"/>
            <w:vAlign w:val="bottom"/>
          </w:tcPr>
          <w:p>
            <w:pPr>
              <w:jc w:val="center"/>
              <w:spacing w:after="0" w:line="143" w:lineRule="exact"/>
              <w:rPr>
                <w:sz w:val="20"/>
                <w:szCs w:val="20"/>
                <w:color w:val="auto"/>
              </w:rPr>
            </w:pPr>
            <w:r>
              <w:rPr>
                <w:rFonts w:ascii="Arial" w:cs="Arial" w:eastAsia="Arial" w:hAnsi="Arial"/>
                <w:sz w:val="14"/>
                <w:szCs w:val="14"/>
                <w:i w:val="1"/>
                <w:iCs w:val="1"/>
                <w:color w:val="auto"/>
              </w:rPr>
              <w:t>(IRS Employer</w:t>
            </w:r>
          </w:p>
        </w:tc>
        <w:tc>
          <w:tcPr>
            <w:tcW w:w="2500" w:type="dxa"/>
            <w:vAlign w:val="bottom"/>
            <w:gridSpan w:val="2"/>
          </w:tcPr>
          <w:p>
            <w:pPr>
              <w:jc w:val="center"/>
              <w:spacing w:after="0" w:line="143" w:lineRule="exact"/>
              <w:rPr>
                <w:sz w:val="20"/>
                <w:szCs w:val="20"/>
                <w:color w:val="auto"/>
              </w:rPr>
            </w:pPr>
            <w:r>
              <w:rPr>
                <w:rFonts w:ascii="Arial" w:cs="Arial" w:eastAsia="Arial" w:hAnsi="Arial"/>
                <w:sz w:val="14"/>
                <w:szCs w:val="14"/>
                <w:i w:val="1"/>
                <w:iCs w:val="1"/>
                <w:color w:val="auto"/>
              </w:rPr>
              <w:t>(Address of principal executive</w:t>
            </w:r>
          </w:p>
        </w:tc>
        <w:tc>
          <w:tcPr>
            <w:tcW w:w="2380" w:type="dxa"/>
            <w:vAlign w:val="bottom"/>
            <w:gridSpan w:val="2"/>
          </w:tcPr>
          <w:p>
            <w:pPr>
              <w:ind w:left="200"/>
              <w:spacing w:after="0" w:line="143" w:lineRule="exact"/>
              <w:rPr>
                <w:sz w:val="20"/>
                <w:szCs w:val="20"/>
                <w:color w:val="auto"/>
              </w:rPr>
            </w:pPr>
            <w:r>
              <w:rPr>
                <w:rFonts w:ascii="Arial" w:cs="Arial" w:eastAsia="Arial" w:hAnsi="Arial"/>
                <w:sz w:val="14"/>
                <w:szCs w:val="14"/>
                <w:i w:val="1"/>
                <w:iCs w:val="1"/>
                <w:color w:val="auto"/>
              </w:rPr>
              <w:t>(Registrant’s telephone number,</w:t>
            </w:r>
          </w:p>
        </w:tc>
      </w:tr>
      <w:tr>
        <w:trPr>
          <w:trHeight w:val="189"/>
        </w:trPr>
        <w:tc>
          <w:tcPr>
            <w:tcW w:w="342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i w:val="1"/>
                <w:iCs w:val="1"/>
                <w:color w:val="auto"/>
              </w:rPr>
              <w:t>of incorporation)</w:t>
            </w:r>
          </w:p>
        </w:tc>
        <w:tc>
          <w:tcPr>
            <w:tcW w:w="14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i w:val="1"/>
                <w:iCs w:val="1"/>
                <w:color w:val="auto"/>
              </w:rPr>
              <w:t>File Number)</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Identification No.)</w:t>
            </w: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offices, including zip code)</w:t>
            </w: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i w:val="1"/>
                <w:iCs w:val="1"/>
                <w:color w:val="auto"/>
              </w:rPr>
              <w:t>including area code)</w:t>
            </w:r>
          </w:p>
        </w:tc>
      </w:tr>
    </w:tbl>
    <w:p>
      <w:pPr>
        <w:spacing w:after="0" w:line="200" w:lineRule="exact"/>
        <w:rPr>
          <w:sz w:val="24"/>
          <w:szCs w:val="24"/>
          <w:color w:val="auto"/>
        </w:rPr>
      </w:pPr>
    </w:p>
    <w:p>
      <w:pPr>
        <w:spacing w:after="0" w:line="245"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6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5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70" w:type="dxa"/>
        <w:tblCellMar>
          <w:top w:w="0" w:type="dxa"/>
          <w:left w:w="0" w:type="dxa"/>
          <w:bottom w:w="0" w:type="dxa"/>
          <w:right w:w="0" w:type="dxa"/>
        </w:tblCellMar>
      </w:tblPr>
      <w:tr>
        <w:trPr>
          <w:trHeight w:val="243"/>
        </w:trPr>
        <w:tc>
          <w:tcPr>
            <w:tcW w:w="3220" w:type="dxa"/>
            <w:vAlign w:val="bottom"/>
            <w:tcBorders>
              <w:top w:val="single" w:sz="8" w:color="auto"/>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Title of each class</w:t>
            </w:r>
          </w:p>
        </w:tc>
        <w:tc>
          <w:tcPr>
            <w:tcW w:w="2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Trading Symbol(s)</w:t>
            </w:r>
          </w:p>
        </w:tc>
        <w:tc>
          <w:tcPr>
            <w:tcW w:w="558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None</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5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r>
    </w:tbl>
    <w:p>
      <w:pPr>
        <w:spacing w:after="0" w:line="200" w:lineRule="exact"/>
        <w:rPr>
          <w:sz w:val="24"/>
          <w:szCs w:val="24"/>
          <w:color w:val="auto"/>
        </w:rPr>
      </w:pPr>
    </w:p>
    <w:p>
      <w:pPr>
        <w:spacing w:after="0" w:line="20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(§203.405 of this chapter) or Rule 12b-2 of the Securities Exchange Act of 1934 (§240.12b-2 of this chapter).</w:t>
      </w:r>
    </w:p>
    <w:p>
      <w:pPr>
        <w:spacing w:after="0" w:line="49" w:lineRule="exact"/>
        <w:rPr>
          <w:sz w:val="24"/>
          <w:szCs w:val="24"/>
          <w:color w:val="auto"/>
        </w:rPr>
      </w:pPr>
    </w:p>
    <w:p>
      <w:pPr>
        <w:ind w:left="8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0" w:lineRule="exact"/>
        <w:rPr>
          <w:sz w:val="24"/>
          <w:szCs w:val="24"/>
          <w:color w:val="auto"/>
        </w:rPr>
      </w:pPr>
    </w:p>
    <w:p>
      <w:pPr>
        <w:ind w:right="14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9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Fannie Mae announced on June 24, 2022 that it has commenced fixed-price cash tender offers (each, an “Offer” and, collectively, the “Offers”) for the purchase of certain Connecticut Avenue Securities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(CAS) Debt Notes. The Offers are being conducted upon the terms and subject to the conditions set forth in an offer to purchase and related notice of guaranteed delivery, each dated as of June 24, 2022. The Offers will expire at 5:00 p.m. New York City time on Thursday, June 30, 2022 unless extended or earlier terminated.</w:t>
      </w:r>
    </w:p>
    <w:p>
      <w:pPr>
        <w:spacing w:after="0" w:line="60"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Attached as Exhibit 99.1 and incorporated by reference herein is a press release announcing the Offers. The information in this report, including information contained in the exhibit submitted with this report, shall not be deemed “filed” for purposes of Section 18 of the Securities Exchange Act of 1934, or otherwise subject to the liabilities of Section 18, nor shall it be deemed incorporated by reference into any disclosure document relating to Fannie Mae, except to the extent, if any, expressly incorporated by specific reference in that document.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being submitted with this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80" w:type="dxa"/>
            <w:vAlign w:val="bottom"/>
          </w:tcPr>
          <w:p>
            <w:pPr>
              <w:ind w:left="80"/>
              <w:spacing w:after="0"/>
              <w:rPr>
                <w:sz w:val="20"/>
                <w:szCs w:val="20"/>
                <w:color w:val="auto"/>
              </w:rPr>
            </w:pPr>
            <w:r>
              <w:rPr>
                <w:rFonts w:ascii="Arial" w:cs="Arial" w:eastAsia="Arial" w:hAnsi="Arial"/>
                <w:sz w:val="14"/>
                <w:szCs w:val="14"/>
                <w:b w:val="1"/>
                <w:bCs w:val="1"/>
                <w:color w:val="auto"/>
              </w:rPr>
              <w:t>Exhibit Number</w:t>
            </w:r>
          </w:p>
        </w:tc>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94"/>
        </w:trPr>
        <w:tc>
          <w:tcPr>
            <w:tcW w:w="1780" w:type="dxa"/>
            <w:vAlign w:val="bottom"/>
          </w:tcPr>
          <w:p>
            <w:pPr>
              <w:ind w:left="80"/>
              <w:spacing w:after="0" w:line="195" w:lineRule="exact"/>
              <w:rPr>
                <w:sz w:val="20"/>
                <w:szCs w:val="20"/>
                <w:color w:val="auto"/>
              </w:rPr>
            </w:pPr>
            <w:r>
              <w:rPr>
                <w:rFonts w:ascii="Arial" w:cs="Arial" w:eastAsia="Arial" w:hAnsi="Arial"/>
                <w:sz w:val="18"/>
                <w:szCs w:val="18"/>
                <w:color w:val="auto"/>
              </w:rPr>
              <w:t>99.1</w:t>
            </w:r>
          </w:p>
        </w:tc>
        <w:tc>
          <w:tcPr>
            <w:tcW w:w="9460" w:type="dxa"/>
            <w:vAlign w:val="bottom"/>
            <w:gridSpan w:val="2"/>
          </w:tcPr>
          <w:p>
            <w:pPr>
              <w:spacing w:after="0" w:line="195" w:lineRule="exact"/>
              <w:rPr>
                <w:sz w:val="20"/>
                <w:szCs w:val="20"/>
                <w:color w:val="auto"/>
              </w:rPr>
            </w:pPr>
            <w:r>
              <w:rPr>
                <w:rFonts w:ascii="Arial" w:cs="Arial" w:eastAsia="Arial" w:hAnsi="Arial"/>
                <w:sz w:val="18"/>
                <w:szCs w:val="18"/>
                <w:color w:val="0000FF"/>
              </w:rPr>
              <w:t>Press release, dated June 24, 2022</w:t>
            </w:r>
          </w:p>
        </w:tc>
      </w:tr>
      <w:tr>
        <w:trPr>
          <w:trHeight w:val="20"/>
        </w:trPr>
        <w:tc>
          <w:tcPr>
            <w:tcW w:w="178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54"/>
        </w:trPr>
        <w:tc>
          <w:tcPr>
            <w:tcW w:w="1780" w:type="dxa"/>
            <w:vAlign w:val="bottom"/>
          </w:tcPr>
          <w:p>
            <w:pPr>
              <w:ind w:left="80"/>
              <w:spacing w:after="0"/>
              <w:rPr>
                <w:sz w:val="20"/>
                <w:szCs w:val="20"/>
                <w:color w:val="auto"/>
              </w:rPr>
            </w:pPr>
            <w:r>
              <w:rPr>
                <w:rFonts w:ascii="Arial" w:cs="Arial" w:eastAsia="Arial" w:hAnsi="Arial"/>
                <w:sz w:val="18"/>
                <w:szCs w:val="18"/>
                <w:color w:val="auto"/>
              </w:rPr>
              <w:t>104</w:t>
            </w:r>
          </w:p>
        </w:tc>
        <w:tc>
          <w:tcPr>
            <w:tcW w:w="94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99"/>
        </w:trPr>
        <w:tc>
          <w:tcPr>
            <w:tcW w:w="17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82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FEDERAL NATIONAL MORTGAGE ASSOCIATION</w:t>
            </w:r>
          </w:p>
        </w:tc>
      </w:tr>
      <w:tr>
        <w:trPr>
          <w:trHeight w:val="698"/>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5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Wells M. Engledow</w:t>
            </w:r>
          </w:p>
        </w:tc>
      </w:tr>
      <w:tr>
        <w:trPr>
          <w:trHeight w:val="218"/>
        </w:trPr>
        <w:tc>
          <w:tcPr>
            <w:tcW w:w="2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Wells M. Engledow</w:t>
            </w:r>
          </w:p>
        </w:tc>
      </w:t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Enterprise Deputy General Counsel—Senior Vice President</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June 24, 2022</w:t>
      </w:r>
    </w:p>
    <w:p>
      <w:pPr>
        <w:sectPr>
          <w:pgSz w:w="11900" w:h="16838" w:orient="portrait"/>
          <w:cols w:equalWidth="0" w:num="1">
            <w:col w:w="11120"/>
          </w:cols>
          <w:pgMar w:left="320" w:top="1133" w:right="459" w:bottom="1440" w:gutter="0" w:footer="0" w:header="0"/>
        </w:sectPr>
      </w:pPr>
    </w:p>
    <w:bookmarkStart w:id="3" w:name="page4"/>
    <w:bookmarkEnd w:id="3"/>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86195" cy="80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386195" cy="805815"/>
                    </a:xfrm>
                    <a:prstGeom prst="rect">
                      <a:avLst/>
                    </a:prstGeom>
                    <a:noFill/>
                  </pic:spPr>
                </pic:pic>
              </a:graphicData>
            </a:graphic>
          </wp:anchor>
        </w:drawing>
      </w:r>
    </w:p>
    <w:p>
      <w:pPr>
        <w:ind w:left="9840"/>
        <w:spacing w:after="0"/>
        <w:rPr>
          <w:sz w:val="20"/>
          <w:szCs w:val="20"/>
          <w:color w:val="auto"/>
        </w:rPr>
      </w:pPr>
      <w:r>
        <w:rPr>
          <w:rFonts w:ascii="Arial" w:cs="Arial" w:eastAsia="Arial" w:hAnsi="Arial"/>
          <w:sz w:val="25"/>
          <w:szCs w:val="25"/>
          <w:b w:val="1"/>
          <w:bCs w:val="1"/>
          <w:color w:val="000F2B"/>
        </w:rPr>
        <w:t>Exhibit 99.1</w:t>
      </w:r>
    </w:p>
    <w:p>
      <w:pPr>
        <w:spacing w:after="0" w:line="233" w:lineRule="exact"/>
        <w:rPr>
          <w:sz w:val="20"/>
          <w:szCs w:val="20"/>
          <w:color w:val="auto"/>
        </w:rPr>
      </w:pPr>
    </w:p>
    <w:p>
      <w:pPr>
        <w:ind w:right="20"/>
        <w:spacing w:after="0" w:line="298" w:lineRule="auto"/>
        <w:rPr>
          <w:sz w:val="20"/>
          <w:szCs w:val="20"/>
          <w:color w:val="auto"/>
        </w:rPr>
      </w:pPr>
      <w:r>
        <w:rPr>
          <w:rFonts w:ascii="Arial" w:cs="Arial" w:eastAsia="Arial" w:hAnsi="Arial"/>
          <w:sz w:val="32"/>
          <w:szCs w:val="32"/>
          <w:b w:val="1"/>
          <w:bCs w:val="1"/>
          <w:color w:val="000F2B"/>
        </w:rPr>
        <w:t>Fannie Mae Announces Tender Offer for Any and All of Certain CAS Debt Notes</w:t>
      </w:r>
    </w:p>
    <w:p>
      <w:pPr>
        <w:spacing w:after="0" w:line="8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WASHINGTON, DC – June 24, 2022 – Fannie Mae (FNMA/OTCQB) today announced that it has commenced fixed-price cash tender offers (each, an “Offer” and, collectively, the “Offers”) for the purchase of any and all of the Connecticut Avenue Securities® (CAS) Debt Notes listed below (the “Notes”), upon the terms and subject to the conditions set forth in the Offer to Purchase and related Notice of Guaranteed Delivery, each dated as of June 24, 2022 (collectively, the “Offer Documents”). The Offers will expire at 5:00 PM New York City time on Thursday, June 30, 2022 (the “Expiration Time”) unless extended or earlier terminated. Notes tendered may be withdrawn at any time at or before the Expiration Time by following the procedures described in the Offer Documents.</w:t>
      </w:r>
    </w:p>
    <w:p>
      <w:pPr>
        <w:spacing w:after="0" w:line="188"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Fannie Mae has engaged BofA Securities as the designated lead dealer manager and Barclays as the designated dealer manager for the Offers. Fannie Mae has engaged Academy Securities, Inc. and Blaylock Van, LLC as Advisors on the transaction. Global Bondholder Services Corporation has been engaged as the tender agent and information agent for the Offers. Fannie Mae is offering to purchase, subject to the conditions of the tender offer, any and all of the Notes listed in the table below during the tender offer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material pricing terms of the Offers.</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2800" w:type="dxa"/>
            <w:vAlign w:val="bottom"/>
            <w:tcBorders>
              <w:top w:val="single" w:sz="8" w:color="auto"/>
              <w:left w:val="single" w:sz="8" w:color="auto"/>
              <w:right w:val="single" w:sz="8" w:color="auto"/>
            </w:tcBorders>
          </w:tcPr>
          <w:p>
            <w:pPr>
              <w:spacing w:after="0"/>
              <w:rPr>
                <w:sz w:val="24"/>
                <w:szCs w:val="24"/>
                <w:color w:val="auto"/>
              </w:rPr>
            </w:pPr>
          </w:p>
        </w:tc>
        <w:tc>
          <w:tcPr>
            <w:tcW w:w="2760" w:type="dxa"/>
            <w:vAlign w:val="bottom"/>
            <w:tcBorders>
              <w:top w:val="single" w:sz="8" w:color="auto"/>
              <w:right w:val="single" w:sz="8" w:color="auto"/>
            </w:tcBorders>
          </w:tcPr>
          <w:p>
            <w:pPr>
              <w:spacing w:after="0"/>
              <w:rPr>
                <w:sz w:val="24"/>
                <w:szCs w:val="24"/>
                <w:color w:val="auto"/>
              </w:rPr>
            </w:pPr>
          </w:p>
        </w:tc>
        <w:tc>
          <w:tcPr>
            <w:tcW w:w="2760" w:type="dxa"/>
            <w:vAlign w:val="bottom"/>
            <w:tcBorders>
              <w:top w:val="single" w:sz="8" w:color="auto"/>
              <w:right w:val="single" w:sz="8" w:color="auto"/>
            </w:tcBorders>
          </w:tcPr>
          <w:p>
            <w:pPr>
              <w:spacing w:after="0"/>
              <w:rPr>
                <w:sz w:val="24"/>
                <w:szCs w:val="24"/>
                <w:color w:val="auto"/>
              </w:rPr>
            </w:pPr>
          </w:p>
        </w:tc>
        <w:tc>
          <w:tcPr>
            <w:tcW w:w="2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Tender Offer Consideration</w:t>
            </w:r>
          </w:p>
        </w:tc>
        <w:tc>
          <w:tcPr>
            <w:tcW w:w="220" w:type="dxa"/>
            <w:vAlign w:val="bottom"/>
          </w:tcPr>
          <w:p>
            <w:pPr>
              <w:spacing w:after="0"/>
              <w:rPr>
                <w:sz w:val="24"/>
                <w:szCs w:val="24"/>
                <w:color w:val="auto"/>
              </w:rPr>
            </w:pPr>
          </w:p>
        </w:tc>
      </w:tr>
      <w:tr>
        <w:trPr>
          <w:trHeight w:val="203"/>
        </w:trPr>
        <w:tc>
          <w:tcPr>
            <w:tcW w:w="28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Name of Security</w:t>
            </w:r>
          </w:p>
        </w:tc>
        <w:tc>
          <w:tcPr>
            <w:tcW w:w="2760" w:type="dxa"/>
            <w:vAlign w:val="bottom"/>
            <w:tcBorders>
              <w:right w:val="single" w:sz="8" w:color="auto"/>
            </w:tcBorders>
          </w:tcPr>
          <w:p>
            <w:pPr>
              <w:ind w:left="840"/>
              <w:spacing w:after="0" w:line="202" w:lineRule="exact"/>
              <w:rPr>
                <w:sz w:val="20"/>
                <w:szCs w:val="20"/>
                <w:color w:val="auto"/>
              </w:rPr>
            </w:pPr>
            <w:r>
              <w:rPr>
                <w:rFonts w:ascii="Arial" w:cs="Arial" w:eastAsia="Arial" w:hAnsi="Arial"/>
                <w:sz w:val="18"/>
                <w:szCs w:val="18"/>
                <w:b w:val="1"/>
                <w:bCs w:val="1"/>
                <w:color w:val="auto"/>
              </w:rPr>
              <w:t>CUSIP / ISIN</w:t>
            </w:r>
          </w:p>
        </w:tc>
        <w:tc>
          <w:tcPr>
            <w:tcW w:w="27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Original Principal Balance</w:t>
            </w:r>
          </w:p>
        </w:tc>
        <w:tc>
          <w:tcPr>
            <w:tcW w:w="2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(per $1,000 original principal</w:t>
            </w:r>
          </w:p>
        </w:tc>
        <w:tc>
          <w:tcPr>
            <w:tcW w:w="220" w:type="dxa"/>
            <w:vAlign w:val="bottom"/>
          </w:tcPr>
          <w:p>
            <w:pPr>
              <w:spacing w:after="0"/>
              <w:rPr>
                <w:sz w:val="17"/>
                <w:szCs w:val="17"/>
                <w:color w:val="auto"/>
              </w:rPr>
            </w:pPr>
          </w:p>
        </w:tc>
      </w:tr>
      <w:tr>
        <w:trPr>
          <w:trHeight w:val="247"/>
        </w:trPr>
        <w:tc>
          <w:tcPr>
            <w:tcW w:w="2800" w:type="dxa"/>
            <w:vAlign w:val="bottom"/>
            <w:tcBorders>
              <w:left w:val="single" w:sz="8" w:color="auto"/>
              <w:right w:val="single" w:sz="8" w:color="auto"/>
            </w:tcBorders>
          </w:tcPr>
          <w:p>
            <w:pPr>
              <w:spacing w:after="0"/>
              <w:rPr>
                <w:sz w:val="21"/>
                <w:szCs w:val="21"/>
                <w:color w:val="auto"/>
              </w:rPr>
            </w:pPr>
          </w:p>
        </w:tc>
        <w:tc>
          <w:tcPr>
            <w:tcW w:w="2760" w:type="dxa"/>
            <w:vAlign w:val="bottom"/>
            <w:tcBorders>
              <w:right w:val="single" w:sz="8" w:color="auto"/>
            </w:tcBorders>
          </w:tcPr>
          <w:p>
            <w:pPr>
              <w:spacing w:after="0"/>
              <w:rPr>
                <w:sz w:val="21"/>
                <w:szCs w:val="21"/>
                <w:color w:val="auto"/>
              </w:rPr>
            </w:pPr>
          </w:p>
        </w:tc>
        <w:tc>
          <w:tcPr>
            <w:tcW w:w="2760" w:type="dxa"/>
            <w:vAlign w:val="bottom"/>
            <w:tcBorders>
              <w:right w:val="single" w:sz="8" w:color="auto"/>
            </w:tcBorders>
          </w:tcPr>
          <w:p>
            <w:pPr>
              <w:spacing w:after="0"/>
              <w:rPr>
                <w:sz w:val="21"/>
                <w:szCs w:val="21"/>
                <w:color w:val="auto"/>
              </w:rPr>
            </w:pP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amount)</w:t>
            </w:r>
          </w:p>
        </w:tc>
        <w:tc>
          <w:tcPr>
            <w:tcW w:w="220" w:type="dxa"/>
            <w:vAlign w:val="bottom"/>
          </w:tcPr>
          <w:p>
            <w:pPr>
              <w:spacing w:after="0"/>
              <w:rPr>
                <w:sz w:val="21"/>
                <w:szCs w:val="21"/>
                <w:color w:val="auto"/>
              </w:rPr>
            </w:pPr>
          </w:p>
        </w:tc>
      </w:tr>
      <w:tr>
        <w:trPr>
          <w:trHeight w:val="218"/>
        </w:trPr>
        <w:tc>
          <w:tcPr>
            <w:tcW w:w="2800" w:type="dxa"/>
            <w:vAlign w:val="bottom"/>
            <w:tcBorders>
              <w:left w:val="single" w:sz="8" w:color="auto"/>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4"/>
        </w:trPr>
        <w:tc>
          <w:tcPr>
            <w:tcW w:w="2800" w:type="dxa"/>
            <w:vAlign w:val="bottom"/>
            <w:tcBorders>
              <w:left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9"/>
              </w:rPr>
              <w:t>Connecticut Avenue Securities,</w:t>
            </w:r>
          </w:p>
        </w:tc>
        <w:tc>
          <w:tcPr>
            <w:tcW w:w="276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27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2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Series 2016-C05, Class 2M-2</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30711XDK7 / US30711XDK72</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$713,282,803.00</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$1,042.50</w:t>
            </w:r>
          </w:p>
        </w:tc>
        <w:tc>
          <w:tcPr>
            <w:tcW w:w="220" w:type="dxa"/>
            <w:vAlign w:val="bottom"/>
          </w:tcPr>
          <w:p>
            <w:pPr>
              <w:spacing w:after="0"/>
              <w:rPr>
                <w:sz w:val="18"/>
                <w:szCs w:val="18"/>
                <w:color w:val="auto"/>
              </w:rPr>
            </w:pPr>
          </w:p>
        </w:tc>
      </w:tr>
      <w:tr>
        <w:trPr>
          <w:trHeight w:val="244"/>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Notes</w:t>
            </w:r>
          </w:p>
        </w:tc>
        <w:tc>
          <w:tcPr>
            <w:tcW w:w="27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09"/>
        </w:trPr>
        <w:tc>
          <w:tcPr>
            <w:tcW w:w="2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Connecticut Avenue Securities,</w:t>
            </w:r>
          </w:p>
        </w:tc>
        <w:tc>
          <w:tcPr>
            <w:tcW w:w="276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Series 2016-C06, Class 1M-2</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30711XDS0 / US30711XDS09</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$543,222,483.00</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$1,043.75</w:t>
            </w:r>
          </w:p>
        </w:tc>
        <w:tc>
          <w:tcPr>
            <w:tcW w:w="220" w:type="dxa"/>
            <w:vAlign w:val="bottom"/>
          </w:tcPr>
          <w:p>
            <w:pPr>
              <w:spacing w:after="0"/>
              <w:rPr>
                <w:sz w:val="18"/>
                <w:szCs w:val="18"/>
                <w:color w:val="auto"/>
              </w:rPr>
            </w:pPr>
          </w:p>
        </w:tc>
      </w:tr>
      <w:tr>
        <w:trPr>
          <w:trHeight w:val="244"/>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Notes</w:t>
            </w:r>
          </w:p>
        </w:tc>
        <w:tc>
          <w:tcPr>
            <w:tcW w:w="27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09"/>
        </w:trPr>
        <w:tc>
          <w:tcPr>
            <w:tcW w:w="2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Connecticut Avenue Securities,</w:t>
            </w:r>
          </w:p>
        </w:tc>
        <w:tc>
          <w:tcPr>
            <w:tcW w:w="276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Series 2016-C07, Class 2M-2</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30711XEC4 / US30711XEC48</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$448,184,930.00</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$1,045.00</w:t>
            </w:r>
          </w:p>
        </w:tc>
        <w:tc>
          <w:tcPr>
            <w:tcW w:w="220" w:type="dxa"/>
            <w:vAlign w:val="bottom"/>
          </w:tcPr>
          <w:p>
            <w:pPr>
              <w:spacing w:after="0"/>
              <w:rPr>
                <w:sz w:val="18"/>
                <w:szCs w:val="18"/>
                <w:color w:val="auto"/>
              </w:rPr>
            </w:pPr>
          </w:p>
        </w:tc>
      </w:tr>
      <w:tr>
        <w:trPr>
          <w:trHeight w:val="244"/>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Notes</w:t>
            </w:r>
          </w:p>
        </w:tc>
        <w:tc>
          <w:tcPr>
            <w:tcW w:w="27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09"/>
        </w:trPr>
        <w:tc>
          <w:tcPr>
            <w:tcW w:w="2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Connecticut Avenue Securities,</w:t>
            </w:r>
          </w:p>
        </w:tc>
        <w:tc>
          <w:tcPr>
            <w:tcW w:w="276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Series 2017-C01, Class 1M-2</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30711XEP5 / US30711XEP50</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$519,474,000.00</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$1,031.25</w:t>
            </w:r>
          </w:p>
        </w:tc>
        <w:tc>
          <w:tcPr>
            <w:tcW w:w="220" w:type="dxa"/>
            <w:vAlign w:val="bottom"/>
          </w:tcPr>
          <w:p>
            <w:pPr>
              <w:spacing w:after="0"/>
              <w:rPr>
                <w:sz w:val="18"/>
                <w:szCs w:val="18"/>
                <w:color w:val="auto"/>
              </w:rPr>
            </w:pPr>
          </w:p>
        </w:tc>
      </w:tr>
      <w:tr>
        <w:trPr>
          <w:trHeight w:val="244"/>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Notes</w:t>
            </w:r>
          </w:p>
        </w:tc>
        <w:tc>
          <w:tcPr>
            <w:tcW w:w="27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09"/>
        </w:trPr>
        <w:tc>
          <w:tcPr>
            <w:tcW w:w="2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Connecticut Avenue Securities,</w:t>
            </w:r>
          </w:p>
        </w:tc>
        <w:tc>
          <w:tcPr>
            <w:tcW w:w="276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Series 2017-C03, Class 1M-2</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30711XJX3 / US30711XJX30</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$406,867,000.00</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$1,018.75</w:t>
            </w:r>
          </w:p>
        </w:tc>
        <w:tc>
          <w:tcPr>
            <w:tcW w:w="220" w:type="dxa"/>
            <w:vAlign w:val="bottom"/>
          </w:tcPr>
          <w:p>
            <w:pPr>
              <w:spacing w:after="0"/>
              <w:rPr>
                <w:sz w:val="18"/>
                <w:szCs w:val="18"/>
                <w:color w:val="auto"/>
              </w:rPr>
            </w:pPr>
          </w:p>
        </w:tc>
      </w:tr>
      <w:tr>
        <w:trPr>
          <w:trHeight w:val="244"/>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Notes</w:t>
            </w:r>
          </w:p>
        </w:tc>
        <w:tc>
          <w:tcPr>
            <w:tcW w:w="27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09"/>
        </w:trPr>
        <w:tc>
          <w:tcPr>
            <w:tcW w:w="2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Connecticut Avenue Securities,</w:t>
            </w:r>
          </w:p>
        </w:tc>
        <w:tc>
          <w:tcPr>
            <w:tcW w:w="276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Series 2017-C05, Class 1M-2</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30711XNX8 / US30711XNX83</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$471,437,160.00</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$1,005.00</w:t>
            </w:r>
          </w:p>
        </w:tc>
        <w:tc>
          <w:tcPr>
            <w:tcW w:w="220" w:type="dxa"/>
            <w:vAlign w:val="bottom"/>
          </w:tcPr>
          <w:p>
            <w:pPr>
              <w:spacing w:after="0"/>
              <w:rPr>
                <w:sz w:val="18"/>
                <w:szCs w:val="18"/>
                <w:color w:val="auto"/>
              </w:rPr>
            </w:pPr>
          </w:p>
        </w:tc>
      </w:tr>
      <w:tr>
        <w:trPr>
          <w:trHeight w:val="244"/>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Notes</w:t>
            </w:r>
          </w:p>
        </w:tc>
        <w:tc>
          <w:tcPr>
            <w:tcW w:w="27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09"/>
        </w:trPr>
        <w:tc>
          <w:tcPr>
            <w:tcW w:w="2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Connecticut Avenue Securities,</w:t>
            </w:r>
          </w:p>
        </w:tc>
        <w:tc>
          <w:tcPr>
            <w:tcW w:w="276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Series 2017-C06, Class 2M-2</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30711XSX3 / US30711XSX39</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$335,153,999.00</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$1,013.75</w:t>
            </w:r>
          </w:p>
        </w:tc>
        <w:tc>
          <w:tcPr>
            <w:tcW w:w="220" w:type="dxa"/>
            <w:vAlign w:val="bottom"/>
          </w:tcPr>
          <w:p>
            <w:pPr>
              <w:spacing w:after="0"/>
              <w:rPr>
                <w:sz w:val="18"/>
                <w:szCs w:val="18"/>
                <w:color w:val="auto"/>
              </w:rPr>
            </w:pPr>
          </w:p>
        </w:tc>
      </w:tr>
      <w:tr>
        <w:trPr>
          <w:trHeight w:val="244"/>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Notes</w:t>
            </w:r>
          </w:p>
        </w:tc>
        <w:tc>
          <w:tcPr>
            <w:tcW w:w="27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518"/>
        </w:trPr>
        <w:tc>
          <w:tcPr>
            <w:tcW w:w="28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424"/>
        </w:trPr>
        <w:tc>
          <w:tcPr>
            <w:tcW w:w="2800" w:type="dxa"/>
            <w:vAlign w:val="bottom"/>
          </w:tcPr>
          <w:p>
            <w:pPr>
              <w:ind w:left="80"/>
              <w:spacing w:after="0"/>
              <w:rPr>
                <w:sz w:val="20"/>
                <w:szCs w:val="20"/>
                <w:color w:val="auto"/>
              </w:rPr>
            </w:pPr>
            <w:r>
              <w:rPr>
                <w:rFonts w:ascii="Arial" w:cs="Arial" w:eastAsia="Arial" w:hAnsi="Arial"/>
                <w:sz w:val="14"/>
                <w:szCs w:val="14"/>
                <w:color w:val="666666"/>
              </w:rPr>
              <w:t>© 2022 Fannie Mae   6.24.2022 1</w:t>
            </w:r>
          </w:p>
        </w:tc>
        <w:tc>
          <w:tcPr>
            <w:tcW w:w="27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Connecticut Avenue Securities,</w:t>
            </w:r>
          </w:p>
        </w:tc>
        <w:tc>
          <w:tcPr>
            <w:tcW w:w="2760" w:type="dxa"/>
            <w:vAlign w:val="bottom"/>
            <w:tcBorders>
              <w:top w:val="single" w:sz="8" w:color="auto"/>
              <w:right w:val="single" w:sz="8" w:color="auto"/>
            </w:tcBorders>
          </w:tcPr>
          <w:p>
            <w:pPr>
              <w:spacing w:after="0"/>
              <w:rPr>
                <w:sz w:val="19"/>
                <w:szCs w:val="19"/>
                <w:color w:val="auto"/>
              </w:rPr>
            </w:pPr>
          </w:p>
        </w:tc>
        <w:tc>
          <w:tcPr>
            <w:tcW w:w="2760" w:type="dxa"/>
            <w:vAlign w:val="bottom"/>
            <w:tcBorders>
              <w:top w:val="single" w:sz="8" w:color="auto"/>
              <w:right w:val="single" w:sz="8" w:color="auto"/>
            </w:tcBorders>
          </w:tcPr>
          <w:p>
            <w:pPr>
              <w:spacing w:after="0"/>
              <w:rPr>
                <w:sz w:val="19"/>
                <w:szCs w:val="19"/>
                <w:color w:val="auto"/>
              </w:rPr>
            </w:pPr>
          </w:p>
        </w:tc>
        <w:tc>
          <w:tcPr>
            <w:tcW w:w="2700" w:type="dxa"/>
            <w:vAlign w:val="bottom"/>
            <w:tcBorders>
              <w:top w:val="single" w:sz="8" w:color="auto"/>
              <w:right w:val="single" w:sz="8" w:color="auto"/>
            </w:tcBorders>
          </w:tcPr>
          <w:p>
            <w:pPr>
              <w:spacing w:after="0"/>
              <w:rPr>
                <w:sz w:val="19"/>
                <w:szCs w:val="19"/>
                <w:color w:val="auto"/>
              </w:rPr>
            </w:pPr>
          </w:p>
        </w:tc>
      </w:tr>
      <w:tr>
        <w:trPr>
          <w:trHeight w:val="203"/>
        </w:trPr>
        <w:tc>
          <w:tcPr>
            <w:tcW w:w="28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Series 2017-C07, Class 1M-2</w:t>
            </w:r>
          </w:p>
        </w:tc>
        <w:tc>
          <w:tcPr>
            <w:tcW w:w="27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30711XUX0 / US30711XUX01</w:t>
            </w:r>
          </w:p>
        </w:tc>
        <w:tc>
          <w:tcPr>
            <w:tcW w:w="27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$284,048,541.00</w:t>
            </w:r>
          </w:p>
        </w:tc>
        <w:tc>
          <w:tcPr>
            <w:tcW w:w="2700" w:type="dxa"/>
            <w:vAlign w:val="bottom"/>
            <w:tcBorders>
              <w:right w:val="single" w:sz="8" w:color="auto"/>
            </w:tcBorders>
          </w:tcPr>
          <w:p>
            <w:pPr>
              <w:jc w:val="right"/>
              <w:ind w:right="870"/>
              <w:spacing w:after="0" w:line="202" w:lineRule="exact"/>
              <w:rPr>
                <w:sz w:val="20"/>
                <w:szCs w:val="20"/>
                <w:color w:val="auto"/>
              </w:rPr>
            </w:pPr>
            <w:r>
              <w:rPr>
                <w:rFonts w:ascii="Arial" w:cs="Arial" w:eastAsia="Arial" w:hAnsi="Arial"/>
                <w:sz w:val="18"/>
                <w:szCs w:val="18"/>
                <w:color w:val="auto"/>
              </w:rPr>
              <w:t>$1,010.00</w:t>
            </w:r>
          </w:p>
        </w:tc>
      </w:tr>
      <w:tr>
        <w:trPr>
          <w:trHeight w:val="239"/>
        </w:trPr>
        <w:tc>
          <w:tcPr>
            <w:tcW w:w="2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Notes</w:t>
            </w:r>
          </w:p>
        </w:tc>
        <w:tc>
          <w:tcPr>
            <w:tcW w:w="276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r>
      <w:tr>
        <w:trPr>
          <w:trHeight w:val="23"/>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04"/>
        </w:trPr>
        <w:tc>
          <w:tcPr>
            <w:tcW w:w="2800" w:type="dxa"/>
            <w:vAlign w:val="bottom"/>
            <w:tcBorders>
              <w:left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9"/>
              </w:rPr>
              <w:t>Connecticut Avenue Securities,</w:t>
            </w:r>
          </w:p>
        </w:tc>
        <w:tc>
          <w:tcPr>
            <w:tcW w:w="276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2700" w:type="dxa"/>
            <w:vAlign w:val="bottom"/>
            <w:tcBorders>
              <w:right w:val="single" w:sz="8" w:color="auto"/>
            </w:tcBorders>
          </w:tcPr>
          <w:p>
            <w:pPr>
              <w:spacing w:after="0"/>
              <w:rPr>
                <w:sz w:val="17"/>
                <w:szCs w:val="17"/>
                <w:color w:val="auto"/>
              </w:rPr>
            </w:pPr>
          </w:p>
        </w:tc>
      </w:tr>
      <w:tr>
        <w:trPr>
          <w:trHeight w:val="203"/>
        </w:trPr>
        <w:tc>
          <w:tcPr>
            <w:tcW w:w="28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Series 2018-C01, Class 1M-2</w:t>
            </w:r>
          </w:p>
        </w:tc>
        <w:tc>
          <w:tcPr>
            <w:tcW w:w="27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30711XYX6 / US30711XYX64</w:t>
            </w:r>
          </w:p>
        </w:tc>
        <w:tc>
          <w:tcPr>
            <w:tcW w:w="27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$561,697,093.00</w:t>
            </w:r>
          </w:p>
        </w:tc>
        <w:tc>
          <w:tcPr>
            <w:tcW w:w="2700" w:type="dxa"/>
            <w:vAlign w:val="bottom"/>
            <w:tcBorders>
              <w:right w:val="single" w:sz="8" w:color="auto"/>
            </w:tcBorders>
          </w:tcPr>
          <w:p>
            <w:pPr>
              <w:jc w:val="right"/>
              <w:ind w:right="870"/>
              <w:spacing w:after="0" w:line="202" w:lineRule="exact"/>
              <w:rPr>
                <w:sz w:val="20"/>
                <w:szCs w:val="20"/>
                <w:color w:val="auto"/>
              </w:rPr>
            </w:pPr>
            <w:r>
              <w:rPr>
                <w:rFonts w:ascii="Arial" w:cs="Arial" w:eastAsia="Arial" w:hAnsi="Arial"/>
                <w:sz w:val="18"/>
                <w:szCs w:val="18"/>
                <w:color w:val="auto"/>
              </w:rPr>
              <w:t>$1,007.50</w:t>
            </w:r>
          </w:p>
        </w:tc>
      </w:tr>
      <w:tr>
        <w:trPr>
          <w:trHeight w:val="239"/>
        </w:trPr>
        <w:tc>
          <w:tcPr>
            <w:tcW w:w="2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Notes</w:t>
            </w:r>
          </w:p>
        </w:tc>
        <w:tc>
          <w:tcPr>
            <w:tcW w:w="276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r>
      <w:tr>
        <w:trPr>
          <w:trHeight w:val="23"/>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04"/>
        </w:trPr>
        <w:tc>
          <w:tcPr>
            <w:tcW w:w="2800" w:type="dxa"/>
            <w:vAlign w:val="bottom"/>
            <w:tcBorders>
              <w:left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9"/>
              </w:rPr>
              <w:t>Connecticut Avenue Securities,</w:t>
            </w:r>
          </w:p>
        </w:tc>
        <w:tc>
          <w:tcPr>
            <w:tcW w:w="276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2700" w:type="dxa"/>
            <w:vAlign w:val="bottom"/>
            <w:tcBorders>
              <w:right w:val="single" w:sz="8" w:color="auto"/>
            </w:tcBorders>
          </w:tcPr>
          <w:p>
            <w:pPr>
              <w:spacing w:after="0"/>
              <w:rPr>
                <w:sz w:val="17"/>
                <w:szCs w:val="17"/>
                <w:color w:val="auto"/>
              </w:rPr>
            </w:pPr>
          </w:p>
        </w:tc>
      </w:tr>
      <w:tr>
        <w:trPr>
          <w:trHeight w:val="203"/>
        </w:trPr>
        <w:tc>
          <w:tcPr>
            <w:tcW w:w="28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Series 2018-C03, Class 1M-2</w:t>
            </w:r>
          </w:p>
        </w:tc>
        <w:tc>
          <w:tcPr>
            <w:tcW w:w="27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30711XJ70 / US30711XJ702</w:t>
            </w:r>
          </w:p>
        </w:tc>
        <w:tc>
          <w:tcPr>
            <w:tcW w:w="27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$389,891,000.00</w:t>
            </w:r>
          </w:p>
        </w:tc>
        <w:tc>
          <w:tcPr>
            <w:tcW w:w="2700" w:type="dxa"/>
            <w:vAlign w:val="bottom"/>
            <w:tcBorders>
              <w:right w:val="single" w:sz="8" w:color="auto"/>
            </w:tcBorders>
          </w:tcPr>
          <w:p>
            <w:pPr>
              <w:jc w:val="right"/>
              <w:ind w:right="870"/>
              <w:spacing w:after="0" w:line="202" w:lineRule="exact"/>
              <w:rPr>
                <w:sz w:val="20"/>
                <w:szCs w:val="20"/>
                <w:color w:val="auto"/>
              </w:rPr>
            </w:pPr>
            <w:r>
              <w:rPr>
                <w:rFonts w:ascii="Arial" w:cs="Arial" w:eastAsia="Arial" w:hAnsi="Arial"/>
                <w:sz w:val="18"/>
                <w:szCs w:val="18"/>
                <w:color w:val="auto"/>
              </w:rPr>
              <w:t>$1,005.00</w:t>
            </w:r>
          </w:p>
        </w:tc>
      </w:tr>
      <w:tr>
        <w:trPr>
          <w:trHeight w:val="239"/>
        </w:trPr>
        <w:tc>
          <w:tcPr>
            <w:tcW w:w="2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Notes</w:t>
            </w:r>
          </w:p>
        </w:tc>
        <w:tc>
          <w:tcPr>
            <w:tcW w:w="276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r>
      <w:tr>
        <w:trPr>
          <w:trHeight w:val="23"/>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49"/>
        </w:trPr>
        <w:tc>
          <w:tcPr>
            <w:tcW w:w="2800" w:type="dxa"/>
            <w:vAlign w:val="bottom"/>
            <w:tcBorders>
              <w:left w:val="single" w:sz="8" w:color="auto"/>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$4,673,259,009.00</w:t>
            </w:r>
          </w:p>
        </w:tc>
        <w:tc>
          <w:tcPr>
            <w:tcW w:w="2700" w:type="dxa"/>
            <w:vAlign w:val="bottom"/>
            <w:tcBorders>
              <w:bottom w:val="single" w:sz="8" w:color="auto"/>
              <w:right w:val="single" w:sz="8" w:color="auto"/>
            </w:tcBorders>
          </w:tcPr>
          <w:p>
            <w:pPr>
              <w:spacing w:after="0"/>
              <w:rPr>
                <w:sz w:val="21"/>
                <w:szCs w:val="21"/>
                <w:color w:val="auto"/>
              </w:rPr>
            </w:pPr>
          </w:p>
        </w:tc>
      </w:tr>
    </w:tbl>
    <w:p>
      <w:pPr>
        <w:spacing w:after="0" w:line="30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Holders must validly tender their Notes at or before the Expiration Time in order to be eligible to receive the Tender Offer Consideration, which will incorporate the monthly Certificate Percentages for the Notes available on June 27, 2022. In addition, holders whose Notes are purchased in the Offer will receive accrued and unpaid interest from the last interest payment date to, but not including, the Settlement Date (as defined in the Offer to Purchase) for the Notes. Fannie Mae expects the Settlement Date to occur on July 5, 2022. Any Notes tendered using the Notice of Guaranteed Delivery and accepted for purchase are expected to be purchased on July 6, 2022, but payment of accrued interest on such Notes will only be made to, but not including, the Settlement Date.</w:t>
      </w:r>
    </w:p>
    <w:p>
      <w:pPr>
        <w:spacing w:after="0" w:line="12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Information on tendering the Notes is set forth in the Offer Documents. Holders of the Notes who would like copies of the Offer Documents may contact the tender agent for the Offers, Global Bondholder Services Corporation, at (855) 654-2015 (toll free) or (212) 430-3774 (banks and brokers) or </w:t>
      </w:r>
      <w:r>
        <w:rPr>
          <w:rFonts w:ascii="Arial" w:cs="Arial" w:eastAsia="Arial" w:hAnsi="Arial"/>
          <w:sz w:val="18"/>
          <w:szCs w:val="18"/>
          <w:u w:val="single" w:color="auto"/>
          <w:color w:val="0563C1"/>
        </w:rPr>
        <w:t>contact@gbsc-usa.com</w:t>
      </w:r>
      <w:r>
        <w:rPr>
          <w:rFonts w:ascii="Arial" w:cs="Arial" w:eastAsia="Arial" w:hAnsi="Arial"/>
          <w:sz w:val="18"/>
          <w:szCs w:val="18"/>
          <w:color w:val="auto"/>
        </w:rPr>
        <w:t xml:space="preserve">. Copies of the Offer Documents are available at the following website: </w:t>
      </w:r>
      <w:r>
        <w:rPr>
          <w:rFonts w:ascii="Arial" w:cs="Arial" w:eastAsia="Arial" w:hAnsi="Arial"/>
          <w:sz w:val="18"/>
          <w:szCs w:val="18"/>
          <w:u w:val="single" w:color="auto"/>
          <w:color w:val="0563C1"/>
        </w:rPr>
        <w:t>https://www.gbsc-usa.com/FannieMae/</w:t>
      </w:r>
      <w:r>
        <w:rPr>
          <w:rFonts w:ascii="Arial" w:cs="Arial" w:eastAsia="Arial" w:hAnsi="Arial"/>
          <w:sz w:val="18"/>
          <w:szCs w:val="18"/>
          <w:color w:val="000000"/>
          <w:highlight w:val="white"/>
        </w:rPr>
        <w:t>. Any questions regarding the terms of the Offers should be directed to BofA Securities, Inc. at (888) 292-0070 (toll free)</w:t>
      </w:r>
      <w:r>
        <w:rPr>
          <w:rFonts w:ascii="Arial" w:cs="Arial" w:eastAsia="Arial" w:hAnsi="Arial"/>
          <w:sz w:val="18"/>
          <w:szCs w:val="18"/>
          <w:color w:val="0563C1"/>
        </w:rPr>
        <w:t xml:space="preserve"> </w:t>
      </w:r>
      <w:r>
        <w:rPr>
          <w:rFonts w:ascii="Arial" w:cs="Arial" w:eastAsia="Arial" w:hAnsi="Arial"/>
          <w:sz w:val="18"/>
          <w:szCs w:val="18"/>
          <w:color w:val="000000"/>
        </w:rPr>
        <w:t>or (980) 387-3907 (collect) or Barclays Capital Inc. at (800) 438-3242 (toll free) or (212) 412-5780 (collect).</w:t>
      </w:r>
    </w:p>
    <w:p>
      <w:pPr>
        <w:spacing w:after="0" w:line="136"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This release includes forward-looking statements, including statements relating to the timing and expected settlement and closing of the purchase of the Notes in a tender offer. These forward-looking statements are based on Fannie Mae’s present intent, beliefs or expectations, but forward-looking statements are not guaranteed to occur and may not occur. Actual results may turn out to be different from these statements. Factors that may lead to different results are discussed in "Risk Factors," “Forward-Looking Statements,” and elsewhere in the Offer Documents and the documents incorporated by reference therein. All forward-looking statements are made as of the date of this press release, and Fannie Mae assumes no obligation to update this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Link: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CAS Debt Tender Offer Frequently Asked Questions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Fannie Mae</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Fannie Mae advances equitable and sustainable access to homeownership and quality, affordable rental housing for millions of people across America. We enable the 30-year fixed-rate mortgage and drive responsible innovation to make homebuying and renting easier, fairer, and more accessible. To learn more, visit:</w:t>
      </w:r>
    </w:p>
    <w:p>
      <w:pPr>
        <w:spacing w:after="0"/>
        <w:rPr>
          <w:sz w:val="20"/>
          <w:szCs w:val="20"/>
          <w:color w:val="auto"/>
        </w:rPr>
      </w:pPr>
      <w:r>
        <w:rPr>
          <w:rFonts w:ascii="Arial" w:cs="Arial" w:eastAsia="Arial" w:hAnsi="Arial"/>
          <w:sz w:val="18"/>
          <w:szCs w:val="18"/>
          <w:u w:val="single" w:color="auto"/>
          <w:color w:val="0070C0"/>
        </w:rPr>
        <w:t>fanniemae.com</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Twitter</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Facebook</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Instagram</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YouTube</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Blog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Matthew Classick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202-752-3662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Fannie Mae Newsroom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https://www.fanniemae.com/news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Photo of Fannie Mae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https://www.fanniemae.com/resources/img/about-fm/fm-building.tif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666666"/>
        </w:rPr>
        <w:t>© 2022 Fannie Mae</w:t>
        <w:tab/>
        <w:t>6.24.2022 2</w:t>
      </w:r>
    </w:p>
    <w:p>
      <w:pPr>
        <w:sectPr>
          <w:pgSz w:w="11900" w:h="16838" w:orient="portrait"/>
          <w:cols w:equalWidth="0" w:num="1">
            <w:col w:w="11200"/>
          </w:cols>
          <w:pgMar w:left="320" w:top="1440" w:right="379" w:bottom="1440" w:gutter="0" w:footer="0" w:header="0"/>
        </w:sectPr>
      </w:pPr>
    </w:p>
    <w:bookmarkStart w:id="5" w:name="page6"/>
    <w:bookmarkEnd w:id="5"/>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Fannie Mae Resource Center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1-800-2FANNIE</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81" w:lineRule="exact"/>
        <w:rPr>
          <w:sz w:val="20"/>
          <w:szCs w:val="20"/>
          <w:color w:val="auto"/>
        </w:rPr>
      </w:pPr>
    </w:p>
    <w:p>
      <w:pPr>
        <w:spacing w:after="0" w:line="244" w:lineRule="auto"/>
        <w:rPr>
          <w:sz w:val="20"/>
          <w:szCs w:val="20"/>
          <w:color w:val="auto"/>
        </w:rPr>
      </w:pPr>
      <w:r>
        <w:rPr>
          <w:rFonts w:ascii="Arial" w:cs="Arial" w:eastAsia="Arial" w:hAnsi="Arial"/>
          <w:sz w:val="18"/>
          <w:szCs w:val="18"/>
          <w:i w:val="1"/>
          <w:iCs w:val="1"/>
          <w:color w:val="auto"/>
        </w:rPr>
        <w:t>This press release does not constitute an offer to sell or the solicitation of an offer to buy securities of Fannie Mae, including the Notes. Nothing in this press release constitutes advice on the merits of buying or selling a particular investment. Any investment decision as to any purchase or sale of securities referred to herein must be made solely on the basis of information contained in the Offer Documents, and no reliance may be placed on the completeness or accuracy of the information contained in this press release. The Offers are not being made to holders of the Notes in any jurisdiction in which the making or acceptance thereof would not be in compliance with the securities, blue sky or other laws of such jurisdiction. In any jurisdiction in which the securities laws or blue sky laws require the Offer to be made by a licensed broker or dealer, the Offer will be deemed to be made on behalf of the Company by BofA Securities, Inc. or Barclays Capital Inc. (as applicable) or one or more registered brokers or dealers that are licensed under the laws of such jurisdiction.</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not deal in securities unless you understand their nature and the extent of your exposure to risk. You should be satisfied that they are suitable for you in light of your circumstances and financial position. If you are in any doubt you should consult an appropriately qualified financial advisor.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Connecticut Avenue Securities is a registered mark of Fannie Mae. Unauthorized use of this mark is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666666"/>
        </w:rPr>
        <w:t>© 2022 Fannie Mae</w:t>
        <w:tab/>
        <w:t>6.24.2022 3</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2022-06-24T08:12:25Z</dcterms:created>
  <dcterms:modified xsi:type="dcterms:W3CDTF">2022-06-24T08:12:25Z</dcterms:modified>
</cp:coreProperties>
</file>